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161754" w14:paraId="4D922FAD" w14:textId="77777777" w:rsidTr="00D517B2">
        <w:trPr>
          <w:cantSplit/>
          <w:trHeight w:val="1134"/>
        </w:trPr>
        <w:tc>
          <w:tcPr>
            <w:tcW w:w="798" w:type="pct"/>
          </w:tcPr>
          <w:p w14:paraId="65F7A46E" w14:textId="77777777" w:rsidR="00D517B2" w:rsidRPr="00161754" w:rsidRDefault="00D517B2" w:rsidP="00D517B2">
            <w:pPr>
              <w:spacing w:before="0" w:line="240" w:lineRule="auto"/>
              <w:rPr>
                <w:b/>
                <w:bCs/>
                <w:rtl/>
                <w:lang w:bidi="ar-EG"/>
              </w:rPr>
            </w:pPr>
            <w:r w:rsidRPr="00161754">
              <w:rPr>
                <w:noProof/>
              </w:rPr>
              <w:drawing>
                <wp:inline distT="0" distB="0" distL="0" distR="0" wp14:anchorId="136ECA92" wp14:editId="1C5DF83E">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86BECA5" w14:textId="77777777" w:rsidR="00D517B2" w:rsidRPr="00161754" w:rsidRDefault="00D517B2" w:rsidP="00D517B2">
            <w:pPr>
              <w:spacing w:before="200"/>
              <w:rPr>
                <w:b/>
                <w:bCs/>
                <w:sz w:val="36"/>
                <w:szCs w:val="36"/>
                <w:rtl/>
              </w:rPr>
            </w:pPr>
            <w:r w:rsidRPr="00161754">
              <w:rPr>
                <w:rFonts w:hint="cs"/>
                <w:b/>
                <w:bCs/>
                <w:sz w:val="36"/>
                <w:szCs w:val="36"/>
                <w:rtl/>
              </w:rPr>
              <w:t>الاتحـاد الدولـي للاتصـالات</w:t>
            </w:r>
          </w:p>
          <w:p w14:paraId="0F626A3C" w14:textId="77777777" w:rsidR="00D517B2" w:rsidRPr="00161754" w:rsidRDefault="00D517B2" w:rsidP="00D517B2">
            <w:pPr>
              <w:spacing w:before="60"/>
              <w:rPr>
                <w:b/>
                <w:bCs/>
                <w:sz w:val="28"/>
                <w:szCs w:val="28"/>
                <w:rtl/>
                <w:lang w:bidi="ar-EG"/>
              </w:rPr>
            </w:pPr>
            <w:r w:rsidRPr="00161754">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2"/>
        <w:gridCol w:w="3256"/>
        <w:gridCol w:w="4821"/>
      </w:tblGrid>
      <w:tr w:rsidR="00D517B2" w:rsidRPr="00161754" w14:paraId="24EBD302" w14:textId="77777777" w:rsidTr="00F05415">
        <w:trPr>
          <w:cantSplit/>
          <w:jc w:val="center"/>
        </w:trPr>
        <w:tc>
          <w:tcPr>
            <w:tcW w:w="810" w:type="pct"/>
          </w:tcPr>
          <w:p w14:paraId="7C3BDC4E" w14:textId="77777777" w:rsidR="00D517B2" w:rsidRPr="00161754" w:rsidRDefault="00D517B2" w:rsidP="00BB0F08">
            <w:pPr>
              <w:spacing w:line="300" w:lineRule="exact"/>
              <w:jc w:val="left"/>
              <w:rPr>
                <w:position w:val="2"/>
              </w:rPr>
            </w:pPr>
          </w:p>
        </w:tc>
        <w:tc>
          <w:tcPr>
            <w:tcW w:w="1689" w:type="pct"/>
          </w:tcPr>
          <w:p w14:paraId="1F7FA216" w14:textId="77777777" w:rsidR="00D517B2" w:rsidRPr="00161754" w:rsidRDefault="00D517B2" w:rsidP="00BB0F08">
            <w:pPr>
              <w:spacing w:line="300" w:lineRule="exact"/>
              <w:jc w:val="left"/>
              <w:rPr>
                <w:position w:val="2"/>
              </w:rPr>
            </w:pPr>
          </w:p>
        </w:tc>
        <w:tc>
          <w:tcPr>
            <w:tcW w:w="2501" w:type="pct"/>
          </w:tcPr>
          <w:p w14:paraId="7E79E24E" w14:textId="77777777" w:rsidR="00D517B2" w:rsidRPr="00161754" w:rsidRDefault="00D517B2" w:rsidP="00BB0F08">
            <w:pPr>
              <w:spacing w:line="300" w:lineRule="exact"/>
              <w:jc w:val="left"/>
              <w:rPr>
                <w:position w:val="2"/>
                <w:lang w:bidi="ar-EG"/>
              </w:rPr>
            </w:pPr>
          </w:p>
        </w:tc>
      </w:tr>
      <w:tr w:rsidR="00D517B2" w:rsidRPr="00161754" w14:paraId="16914010" w14:textId="77777777" w:rsidTr="00F05415">
        <w:trPr>
          <w:cantSplit/>
          <w:jc w:val="center"/>
        </w:trPr>
        <w:tc>
          <w:tcPr>
            <w:tcW w:w="810" w:type="pct"/>
          </w:tcPr>
          <w:p w14:paraId="060AB332" w14:textId="77777777" w:rsidR="00D517B2" w:rsidRPr="00161754" w:rsidRDefault="00D517B2" w:rsidP="006019C6">
            <w:pPr>
              <w:spacing w:before="80" w:after="120" w:line="300" w:lineRule="exact"/>
              <w:jc w:val="left"/>
              <w:rPr>
                <w:position w:val="2"/>
              </w:rPr>
            </w:pPr>
          </w:p>
        </w:tc>
        <w:tc>
          <w:tcPr>
            <w:tcW w:w="1689" w:type="pct"/>
          </w:tcPr>
          <w:p w14:paraId="638932DE" w14:textId="77777777" w:rsidR="00D517B2" w:rsidRPr="00161754" w:rsidRDefault="00D517B2" w:rsidP="006019C6">
            <w:pPr>
              <w:spacing w:before="80" w:after="120" w:line="300" w:lineRule="exact"/>
              <w:jc w:val="left"/>
              <w:rPr>
                <w:position w:val="2"/>
                <w:lang w:bidi="ar-EG"/>
              </w:rPr>
            </w:pPr>
          </w:p>
        </w:tc>
        <w:tc>
          <w:tcPr>
            <w:tcW w:w="2501" w:type="pct"/>
          </w:tcPr>
          <w:p w14:paraId="21716736" w14:textId="6A0B68D7" w:rsidR="00D517B2" w:rsidRPr="00161754" w:rsidRDefault="00873469" w:rsidP="006019C6">
            <w:pPr>
              <w:spacing w:before="80" w:after="120" w:line="300" w:lineRule="exact"/>
              <w:jc w:val="left"/>
              <w:rPr>
                <w:position w:val="2"/>
                <w:rtl/>
                <w:lang w:bidi="ar-EG"/>
              </w:rPr>
            </w:pPr>
            <w:r w:rsidRPr="00161754">
              <w:rPr>
                <w:rFonts w:hint="cs"/>
                <w:position w:val="2"/>
                <w:rtl/>
              </w:rPr>
              <w:t xml:space="preserve">جنيف، </w:t>
            </w:r>
            <w:r w:rsidR="00161754" w:rsidRPr="00161754">
              <w:rPr>
                <w:position w:val="2"/>
              </w:rPr>
              <w:t>23</w:t>
            </w:r>
            <w:r w:rsidR="00161754" w:rsidRPr="00161754">
              <w:rPr>
                <w:rFonts w:hint="cs"/>
                <w:position w:val="2"/>
                <w:rtl/>
                <w:lang w:bidi="ar-EG"/>
              </w:rPr>
              <w:t xml:space="preserve"> يوليو</w:t>
            </w:r>
            <w:r w:rsidR="007139D8" w:rsidRPr="00161754">
              <w:rPr>
                <w:rFonts w:hint="cs"/>
                <w:position w:val="2"/>
                <w:rtl/>
              </w:rPr>
              <w:t xml:space="preserve"> </w:t>
            </w:r>
            <w:r w:rsidR="007139D8" w:rsidRPr="00161754">
              <w:rPr>
                <w:position w:val="2"/>
              </w:rPr>
              <w:t>2025</w:t>
            </w:r>
          </w:p>
        </w:tc>
      </w:tr>
      <w:tr w:rsidR="001E2788" w:rsidRPr="00161754" w14:paraId="71E3D684" w14:textId="77777777" w:rsidTr="00F05415">
        <w:trPr>
          <w:cantSplit/>
          <w:jc w:val="center"/>
        </w:trPr>
        <w:tc>
          <w:tcPr>
            <w:tcW w:w="810" w:type="pct"/>
          </w:tcPr>
          <w:p w14:paraId="5D535730" w14:textId="77777777" w:rsidR="001E2788" w:rsidRPr="00161754" w:rsidRDefault="001E2788" w:rsidP="00D517B2">
            <w:pPr>
              <w:spacing w:before="80" w:after="60" w:line="300" w:lineRule="exact"/>
              <w:jc w:val="left"/>
              <w:rPr>
                <w:b/>
                <w:bCs/>
                <w:position w:val="2"/>
              </w:rPr>
            </w:pPr>
            <w:r w:rsidRPr="00161754">
              <w:rPr>
                <w:rFonts w:hint="cs"/>
                <w:b/>
                <w:bCs/>
                <w:position w:val="2"/>
                <w:rtl/>
              </w:rPr>
              <w:t>المرجع:</w:t>
            </w:r>
          </w:p>
        </w:tc>
        <w:tc>
          <w:tcPr>
            <w:tcW w:w="1689" w:type="pct"/>
          </w:tcPr>
          <w:p w14:paraId="6144C12D" w14:textId="108E025D" w:rsidR="001E2788" w:rsidRPr="00161754" w:rsidRDefault="001E2788" w:rsidP="00161754">
            <w:pPr>
              <w:spacing w:before="80" w:after="60" w:line="300" w:lineRule="exact"/>
              <w:jc w:val="left"/>
              <w:rPr>
                <w:b/>
                <w:position w:val="2"/>
              </w:rPr>
            </w:pPr>
            <w:r w:rsidRPr="00161754">
              <w:rPr>
                <w:b/>
                <w:position w:val="2"/>
              </w:rPr>
              <w:t xml:space="preserve">TSB Circular </w:t>
            </w:r>
            <w:r w:rsidR="00161754" w:rsidRPr="00161754">
              <w:rPr>
                <w:b/>
                <w:position w:val="2"/>
              </w:rPr>
              <w:t>50</w:t>
            </w:r>
            <w:r w:rsidRPr="00161754">
              <w:rPr>
                <w:b/>
                <w:position w:val="2"/>
              </w:rPr>
              <w:br/>
            </w:r>
            <w:r w:rsidR="00161754" w:rsidRPr="00161754">
              <w:rPr>
                <w:rFonts w:ascii="Calibri" w:eastAsia="Times New Roman" w:hAnsi="Calibri" w:cs="Times New Roman"/>
                <w:lang w:val="en-GB" w:eastAsia="en-US"/>
              </w:rPr>
              <w:t xml:space="preserve"> </w:t>
            </w:r>
            <w:r w:rsidR="00161754" w:rsidRPr="00161754">
              <w:rPr>
                <w:bCs/>
                <w:position w:val="2"/>
                <w:lang w:val="en-GB"/>
              </w:rPr>
              <w:t>SG17/XY</w:t>
            </w:r>
          </w:p>
        </w:tc>
        <w:tc>
          <w:tcPr>
            <w:tcW w:w="2501" w:type="pct"/>
            <w:vMerge w:val="restart"/>
          </w:tcPr>
          <w:p w14:paraId="25B3B50A" w14:textId="77777777" w:rsidR="001E2788" w:rsidRPr="00161754" w:rsidRDefault="001E2788" w:rsidP="00747ED2">
            <w:pPr>
              <w:tabs>
                <w:tab w:val="clear" w:pos="794"/>
                <w:tab w:val="left" w:pos="284"/>
              </w:tabs>
              <w:spacing w:before="80" w:after="60" w:line="340" w:lineRule="exact"/>
              <w:jc w:val="left"/>
              <w:rPr>
                <w:b/>
                <w:bCs/>
                <w:position w:val="2"/>
                <w:rtl/>
                <w:lang w:bidi="ar-EG"/>
              </w:rPr>
            </w:pPr>
            <w:r w:rsidRPr="00161754">
              <w:rPr>
                <w:rFonts w:hint="cs"/>
                <w:b/>
                <w:bCs/>
                <w:position w:val="2"/>
                <w:rtl/>
              </w:rPr>
              <w:t>إلى:</w:t>
            </w:r>
          </w:p>
          <w:p w14:paraId="2757B63D" w14:textId="77777777" w:rsidR="001E2788" w:rsidRDefault="001E2788" w:rsidP="00747ED2">
            <w:pPr>
              <w:tabs>
                <w:tab w:val="clear" w:pos="794"/>
                <w:tab w:val="left" w:pos="284"/>
              </w:tabs>
              <w:spacing w:before="80" w:after="60" w:line="340" w:lineRule="exact"/>
              <w:ind w:left="284" w:hanging="284"/>
              <w:jc w:val="left"/>
              <w:rPr>
                <w:position w:val="2"/>
              </w:rPr>
            </w:pPr>
            <w:r w:rsidRPr="00161754">
              <w:rPr>
                <w:rFonts w:hint="cs"/>
                <w:position w:val="2"/>
                <w:rtl/>
              </w:rPr>
              <w:t>-</w:t>
            </w:r>
            <w:r w:rsidRPr="00161754">
              <w:rPr>
                <w:position w:val="2"/>
                <w:rtl/>
              </w:rPr>
              <w:tab/>
            </w:r>
            <w:r w:rsidRPr="00161754">
              <w:rPr>
                <w:rFonts w:hint="cs"/>
                <w:position w:val="2"/>
                <w:rtl/>
              </w:rPr>
              <w:t>إدارات الدول الأعضاء في الاتحاد؛</w:t>
            </w:r>
          </w:p>
          <w:p w14:paraId="6AF6FD47" w14:textId="77777777" w:rsidR="004A4E37" w:rsidRPr="00161754" w:rsidRDefault="004A4E37" w:rsidP="00747ED2">
            <w:pPr>
              <w:tabs>
                <w:tab w:val="clear" w:pos="794"/>
                <w:tab w:val="left" w:pos="284"/>
              </w:tabs>
              <w:spacing w:before="80" w:after="60" w:line="340" w:lineRule="exact"/>
              <w:ind w:left="284" w:hanging="284"/>
              <w:jc w:val="left"/>
              <w:rPr>
                <w:b/>
                <w:bCs/>
                <w:position w:val="2"/>
                <w:rtl/>
              </w:rPr>
            </w:pPr>
            <w:r w:rsidRPr="00161754">
              <w:rPr>
                <w:rFonts w:hint="cs"/>
                <w:b/>
                <w:bCs/>
                <w:position w:val="2"/>
                <w:rtl/>
              </w:rPr>
              <w:t>نسخة إلى:</w:t>
            </w:r>
          </w:p>
          <w:p w14:paraId="205F72B3" w14:textId="77777777" w:rsidR="004A4E37" w:rsidRPr="00161754" w:rsidRDefault="004A4E37" w:rsidP="00747ED2">
            <w:pPr>
              <w:tabs>
                <w:tab w:val="left" w:pos="284"/>
                <w:tab w:val="left" w:pos="4111"/>
              </w:tabs>
              <w:spacing w:before="80" w:after="60" w:line="340" w:lineRule="exact"/>
              <w:ind w:left="284" w:hanging="284"/>
              <w:rPr>
                <w:position w:val="2"/>
                <w:rtl/>
                <w:lang w:bidi="ar-EG"/>
              </w:rPr>
            </w:pPr>
            <w:r w:rsidRPr="00161754">
              <w:rPr>
                <w:rFonts w:hint="cs"/>
                <w:position w:val="2"/>
                <w:rtl/>
              </w:rPr>
              <w:t>-</w:t>
            </w:r>
            <w:r w:rsidRPr="00161754">
              <w:rPr>
                <w:position w:val="2"/>
                <w:rtl/>
              </w:rPr>
              <w:tab/>
            </w:r>
            <w:r w:rsidRPr="00161754">
              <w:rPr>
                <w:rFonts w:hint="cs"/>
                <w:position w:val="2"/>
                <w:rtl/>
                <w:lang w:bidi="ar-EG"/>
              </w:rPr>
              <w:t>أعضاء قطاع تقييس الاتصالات بالاتحاد؛</w:t>
            </w:r>
          </w:p>
          <w:p w14:paraId="08BFF1B5" w14:textId="77777777" w:rsidR="004A4E37" w:rsidRPr="004A4E37" w:rsidRDefault="004A4E37" w:rsidP="00747ED2">
            <w:pPr>
              <w:tabs>
                <w:tab w:val="left" w:pos="284"/>
                <w:tab w:val="left" w:pos="4111"/>
              </w:tabs>
              <w:spacing w:before="80" w:after="60" w:line="340" w:lineRule="exact"/>
              <w:ind w:left="284" w:hanging="284"/>
              <w:rPr>
                <w:position w:val="2"/>
                <w:rtl/>
                <w:lang w:bidi="ar-EG"/>
              </w:rPr>
            </w:pPr>
            <w:r w:rsidRPr="004A4E37">
              <w:rPr>
                <w:rFonts w:hint="cs"/>
                <w:position w:val="2"/>
                <w:rtl/>
              </w:rPr>
              <w:t>-</w:t>
            </w:r>
            <w:r w:rsidRPr="004A4E37">
              <w:rPr>
                <w:position w:val="2"/>
                <w:rtl/>
              </w:rPr>
              <w:tab/>
              <w:t>المنتسبين إلى لجنة الدراسات 17 لقطاع تقييس الاتصالات</w:t>
            </w:r>
            <w:r w:rsidRPr="004A4E37">
              <w:rPr>
                <w:rFonts w:hint="cs"/>
                <w:position w:val="2"/>
                <w:rtl/>
              </w:rPr>
              <w:t>؛</w:t>
            </w:r>
          </w:p>
          <w:p w14:paraId="46A85477" w14:textId="4EDDBBAF" w:rsidR="004A4E37" w:rsidRPr="00161754" w:rsidRDefault="004A4E37" w:rsidP="00747ED2">
            <w:pPr>
              <w:tabs>
                <w:tab w:val="left" w:pos="284"/>
                <w:tab w:val="left" w:pos="4111"/>
              </w:tabs>
              <w:spacing w:before="80" w:after="60" w:line="340" w:lineRule="exact"/>
              <w:ind w:left="284" w:hanging="284"/>
              <w:rPr>
                <w:position w:val="2"/>
              </w:rPr>
            </w:pPr>
            <w:r w:rsidRPr="00161754">
              <w:rPr>
                <w:rFonts w:hint="cs"/>
                <w:position w:val="2"/>
                <w:rtl/>
              </w:rPr>
              <w:t>-</w:t>
            </w:r>
            <w:r w:rsidRPr="00161754">
              <w:rPr>
                <w:position w:val="2"/>
                <w:rtl/>
              </w:rPr>
              <w:tab/>
            </w:r>
            <w:r w:rsidRPr="00161754">
              <w:rPr>
                <w:rFonts w:hint="cs"/>
                <w:position w:val="2"/>
                <w:rtl/>
              </w:rPr>
              <w:t>الهيئات الأكاديمية المنضمة إلى</w:t>
            </w:r>
            <w:r w:rsidRPr="00161754">
              <w:rPr>
                <w:rFonts w:hint="cs"/>
                <w:position w:val="2"/>
                <w:rtl/>
                <w:lang w:bidi="ar-EG"/>
              </w:rPr>
              <w:t xml:space="preserve"> الاتحاد</w:t>
            </w:r>
            <w:r w:rsidR="00C80EDC" w:rsidRPr="004A4E37">
              <w:rPr>
                <w:rFonts w:hint="cs"/>
                <w:position w:val="2"/>
                <w:rtl/>
              </w:rPr>
              <w:t>؛</w:t>
            </w:r>
          </w:p>
          <w:p w14:paraId="42BD3D69" w14:textId="4D7FC53C" w:rsidR="004A4E37" w:rsidRPr="00161754" w:rsidRDefault="004A4E37" w:rsidP="00747ED2">
            <w:pPr>
              <w:tabs>
                <w:tab w:val="left" w:pos="284"/>
                <w:tab w:val="left" w:pos="4111"/>
              </w:tabs>
              <w:spacing w:before="80" w:after="60" w:line="340" w:lineRule="exact"/>
              <w:ind w:left="284" w:hanging="284"/>
              <w:rPr>
                <w:rFonts w:eastAsia="Times New Roman"/>
                <w:position w:val="2"/>
                <w:rtl/>
                <w:lang w:eastAsia="en-US"/>
              </w:rPr>
            </w:pPr>
            <w:r w:rsidRPr="00161754">
              <w:rPr>
                <w:rFonts w:hint="cs"/>
                <w:position w:val="2"/>
                <w:rtl/>
              </w:rPr>
              <w:t>-</w:t>
            </w:r>
            <w:r w:rsidRPr="00161754">
              <w:rPr>
                <w:position w:val="2"/>
                <w:rtl/>
              </w:rPr>
              <w:tab/>
            </w:r>
            <w:r w:rsidRPr="00161754">
              <w:rPr>
                <w:rFonts w:eastAsia="Times New Roman"/>
                <w:position w:val="2"/>
                <w:rtl/>
                <w:lang w:eastAsia="en-US"/>
              </w:rPr>
              <w:t>رئيس لجنة الدراسات 17 لقطاع تقييس الاتصالات</w:t>
            </w:r>
            <w:r>
              <w:rPr>
                <w:rFonts w:eastAsia="Times New Roman" w:hint="cs"/>
                <w:position w:val="2"/>
                <w:rtl/>
                <w:lang w:eastAsia="en-US"/>
              </w:rPr>
              <w:t> </w:t>
            </w:r>
            <w:r w:rsidRPr="00161754">
              <w:rPr>
                <w:rFonts w:eastAsia="Times New Roman"/>
                <w:position w:val="2"/>
                <w:rtl/>
                <w:lang w:eastAsia="en-US"/>
              </w:rPr>
              <w:t>ونوابه</w:t>
            </w:r>
            <w:r w:rsidRPr="00161754">
              <w:rPr>
                <w:rFonts w:eastAsia="Times New Roman" w:hint="cs"/>
                <w:position w:val="2"/>
                <w:rtl/>
                <w:lang w:eastAsia="en-US"/>
              </w:rPr>
              <w:t>؛</w:t>
            </w:r>
          </w:p>
          <w:p w14:paraId="70E9B95C" w14:textId="77777777" w:rsidR="004A4E37" w:rsidRPr="00161754" w:rsidRDefault="004A4E37" w:rsidP="00747ED2">
            <w:pPr>
              <w:tabs>
                <w:tab w:val="left" w:pos="284"/>
                <w:tab w:val="left" w:pos="4111"/>
              </w:tabs>
              <w:spacing w:before="80" w:after="60" w:line="340" w:lineRule="exact"/>
              <w:ind w:left="284" w:hanging="284"/>
              <w:rPr>
                <w:rFonts w:eastAsia="Times New Roman"/>
                <w:position w:val="2"/>
                <w:rtl/>
                <w:lang w:eastAsia="en-US"/>
              </w:rPr>
            </w:pPr>
            <w:r w:rsidRPr="00161754">
              <w:rPr>
                <w:rFonts w:eastAsia="Times New Roman" w:hint="cs"/>
                <w:position w:val="2"/>
                <w:rtl/>
                <w:lang w:eastAsia="en-US"/>
              </w:rPr>
              <w:t>-</w:t>
            </w:r>
            <w:r w:rsidRPr="00161754">
              <w:rPr>
                <w:rFonts w:eastAsia="Times New Roman"/>
                <w:position w:val="2"/>
                <w:rtl/>
                <w:lang w:eastAsia="en-US"/>
              </w:rPr>
              <w:tab/>
              <w:t>مدير مكتب تنمية الاتصالات</w:t>
            </w:r>
            <w:r w:rsidRPr="00161754">
              <w:rPr>
                <w:rFonts w:eastAsia="Times New Roman" w:hint="cs"/>
                <w:position w:val="2"/>
                <w:rtl/>
                <w:lang w:eastAsia="en-US"/>
              </w:rPr>
              <w:t>؛</w:t>
            </w:r>
          </w:p>
          <w:p w14:paraId="66B2BC04" w14:textId="2B7616F2" w:rsidR="004A4E37" w:rsidRPr="00161754" w:rsidRDefault="004A4E37" w:rsidP="00747ED2">
            <w:pPr>
              <w:tabs>
                <w:tab w:val="clear" w:pos="794"/>
                <w:tab w:val="left" w:pos="284"/>
              </w:tabs>
              <w:spacing w:before="80" w:after="60" w:line="340" w:lineRule="exact"/>
              <w:ind w:left="284" w:hanging="284"/>
              <w:rPr>
                <w:position w:val="2"/>
                <w:rtl/>
              </w:rPr>
            </w:pPr>
            <w:r w:rsidRPr="00161754">
              <w:rPr>
                <w:rFonts w:eastAsia="Times New Roman" w:hint="cs"/>
                <w:position w:val="2"/>
                <w:rtl/>
                <w:lang w:eastAsia="en-US"/>
              </w:rPr>
              <w:t>-</w:t>
            </w:r>
            <w:r w:rsidRPr="00161754">
              <w:rPr>
                <w:rFonts w:eastAsia="Times New Roman"/>
                <w:position w:val="2"/>
                <w:rtl/>
                <w:lang w:eastAsia="en-US"/>
              </w:rPr>
              <w:tab/>
              <w:t>مدير مكتب الاتصالات الراديوية</w:t>
            </w:r>
            <w:r w:rsidR="00C80EDC">
              <w:rPr>
                <w:rFonts w:eastAsia="Times New Roman" w:hint="cs"/>
                <w:position w:val="2"/>
                <w:rtl/>
                <w:lang w:eastAsia="en-US"/>
              </w:rPr>
              <w:t>.</w:t>
            </w:r>
          </w:p>
        </w:tc>
      </w:tr>
      <w:tr w:rsidR="00161754" w:rsidRPr="00161754" w14:paraId="5ADF7451" w14:textId="77777777" w:rsidTr="00F05415">
        <w:trPr>
          <w:cantSplit/>
          <w:jc w:val="center"/>
        </w:trPr>
        <w:tc>
          <w:tcPr>
            <w:tcW w:w="810" w:type="pct"/>
          </w:tcPr>
          <w:p w14:paraId="4CA989D4" w14:textId="2BE5D6E8" w:rsidR="00161754" w:rsidRPr="00161754" w:rsidRDefault="00161754" w:rsidP="001E2788">
            <w:pPr>
              <w:spacing w:before="80" w:after="60" w:line="300" w:lineRule="exact"/>
              <w:jc w:val="left"/>
              <w:rPr>
                <w:b/>
                <w:bCs/>
                <w:position w:val="2"/>
                <w:lang w:bidi="ar-EG"/>
              </w:rPr>
            </w:pPr>
            <w:r w:rsidRPr="00161754">
              <w:rPr>
                <w:rFonts w:hint="cs"/>
                <w:b/>
                <w:bCs/>
                <w:position w:val="2"/>
                <w:rtl/>
                <w:lang w:bidi="ar-EG"/>
              </w:rPr>
              <w:t>ال</w:t>
            </w:r>
            <w:r w:rsidRPr="00161754">
              <w:rPr>
                <w:rFonts w:hint="cs"/>
                <w:b/>
                <w:bCs/>
                <w:position w:val="2"/>
                <w:rtl/>
                <w:lang w:bidi="ar-SY"/>
              </w:rPr>
              <w:t>هاتف</w:t>
            </w:r>
            <w:r w:rsidRPr="00161754">
              <w:rPr>
                <w:rFonts w:hint="cs"/>
                <w:b/>
                <w:bCs/>
                <w:position w:val="2"/>
                <w:rtl/>
              </w:rPr>
              <w:t>:</w:t>
            </w:r>
          </w:p>
        </w:tc>
        <w:tc>
          <w:tcPr>
            <w:tcW w:w="1689" w:type="pct"/>
          </w:tcPr>
          <w:p w14:paraId="1F1957DE" w14:textId="2B72415F" w:rsidR="00161754" w:rsidRPr="00161754" w:rsidRDefault="00161754" w:rsidP="00161754">
            <w:pPr>
              <w:spacing w:before="80" w:after="60" w:line="300" w:lineRule="exact"/>
              <w:jc w:val="left"/>
              <w:rPr>
                <w:b/>
                <w:position w:val="2"/>
              </w:rPr>
            </w:pPr>
            <w:r w:rsidRPr="00161754">
              <w:rPr>
                <w:position w:val="2"/>
                <w:lang w:val="en-GB"/>
              </w:rPr>
              <w:t>+41 22 730 6206</w:t>
            </w:r>
          </w:p>
        </w:tc>
        <w:tc>
          <w:tcPr>
            <w:tcW w:w="2501" w:type="pct"/>
            <w:vMerge/>
          </w:tcPr>
          <w:p w14:paraId="2A4CAEED" w14:textId="77777777" w:rsidR="00161754" w:rsidRPr="00161754" w:rsidRDefault="00161754" w:rsidP="001E2788">
            <w:pPr>
              <w:spacing w:before="80" w:after="60" w:line="300" w:lineRule="exact"/>
              <w:jc w:val="left"/>
              <w:rPr>
                <w:position w:val="2"/>
                <w:rtl/>
              </w:rPr>
            </w:pPr>
          </w:p>
        </w:tc>
      </w:tr>
      <w:tr w:rsidR="00161754" w:rsidRPr="00161754" w14:paraId="4E3E9FEB" w14:textId="77777777" w:rsidTr="00F05415">
        <w:trPr>
          <w:cantSplit/>
          <w:jc w:val="center"/>
        </w:trPr>
        <w:tc>
          <w:tcPr>
            <w:tcW w:w="810" w:type="pct"/>
          </w:tcPr>
          <w:p w14:paraId="497E266F" w14:textId="6E91193F" w:rsidR="00161754" w:rsidRPr="00161754" w:rsidRDefault="00161754" w:rsidP="00161754">
            <w:pPr>
              <w:spacing w:before="80" w:after="60" w:line="300" w:lineRule="exact"/>
              <w:jc w:val="left"/>
              <w:rPr>
                <w:b/>
                <w:bCs/>
                <w:position w:val="2"/>
                <w:rtl/>
                <w:lang w:bidi="ar-EG"/>
              </w:rPr>
            </w:pPr>
            <w:r w:rsidRPr="00161754">
              <w:rPr>
                <w:rFonts w:hint="cs"/>
                <w:b/>
                <w:bCs/>
                <w:position w:val="2"/>
                <w:rtl/>
              </w:rPr>
              <w:t>الفاكس:</w:t>
            </w:r>
          </w:p>
        </w:tc>
        <w:tc>
          <w:tcPr>
            <w:tcW w:w="1689" w:type="pct"/>
          </w:tcPr>
          <w:p w14:paraId="07955675" w14:textId="58D5A659" w:rsidR="00161754" w:rsidRPr="00161754" w:rsidRDefault="00161754" w:rsidP="00161754">
            <w:pPr>
              <w:spacing w:before="80" w:after="60" w:line="300" w:lineRule="exact"/>
              <w:jc w:val="left"/>
              <w:rPr>
                <w:b/>
                <w:bCs/>
                <w:position w:val="2"/>
                <w:rtl/>
                <w:lang w:bidi="ar-EG"/>
              </w:rPr>
            </w:pPr>
            <w:r w:rsidRPr="00161754">
              <w:rPr>
                <w:position w:val="2"/>
                <w:lang w:val="en-GB"/>
              </w:rPr>
              <w:t>+41 22 730 5853</w:t>
            </w:r>
          </w:p>
        </w:tc>
        <w:tc>
          <w:tcPr>
            <w:tcW w:w="2501" w:type="pct"/>
            <w:vMerge/>
          </w:tcPr>
          <w:p w14:paraId="072269B9" w14:textId="77777777" w:rsidR="00161754" w:rsidRPr="00161754" w:rsidRDefault="00161754" w:rsidP="00161754">
            <w:pPr>
              <w:spacing w:before="80" w:after="60" w:line="300" w:lineRule="exact"/>
              <w:jc w:val="left"/>
              <w:rPr>
                <w:position w:val="2"/>
                <w:rtl/>
              </w:rPr>
            </w:pPr>
          </w:p>
        </w:tc>
      </w:tr>
      <w:tr w:rsidR="00161754" w:rsidRPr="00161754" w14:paraId="0EC67FD5" w14:textId="77777777" w:rsidTr="00F05415">
        <w:trPr>
          <w:cantSplit/>
          <w:jc w:val="center"/>
        </w:trPr>
        <w:tc>
          <w:tcPr>
            <w:tcW w:w="810" w:type="pct"/>
          </w:tcPr>
          <w:p w14:paraId="5389DFAC" w14:textId="2F48AA06" w:rsidR="00161754" w:rsidRPr="00161754" w:rsidRDefault="00161754" w:rsidP="00161754">
            <w:pPr>
              <w:spacing w:before="80" w:after="60" w:line="300" w:lineRule="exact"/>
              <w:jc w:val="left"/>
              <w:rPr>
                <w:b/>
                <w:bCs/>
                <w:position w:val="2"/>
                <w:rtl/>
              </w:rPr>
            </w:pPr>
            <w:r w:rsidRPr="00161754">
              <w:rPr>
                <w:rFonts w:hint="cs"/>
                <w:b/>
                <w:bCs/>
                <w:position w:val="2"/>
                <w:rtl/>
              </w:rPr>
              <w:t>البريد الإلكتروني:</w:t>
            </w:r>
          </w:p>
        </w:tc>
        <w:tc>
          <w:tcPr>
            <w:tcW w:w="1689" w:type="pct"/>
          </w:tcPr>
          <w:p w14:paraId="6B56B980" w14:textId="5458033A" w:rsidR="00161754" w:rsidRPr="00161754" w:rsidRDefault="00161754" w:rsidP="00161754">
            <w:pPr>
              <w:spacing w:before="80" w:after="60" w:line="300" w:lineRule="exact"/>
              <w:jc w:val="left"/>
              <w:rPr>
                <w:position w:val="2"/>
              </w:rPr>
            </w:pPr>
            <w:hyperlink r:id="rId9" w:history="1">
              <w:r w:rsidRPr="00161754">
                <w:rPr>
                  <w:rStyle w:val="Hyperlink"/>
                  <w:position w:val="2"/>
                  <w:lang w:val="en-GB"/>
                </w:rPr>
                <w:t>tsbsg17@itu.int</w:t>
              </w:r>
            </w:hyperlink>
          </w:p>
        </w:tc>
        <w:tc>
          <w:tcPr>
            <w:tcW w:w="2501" w:type="pct"/>
            <w:vMerge/>
          </w:tcPr>
          <w:p w14:paraId="7917528A" w14:textId="77777777" w:rsidR="00161754" w:rsidRPr="00161754" w:rsidRDefault="00161754" w:rsidP="00161754">
            <w:pPr>
              <w:spacing w:before="80" w:after="60" w:line="300" w:lineRule="exact"/>
              <w:jc w:val="left"/>
              <w:rPr>
                <w:position w:val="2"/>
                <w:rtl/>
              </w:rPr>
            </w:pPr>
          </w:p>
        </w:tc>
      </w:tr>
      <w:tr w:rsidR="00161754" w:rsidRPr="00161754" w14:paraId="53693FC4" w14:textId="77777777" w:rsidTr="00161754">
        <w:trPr>
          <w:cantSplit/>
          <w:jc w:val="center"/>
        </w:trPr>
        <w:tc>
          <w:tcPr>
            <w:tcW w:w="810" w:type="pct"/>
          </w:tcPr>
          <w:p w14:paraId="47AD1FF6" w14:textId="4FB8877D" w:rsidR="00161754" w:rsidRPr="00161754" w:rsidRDefault="00161754" w:rsidP="00CE1C08">
            <w:pPr>
              <w:spacing w:before="80" w:after="60" w:line="300" w:lineRule="exact"/>
              <w:jc w:val="left"/>
              <w:rPr>
                <w:b/>
                <w:bCs/>
                <w:position w:val="2"/>
                <w:rtl/>
                <w:lang w:bidi="ar-EG"/>
              </w:rPr>
            </w:pPr>
            <w:r w:rsidRPr="00161754">
              <w:rPr>
                <w:rFonts w:hint="cs"/>
                <w:b/>
                <w:bCs/>
                <w:position w:val="2"/>
                <w:rtl/>
              </w:rPr>
              <w:t>الموضوع:</w:t>
            </w:r>
          </w:p>
        </w:tc>
        <w:tc>
          <w:tcPr>
            <w:tcW w:w="4190" w:type="pct"/>
            <w:gridSpan w:val="2"/>
          </w:tcPr>
          <w:p w14:paraId="14106116" w14:textId="49C3B680" w:rsidR="00161754" w:rsidRPr="00C35D0C" w:rsidRDefault="00161754" w:rsidP="00F05415">
            <w:pPr>
              <w:spacing w:before="80" w:after="60" w:line="300" w:lineRule="exact"/>
              <w:rPr>
                <w:position w:val="2"/>
                <w:rtl/>
              </w:rPr>
            </w:pPr>
            <w:bookmarkStart w:id="0" w:name="_Hlk115258431"/>
            <w:r w:rsidRPr="00C35D0C">
              <w:rPr>
                <w:b/>
                <w:bCs/>
                <w:position w:val="2"/>
                <w:rtl/>
              </w:rPr>
              <w:t>مشاورة الدول الأعضاء بشأن مشاريع التوصيات الجديدة المحددة TU-T X.1062</w:t>
            </w:r>
            <w:r w:rsidR="00F05415" w:rsidRPr="00C35D0C">
              <w:rPr>
                <w:b/>
                <w:bCs/>
                <w:position w:val="2"/>
              </w:rPr>
              <w:t>I</w:t>
            </w:r>
            <w:r w:rsidRPr="00C35D0C">
              <w:rPr>
                <w:b/>
                <w:bCs/>
                <w:position w:val="2"/>
                <w:rtl/>
              </w:rPr>
              <w:t xml:space="preserve"> (X.shcd سابقاً) و</w:t>
            </w:r>
            <w:r w:rsidR="00F05415" w:rsidRPr="00C35D0C">
              <w:rPr>
                <w:b/>
                <w:bCs/>
                <w:position w:val="2"/>
              </w:rPr>
              <w:t>ITU</w:t>
            </w:r>
            <w:r w:rsidR="00F05415" w:rsidRPr="00C35D0C">
              <w:rPr>
                <w:b/>
                <w:bCs/>
                <w:position w:val="2"/>
              </w:rPr>
              <w:noBreakHyphen/>
              <w:t>T X.1238</w:t>
            </w:r>
            <w:r w:rsidRPr="00C35D0C">
              <w:rPr>
                <w:b/>
                <w:bCs/>
                <w:position w:val="2"/>
                <w:rtl/>
              </w:rPr>
              <w:t xml:space="preserve"> (X.sgc-rcs سابقاً) وX.1128</w:t>
            </w:r>
            <w:r w:rsidR="00F05415" w:rsidRPr="00C35D0C">
              <w:rPr>
                <w:b/>
                <w:bCs/>
                <w:position w:val="2"/>
              </w:rPr>
              <w:t>ITU</w:t>
            </w:r>
            <w:r w:rsidR="00F05415" w:rsidRPr="00C35D0C">
              <w:rPr>
                <w:b/>
                <w:bCs/>
                <w:position w:val="2"/>
              </w:rPr>
              <w:noBreakHyphen/>
              <w:t>T </w:t>
            </w:r>
            <w:r w:rsidRPr="00C35D0C">
              <w:rPr>
                <w:b/>
                <w:bCs/>
                <w:position w:val="2"/>
                <w:rtl/>
              </w:rPr>
              <w:t xml:space="preserve"> (X.mt-feature سابقاً) وX.1129</w:t>
            </w:r>
            <w:r w:rsidR="00F05415" w:rsidRPr="00C35D0C">
              <w:rPr>
                <w:b/>
                <w:bCs/>
                <w:position w:val="2"/>
              </w:rPr>
              <w:t>ITU</w:t>
            </w:r>
            <w:r w:rsidR="00F05415" w:rsidRPr="00C35D0C">
              <w:rPr>
                <w:b/>
                <w:bCs/>
                <w:position w:val="2"/>
              </w:rPr>
              <w:noBreakHyphen/>
              <w:t>T </w:t>
            </w:r>
            <w:r w:rsidRPr="00C35D0C">
              <w:rPr>
                <w:b/>
                <w:bCs/>
                <w:position w:val="2"/>
                <w:rtl/>
              </w:rPr>
              <w:t xml:space="preserve"> (</w:t>
            </w:r>
            <w:r w:rsidR="00F05415" w:rsidRPr="00C35D0C">
              <w:rPr>
                <w:b/>
                <w:bCs/>
                <w:position w:val="2"/>
                <w:lang w:val="en-GB"/>
              </w:rPr>
              <w:t>X.mt</w:t>
            </w:r>
            <w:r w:rsidR="00F05415" w:rsidRPr="00C35D0C">
              <w:rPr>
                <w:b/>
                <w:bCs/>
                <w:position w:val="2"/>
                <w:lang w:val="en-GB"/>
              </w:rPr>
              <w:noBreakHyphen/>
              <w:t>integrity</w:t>
            </w:r>
            <w:r w:rsidR="00F05415" w:rsidRPr="00C35D0C">
              <w:rPr>
                <w:b/>
                <w:bCs/>
                <w:position w:val="2"/>
                <w:rtl/>
              </w:rPr>
              <w:t xml:space="preserve"> </w:t>
            </w:r>
            <w:r w:rsidRPr="00C35D0C">
              <w:rPr>
                <w:b/>
                <w:bCs/>
                <w:position w:val="2"/>
                <w:rtl/>
              </w:rPr>
              <w:t>سابقاً) وX.1130</w:t>
            </w:r>
            <w:r w:rsidR="00F05415" w:rsidRPr="00C35D0C">
              <w:rPr>
                <w:b/>
                <w:bCs/>
                <w:position w:val="2"/>
              </w:rPr>
              <w:t>ITU</w:t>
            </w:r>
            <w:r w:rsidR="00F05415" w:rsidRPr="00C35D0C">
              <w:rPr>
                <w:b/>
                <w:bCs/>
                <w:position w:val="2"/>
              </w:rPr>
              <w:noBreakHyphen/>
              <w:t>T </w:t>
            </w:r>
            <w:r w:rsidRPr="00C35D0C">
              <w:rPr>
                <w:b/>
                <w:bCs/>
                <w:position w:val="2"/>
                <w:rtl/>
              </w:rPr>
              <w:t xml:space="preserve"> (X.tg-fdma سابقا</w:t>
            </w:r>
            <w:r w:rsidR="00314411" w:rsidRPr="00C35D0C">
              <w:rPr>
                <w:rFonts w:hint="cs"/>
                <w:b/>
                <w:bCs/>
                <w:position w:val="2"/>
                <w:rtl/>
              </w:rPr>
              <w:t>ً</w:t>
            </w:r>
            <w:r w:rsidRPr="00C35D0C">
              <w:rPr>
                <w:b/>
                <w:bCs/>
                <w:position w:val="2"/>
                <w:rtl/>
              </w:rPr>
              <w:t>) وX.1457</w:t>
            </w:r>
            <w:r w:rsidR="00F05415" w:rsidRPr="00C35D0C">
              <w:rPr>
                <w:b/>
                <w:bCs/>
                <w:position w:val="2"/>
              </w:rPr>
              <w:t xml:space="preserve"> ITU</w:t>
            </w:r>
            <w:r w:rsidR="00F05415" w:rsidRPr="00C35D0C">
              <w:rPr>
                <w:b/>
                <w:bCs/>
                <w:position w:val="2"/>
              </w:rPr>
              <w:noBreakHyphen/>
              <w:t>T </w:t>
            </w:r>
            <w:r w:rsidRPr="00C35D0C">
              <w:rPr>
                <w:b/>
                <w:bCs/>
                <w:position w:val="2"/>
                <w:rtl/>
              </w:rPr>
              <w:t xml:space="preserve"> (X.str-irs سابقاً) وX.1753</w:t>
            </w:r>
            <w:r w:rsidR="00F05415" w:rsidRPr="00C35D0C">
              <w:rPr>
                <w:b/>
                <w:bCs/>
                <w:position w:val="2"/>
              </w:rPr>
              <w:t xml:space="preserve"> ITU</w:t>
            </w:r>
            <w:r w:rsidR="00F05415" w:rsidRPr="00C35D0C">
              <w:rPr>
                <w:b/>
                <w:bCs/>
                <w:position w:val="2"/>
              </w:rPr>
              <w:noBreakHyphen/>
              <w:t>T </w:t>
            </w:r>
            <w:r w:rsidRPr="00C35D0C">
              <w:rPr>
                <w:b/>
                <w:bCs/>
                <w:position w:val="2"/>
                <w:rtl/>
              </w:rPr>
              <w:t xml:space="preserve"> (X.gdsml سابقاً) وX.1649</w:t>
            </w:r>
            <w:r w:rsidR="00735661" w:rsidRPr="00C35D0C">
              <w:rPr>
                <w:b/>
                <w:bCs/>
                <w:position w:val="2"/>
              </w:rPr>
              <w:t> </w:t>
            </w:r>
            <w:r w:rsidR="00F05415" w:rsidRPr="00C35D0C">
              <w:rPr>
                <w:b/>
                <w:bCs/>
                <w:position w:val="2"/>
              </w:rPr>
              <w:t>ITU</w:t>
            </w:r>
            <w:r w:rsidR="00F05415" w:rsidRPr="00C35D0C">
              <w:rPr>
                <w:b/>
                <w:bCs/>
                <w:position w:val="2"/>
              </w:rPr>
              <w:noBreakHyphen/>
              <w:t>T </w:t>
            </w:r>
            <w:r w:rsidRPr="00C35D0C">
              <w:rPr>
                <w:b/>
                <w:bCs/>
                <w:position w:val="2"/>
                <w:rtl/>
              </w:rPr>
              <w:t>(X.sgmc سابقاً) والتوصي</w:t>
            </w:r>
            <w:r w:rsidR="00C35D0C" w:rsidRPr="00C35D0C">
              <w:rPr>
                <w:rFonts w:hint="cs"/>
                <w:b/>
                <w:bCs/>
                <w:position w:val="2"/>
                <w:rtl/>
              </w:rPr>
              <w:t>تين</w:t>
            </w:r>
            <w:r w:rsidRPr="00C35D0C">
              <w:rPr>
                <w:b/>
                <w:bCs/>
                <w:position w:val="2"/>
                <w:rtl/>
              </w:rPr>
              <w:t xml:space="preserve"> المراج</w:t>
            </w:r>
            <w:r w:rsidR="001E718F" w:rsidRPr="00C35D0C">
              <w:rPr>
                <w:rFonts w:hint="cs"/>
                <w:b/>
                <w:bCs/>
                <w:position w:val="2"/>
                <w:rtl/>
              </w:rPr>
              <w:t>َ</w:t>
            </w:r>
            <w:r w:rsidRPr="00C35D0C">
              <w:rPr>
                <w:b/>
                <w:bCs/>
                <w:position w:val="2"/>
                <w:rtl/>
              </w:rPr>
              <w:t>ع</w:t>
            </w:r>
            <w:r w:rsidR="00C35D0C" w:rsidRPr="00C35D0C">
              <w:rPr>
                <w:rFonts w:hint="cs"/>
                <w:b/>
                <w:bCs/>
                <w:position w:val="2"/>
                <w:rtl/>
              </w:rPr>
              <w:t>تين</w:t>
            </w:r>
            <w:r w:rsidR="00F05415" w:rsidRPr="00C35D0C">
              <w:rPr>
                <w:rFonts w:hint="cs"/>
                <w:b/>
                <w:bCs/>
                <w:position w:val="2"/>
                <w:rtl/>
              </w:rPr>
              <w:t> </w:t>
            </w:r>
            <w:r w:rsidR="00F05415" w:rsidRPr="00C35D0C">
              <w:rPr>
                <w:b/>
                <w:bCs/>
                <w:position w:val="2"/>
              </w:rPr>
              <w:t>ITU</w:t>
            </w:r>
            <w:r w:rsidR="00F05415" w:rsidRPr="00C35D0C">
              <w:rPr>
                <w:b/>
                <w:bCs/>
                <w:position w:val="2"/>
              </w:rPr>
              <w:noBreakHyphen/>
              <w:t>T X.1250</w:t>
            </w:r>
            <w:r w:rsidR="00F05415" w:rsidRPr="00C35D0C">
              <w:rPr>
                <w:rFonts w:hint="cs"/>
                <w:b/>
                <w:bCs/>
                <w:position w:val="2"/>
                <w:rtl/>
              </w:rPr>
              <w:t xml:space="preserve"> و</w:t>
            </w:r>
            <w:r w:rsidR="00F05415" w:rsidRPr="00C35D0C">
              <w:rPr>
                <w:b/>
                <w:bCs/>
                <w:position w:val="2"/>
              </w:rPr>
              <w:t>ITU</w:t>
            </w:r>
            <w:r w:rsidR="00F05415" w:rsidRPr="00C35D0C">
              <w:rPr>
                <w:b/>
                <w:bCs/>
                <w:position w:val="2"/>
              </w:rPr>
              <w:noBreakHyphen/>
              <w:t>T X.1631</w:t>
            </w:r>
            <w:r w:rsidR="00F05415" w:rsidRPr="00C35D0C">
              <w:rPr>
                <w:rFonts w:hint="cs"/>
                <w:b/>
                <w:bCs/>
                <w:position w:val="2"/>
                <w:rtl/>
                <w:lang w:bidi="ar-EG"/>
              </w:rPr>
              <w:t xml:space="preserve"> </w:t>
            </w:r>
            <w:r w:rsidRPr="00C35D0C">
              <w:rPr>
                <w:b/>
                <w:bCs/>
                <w:position w:val="2"/>
                <w:rtl/>
              </w:rPr>
              <w:t>المقترح الموافقة عليها في</w:t>
            </w:r>
            <w:r w:rsidR="001E718F" w:rsidRPr="00C35D0C">
              <w:rPr>
                <w:rFonts w:hint="cs"/>
                <w:b/>
                <w:bCs/>
                <w:position w:val="2"/>
                <w:rtl/>
              </w:rPr>
              <w:t> </w:t>
            </w:r>
            <w:r w:rsidRPr="00C35D0C">
              <w:rPr>
                <w:b/>
                <w:bCs/>
                <w:position w:val="2"/>
                <w:rtl/>
              </w:rPr>
              <w:t>اجتماع لجنة الدراسات 17 لقطاع تقييس الاتصالات، جنيف،</w:t>
            </w:r>
            <w:r w:rsidR="00F05415" w:rsidRPr="00C35D0C">
              <w:rPr>
                <w:rFonts w:hint="cs"/>
                <w:b/>
                <w:bCs/>
                <w:position w:val="2"/>
                <w:rtl/>
              </w:rPr>
              <w:t> </w:t>
            </w:r>
            <w:r w:rsidR="001E718F" w:rsidRPr="00C35D0C">
              <w:rPr>
                <w:b/>
                <w:bCs/>
                <w:position w:val="2"/>
              </w:rPr>
              <w:t>11</w:t>
            </w:r>
            <w:r w:rsidR="00F05415" w:rsidRPr="00C35D0C">
              <w:rPr>
                <w:b/>
                <w:bCs/>
                <w:position w:val="2"/>
              </w:rPr>
              <w:noBreakHyphen/>
            </w:r>
            <w:r w:rsidR="001E718F" w:rsidRPr="00C35D0C">
              <w:rPr>
                <w:b/>
                <w:bCs/>
                <w:position w:val="2"/>
              </w:rPr>
              <w:t>3</w:t>
            </w:r>
            <w:r w:rsidRPr="00C35D0C">
              <w:rPr>
                <w:b/>
                <w:bCs/>
                <w:position w:val="2"/>
                <w:rtl/>
              </w:rPr>
              <w:t xml:space="preserve"> ديسمبر 2025</w:t>
            </w:r>
            <w:bookmarkEnd w:id="0"/>
          </w:p>
        </w:tc>
      </w:tr>
    </w:tbl>
    <w:p w14:paraId="3F37F8E7" w14:textId="77777777" w:rsidR="00D517B2" w:rsidRPr="00161754" w:rsidRDefault="00D517B2" w:rsidP="006635B2">
      <w:pPr>
        <w:spacing w:before="600"/>
        <w:rPr>
          <w:lang w:bidi="ar-SY"/>
        </w:rPr>
      </w:pPr>
      <w:r w:rsidRPr="00161754">
        <w:rPr>
          <w:rFonts w:hint="cs"/>
          <w:rtl/>
          <w:lang w:bidi="ar-SY"/>
        </w:rPr>
        <w:t>حضرات السادة والسيدات،</w:t>
      </w:r>
    </w:p>
    <w:p w14:paraId="61548FFB" w14:textId="77777777" w:rsidR="00D517B2" w:rsidRPr="00161754" w:rsidRDefault="00D517B2" w:rsidP="00D517B2">
      <w:pPr>
        <w:rPr>
          <w:rtl/>
          <w:lang w:bidi="ar-EG"/>
        </w:rPr>
      </w:pPr>
      <w:r w:rsidRPr="00161754">
        <w:rPr>
          <w:rFonts w:hint="cs"/>
          <w:rtl/>
        </w:rPr>
        <w:t>تحية طيبة وبعد،</w:t>
      </w:r>
    </w:p>
    <w:p w14:paraId="6F5EEEE0" w14:textId="03D4025F" w:rsidR="00161754" w:rsidRPr="00161754" w:rsidRDefault="00514A09" w:rsidP="00161754">
      <w:pPr>
        <w:rPr>
          <w:lang w:val="ar-SA" w:bidi="ar-SY"/>
        </w:rPr>
      </w:pPr>
      <w:r>
        <w:t>1</w:t>
      </w:r>
      <w:r>
        <w:rPr>
          <w:rtl/>
          <w:lang w:bidi="ar-EG"/>
        </w:rPr>
        <w:tab/>
      </w:r>
      <w:r w:rsidR="00161754" w:rsidRPr="00161754">
        <w:rPr>
          <w:rtl/>
        </w:rPr>
        <w:t>تعتزم لجنة الدراسات 17 لقطاع تقييس الاتصالات (الأمن) تطبيق إجراء الموافقة التقليدية على النحو المبيّن في</w:t>
      </w:r>
      <w:r>
        <w:rPr>
          <w:rFonts w:hint="cs"/>
          <w:rtl/>
        </w:rPr>
        <w:t> </w:t>
      </w:r>
      <w:r w:rsidR="00161754" w:rsidRPr="00161754">
        <w:rPr>
          <w:rtl/>
        </w:rPr>
        <w:t>القسم 9 من القرار 1 (المراجَع في جنيف، 2022) للجمعية العالمية لتقييس الاتصالات (</w:t>
      </w:r>
      <w:r w:rsidR="00161754" w:rsidRPr="00161754">
        <w:rPr>
          <w:lang w:val="en-GB" w:bidi="ar-SY"/>
        </w:rPr>
        <w:t>WTSA</w:t>
      </w:r>
      <w:r w:rsidR="00161754" w:rsidRPr="00161754">
        <w:rPr>
          <w:rtl/>
        </w:rPr>
        <w:t xml:space="preserve">)، للموافقة على مشاريع التوصيات المذكورة أعلاه خلال اجتماعها الحضوري المقبل الذي سيُعقد في جنيف في الفترة من 3 إلى 11 ديسمبر 2025. ويمكن الاطلاع على جدول أعمال الاجتماع وجميع المعلومات المتصلة به في الرسالة الجماعية </w:t>
      </w:r>
      <w:r>
        <w:fldChar w:fldCharType="begin"/>
      </w:r>
      <w:r>
        <w:instrText>HYPERLINK "https://www.itu.int/md/T25-SG17-COL-0004/en"</w:instrText>
      </w:r>
      <w:r>
        <w:fldChar w:fldCharType="separate"/>
      </w:r>
      <w:r w:rsidRPr="00514A09">
        <w:rPr>
          <w:rStyle w:val="Hyperlink"/>
        </w:rPr>
        <w:t>4/17</w:t>
      </w:r>
      <w:r>
        <w:fldChar w:fldCharType="end"/>
      </w:r>
      <w:r w:rsidR="00161754" w:rsidRPr="00161754">
        <w:rPr>
          <w:rtl/>
        </w:rPr>
        <w:t>.</w:t>
      </w:r>
      <w:hyperlink r:id="rId10" w:history="1"/>
    </w:p>
    <w:p w14:paraId="27FEF0BA" w14:textId="0CC6B5FB" w:rsidR="00161754" w:rsidRPr="00161754" w:rsidRDefault="00514A09" w:rsidP="00161754">
      <w:pPr>
        <w:rPr>
          <w:lang w:val="ar-SA" w:bidi="ar-SY"/>
        </w:rPr>
      </w:pPr>
      <w:r>
        <w:t>2</w:t>
      </w:r>
      <w:r>
        <w:rPr>
          <w:rtl/>
        </w:rPr>
        <w:tab/>
      </w:r>
      <w:r w:rsidR="00161754" w:rsidRPr="00161754">
        <w:rPr>
          <w:rtl/>
        </w:rPr>
        <w:t xml:space="preserve">ويمكن الاطلاع في </w:t>
      </w:r>
      <w:r w:rsidR="00161754" w:rsidRPr="00161754">
        <w:rPr>
          <w:b/>
          <w:bCs/>
          <w:rtl/>
        </w:rPr>
        <w:t>الملحق 1</w:t>
      </w:r>
      <w:r w:rsidR="00161754" w:rsidRPr="00161754">
        <w:rPr>
          <w:rtl/>
        </w:rPr>
        <w:t xml:space="preserve"> على عناوين وملخصات مشاريع توصيات قطاع تقييس الاتصالات التي تُقترح الموافقة عليها والوثائق التي ترد فيها.</w:t>
      </w:r>
    </w:p>
    <w:p w14:paraId="7A65D207" w14:textId="487C5B71" w:rsidR="00161754" w:rsidRPr="00161754" w:rsidRDefault="00161754" w:rsidP="00514A09">
      <w:pPr>
        <w:pStyle w:val="Note"/>
        <w:rPr>
          <w:lang w:val="ar-SA" w:bidi="ar-SY"/>
        </w:rPr>
      </w:pPr>
      <w:r w:rsidRPr="00514A09">
        <w:rPr>
          <w:b/>
          <w:bCs/>
          <w:rtl/>
        </w:rPr>
        <w:t>الملاحظة 1</w:t>
      </w:r>
      <w:r w:rsidRPr="00161754">
        <w:rPr>
          <w:rtl/>
        </w:rPr>
        <w:t xml:space="preserve"> </w:t>
      </w:r>
      <w:r w:rsidR="00C35D0C" w:rsidRPr="00C35D0C">
        <w:rPr>
          <w:rFonts w:hint="cs"/>
          <w:b/>
          <w:bCs/>
          <w:rtl/>
        </w:rPr>
        <w:t xml:space="preserve">من </w:t>
      </w:r>
      <w:r w:rsidR="00C35D0C">
        <w:rPr>
          <w:rFonts w:hint="cs"/>
          <w:b/>
          <w:bCs/>
          <w:rtl/>
        </w:rPr>
        <w:t>مكتب</w:t>
      </w:r>
      <w:r w:rsidR="00C35D0C" w:rsidRPr="00C35D0C">
        <w:rPr>
          <w:rFonts w:hint="cs"/>
          <w:b/>
          <w:bCs/>
          <w:rtl/>
        </w:rPr>
        <w:t xml:space="preserve"> تقييس الاتصالات</w:t>
      </w:r>
      <w:r w:rsidR="00C35D0C">
        <w:rPr>
          <w:rFonts w:hint="cs"/>
          <w:rtl/>
        </w:rPr>
        <w:t xml:space="preserve"> </w:t>
      </w:r>
      <w:r w:rsidRPr="00161754">
        <w:rPr>
          <w:rtl/>
        </w:rPr>
        <w:t>– لم يتم إعداد وثيقة تسويغ بموجب التوصية ITU-T A.5 فيما يتعلق بمشاريع النصوص المحددة المذكورة.</w:t>
      </w:r>
    </w:p>
    <w:p w14:paraId="2F375B2B" w14:textId="4CD1811D" w:rsidR="00161754" w:rsidRPr="00161754" w:rsidRDefault="00161754" w:rsidP="00514A09">
      <w:pPr>
        <w:pStyle w:val="Note"/>
        <w:rPr>
          <w:lang w:val="ar-SA" w:bidi="ar-SY"/>
        </w:rPr>
      </w:pPr>
      <w:r w:rsidRPr="00514A09">
        <w:rPr>
          <w:b/>
          <w:bCs/>
          <w:rtl/>
        </w:rPr>
        <w:t>الملاحظة 2</w:t>
      </w:r>
      <w:r w:rsidRPr="00161754">
        <w:rPr>
          <w:rtl/>
        </w:rPr>
        <w:t xml:space="preserve"> </w:t>
      </w:r>
      <w:r w:rsidR="00C35D0C" w:rsidRPr="00C35D0C">
        <w:rPr>
          <w:rFonts w:hint="cs"/>
          <w:b/>
          <w:bCs/>
          <w:rtl/>
        </w:rPr>
        <w:t xml:space="preserve">من </w:t>
      </w:r>
      <w:r w:rsidR="00C35D0C">
        <w:rPr>
          <w:rFonts w:hint="cs"/>
          <w:b/>
          <w:bCs/>
          <w:rtl/>
        </w:rPr>
        <w:t>مكتب</w:t>
      </w:r>
      <w:r w:rsidR="00C35D0C" w:rsidRPr="00C35D0C">
        <w:rPr>
          <w:rFonts w:hint="cs"/>
          <w:b/>
          <w:bCs/>
          <w:rtl/>
        </w:rPr>
        <w:t xml:space="preserve"> تقييس الاتصالات</w:t>
      </w:r>
      <w:r w:rsidR="00C35D0C">
        <w:rPr>
          <w:rFonts w:hint="cs"/>
          <w:rtl/>
        </w:rPr>
        <w:t xml:space="preserve"> </w:t>
      </w:r>
      <w:r w:rsidRPr="00161754">
        <w:rPr>
          <w:rtl/>
        </w:rPr>
        <w:t>– لم يتلق مكتب تقييس الاتصالات حتى تاريخ هذه الرسالة المعممة أي بيانات عن حقوق الملكية الفكرية فيما يتعلق بأي من هذه النصوص المحددة. وللاطلاع على أحدث المعلومات بهذا الشأن، يُرجى من الأعضاء الرجوع إلى قاعدة بيانات حقوق الملكية الفكرية المتاحة عبر الرابط التالي</w:t>
      </w:r>
      <w:r w:rsidRPr="00161754">
        <w:rPr>
          <w:lang w:val="en-GB" w:bidi="ar-SY"/>
        </w:rPr>
        <w:t>:</w:t>
      </w:r>
      <w:r w:rsidRPr="00161754">
        <w:rPr>
          <w:rtl/>
        </w:rPr>
        <w:t xml:space="preserve"> </w:t>
      </w:r>
      <w:hyperlink r:id="rId11" w:history="1">
        <w:r w:rsidR="00514A09">
          <w:rPr>
            <w:rStyle w:val="Hyperlink"/>
            <w:lang w:val="en-GB"/>
          </w:rPr>
          <w:t>http://www.itu.int/ipr/</w:t>
        </w:r>
      </w:hyperlink>
      <w:r w:rsidRPr="00161754">
        <w:rPr>
          <w:u w:val="single"/>
          <w:rtl/>
        </w:rPr>
        <w:t>.</w:t>
      </w:r>
      <w:hyperlink r:id="rId12" w:history="1"/>
    </w:p>
    <w:p w14:paraId="79B14793" w14:textId="12468349" w:rsidR="00161754" w:rsidRPr="00161754" w:rsidRDefault="004D78CE" w:rsidP="00161754">
      <w:pPr>
        <w:rPr>
          <w:lang w:val="ar-SA" w:bidi="ar-SY"/>
        </w:rPr>
      </w:pPr>
      <w:r>
        <w:t>3</w:t>
      </w:r>
      <w:r>
        <w:rPr>
          <w:rtl/>
        </w:rPr>
        <w:tab/>
      </w:r>
      <w:r w:rsidR="00161754" w:rsidRPr="00161754">
        <w:rPr>
          <w:rtl/>
        </w:rPr>
        <w:t>وتستهل هذه الرسالة المعممة المشاورة الرسمية مع الدول الأعضاء في الاتحاد بشأن ما إذا كان يمكن النظر في هذه النصوص للموافقة عليها في الاجتماع المقبل، وفقاً للفقرة 4.9 من القرار 1. ويُرجى من الدول الأعضاء ملء الاستمارة الواردة في</w:t>
      </w:r>
      <w:r>
        <w:rPr>
          <w:rFonts w:hint="cs"/>
          <w:rtl/>
        </w:rPr>
        <w:t> </w:t>
      </w:r>
      <w:r w:rsidR="00161754" w:rsidRPr="00161754">
        <w:rPr>
          <w:b/>
          <w:bCs/>
          <w:rtl/>
        </w:rPr>
        <w:t>الملحق 2</w:t>
      </w:r>
      <w:r w:rsidR="00161754" w:rsidRPr="00161754">
        <w:rPr>
          <w:rtl/>
        </w:rPr>
        <w:t xml:space="preserve"> وإعادتها في موعد أقصاه </w:t>
      </w:r>
      <w:r w:rsidR="00161754" w:rsidRPr="00161754">
        <w:rPr>
          <w:b/>
          <w:bCs/>
          <w:rtl/>
        </w:rPr>
        <w:t>21 نوفمبر 2025</w:t>
      </w:r>
      <w:r w:rsidR="00161754" w:rsidRPr="00161754">
        <w:rPr>
          <w:rtl/>
        </w:rPr>
        <w:t>، الساعة 23:59 بالتوقيت العالمي المنسق.</w:t>
      </w:r>
    </w:p>
    <w:p w14:paraId="042476C4" w14:textId="70071561" w:rsidR="00D517B2" w:rsidRPr="00161754" w:rsidRDefault="004D78CE" w:rsidP="00C35D0C">
      <w:pPr>
        <w:keepLines/>
        <w:rPr>
          <w:rtl/>
          <w:lang w:bidi="ar-SY"/>
        </w:rPr>
      </w:pPr>
      <w:r>
        <w:lastRenderedPageBreak/>
        <w:t>4</w:t>
      </w:r>
      <w:r>
        <w:rPr>
          <w:rtl/>
        </w:rPr>
        <w:tab/>
      </w:r>
      <w:r w:rsidR="00161754" w:rsidRPr="00161754">
        <w:rPr>
          <w:rtl/>
        </w:rPr>
        <w:t>وإذا كانت نسبة 70 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المضي قدماً أن تبلغ مدير مكتب تقييس الاتصالات بأسباب هذا الرأي وأن تشير إلى التغييرات الممكنة التي من شأنها أن تمكن من إحراز تقدم في العمل.</w:t>
      </w:r>
    </w:p>
    <w:p w14:paraId="05ECE3DF" w14:textId="77777777" w:rsidR="00E84438" w:rsidRPr="00161754" w:rsidRDefault="00E84438" w:rsidP="00C35D0C">
      <w:pPr>
        <w:spacing w:before="240"/>
        <w:jc w:val="left"/>
        <w:rPr>
          <w:rtl/>
          <w:lang w:bidi="ar-EG"/>
        </w:rPr>
      </w:pPr>
      <w:r w:rsidRPr="00161754">
        <w:rPr>
          <w:rFonts w:hint="cs"/>
          <w:rtl/>
          <w:lang w:bidi="ar-EG"/>
        </w:rPr>
        <w:t>وتفضلوا بقبول فائق التقدير والاحترام.</w:t>
      </w:r>
    </w:p>
    <w:p w14:paraId="39574030" w14:textId="6B1E3472" w:rsidR="00E84438" w:rsidRDefault="00170D7E" w:rsidP="0050259D">
      <w:pPr>
        <w:spacing w:before="720"/>
        <w:jc w:val="left"/>
        <w:rPr>
          <w:lang w:bidi="ar-SY"/>
        </w:rPr>
      </w:pPr>
      <w:r>
        <w:rPr>
          <w:rFonts w:hint="cs"/>
          <w:noProof/>
          <w:rtl/>
          <w:lang w:val="ar-SY" w:bidi="ar-SY"/>
        </w:rPr>
        <w:drawing>
          <wp:anchor distT="0" distB="0" distL="114300" distR="114300" simplePos="0" relativeHeight="251658240" behindDoc="1" locked="0" layoutInCell="1" allowOverlap="1" wp14:anchorId="03D7AE5A" wp14:editId="0DA18681">
            <wp:simplePos x="0" y="0"/>
            <wp:positionH relativeFrom="column">
              <wp:posOffset>5293360</wp:posOffset>
            </wp:positionH>
            <wp:positionV relativeFrom="paragraph">
              <wp:posOffset>47625</wp:posOffset>
            </wp:positionV>
            <wp:extent cx="768350" cy="368300"/>
            <wp:effectExtent l="0" t="0" r="0" b="0"/>
            <wp:wrapNone/>
            <wp:docPr id="96520818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08180" name="Picture 1" descr="A black and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807031" w:rsidRPr="00161754">
        <w:rPr>
          <w:rFonts w:hint="cs"/>
          <w:rtl/>
          <w:lang w:bidi="ar-SY"/>
        </w:rPr>
        <w:t>سيزو أونوي</w:t>
      </w:r>
      <w:r w:rsidR="00E84438" w:rsidRPr="00161754">
        <w:rPr>
          <w:rtl/>
          <w:lang w:bidi="ar-SY"/>
        </w:rPr>
        <w:br/>
      </w:r>
      <w:r w:rsidR="00E84438" w:rsidRPr="00161754">
        <w:rPr>
          <w:rFonts w:hint="cs"/>
          <w:rtl/>
          <w:lang w:bidi="ar-SY"/>
        </w:rPr>
        <w:t>مدير</w:t>
      </w:r>
      <w:r w:rsidR="00E84438" w:rsidRPr="00161754">
        <w:rPr>
          <w:rtl/>
          <w:lang w:bidi="ar-SY"/>
        </w:rPr>
        <w:t xml:space="preserve"> </w:t>
      </w:r>
      <w:r w:rsidR="00E84438" w:rsidRPr="00161754">
        <w:rPr>
          <w:rFonts w:hint="cs"/>
          <w:rtl/>
          <w:lang w:bidi="ar-SY"/>
        </w:rPr>
        <w:t>مكتب</w:t>
      </w:r>
      <w:r w:rsidR="00E84438" w:rsidRPr="00161754">
        <w:rPr>
          <w:rtl/>
          <w:lang w:bidi="ar-SY"/>
        </w:rPr>
        <w:t xml:space="preserve"> </w:t>
      </w:r>
      <w:r w:rsidR="00E84438" w:rsidRPr="00161754">
        <w:rPr>
          <w:rFonts w:hint="cs"/>
          <w:rtl/>
          <w:lang w:bidi="ar-SY"/>
        </w:rPr>
        <w:t>تقييس</w:t>
      </w:r>
      <w:r w:rsidR="00E84438" w:rsidRPr="00161754">
        <w:rPr>
          <w:rtl/>
          <w:lang w:bidi="ar-SY"/>
        </w:rPr>
        <w:t xml:space="preserve"> </w:t>
      </w:r>
      <w:r w:rsidR="00E84438" w:rsidRPr="00161754">
        <w:rPr>
          <w:rFonts w:hint="cs"/>
          <w:rtl/>
          <w:lang w:bidi="ar-SY"/>
        </w:rPr>
        <w:t>الاتصالات</w:t>
      </w:r>
    </w:p>
    <w:p w14:paraId="74247233" w14:textId="35C507C7" w:rsidR="00161754" w:rsidRDefault="00161754" w:rsidP="004D78CE">
      <w:pPr>
        <w:spacing w:before="3000"/>
        <w:jc w:val="left"/>
      </w:pPr>
      <w:r w:rsidRPr="00161754">
        <w:rPr>
          <w:b/>
          <w:bCs/>
          <w:rtl/>
        </w:rPr>
        <w:t>الملحقات:</w:t>
      </w:r>
      <w:r w:rsidRPr="00161754">
        <w:rPr>
          <w:rtl/>
        </w:rPr>
        <w:tab/>
        <w:t>2</w:t>
      </w:r>
    </w:p>
    <w:p w14:paraId="62C82632" w14:textId="27F07548" w:rsidR="00161754" w:rsidRDefault="00161754" w:rsidP="00161754">
      <w:pPr>
        <w:jc w:val="left"/>
      </w:pPr>
      <w:r>
        <w:br w:type="page"/>
      </w:r>
    </w:p>
    <w:p w14:paraId="3566D127" w14:textId="4C3A8D55" w:rsidR="00161754" w:rsidRPr="00C35D0C" w:rsidRDefault="00161754" w:rsidP="006E609B">
      <w:pPr>
        <w:pStyle w:val="Annextitle"/>
        <w:rPr>
          <w:lang w:bidi="ar-SA"/>
        </w:rPr>
      </w:pPr>
      <w:r w:rsidRPr="00C35D0C">
        <w:rPr>
          <w:rtl/>
        </w:rPr>
        <w:lastRenderedPageBreak/>
        <w:t>الملحق 1</w:t>
      </w:r>
      <w:r w:rsidR="004D78CE" w:rsidRPr="00C35D0C">
        <w:rPr>
          <w:rtl/>
        </w:rPr>
        <w:br/>
      </w:r>
      <w:r w:rsidRPr="00C35D0C">
        <w:rPr>
          <w:rtl/>
        </w:rPr>
        <w:t xml:space="preserve">ملخصات مشاريع التوصيات الجديدة المحددة </w:t>
      </w:r>
      <w:r w:rsidR="00C35D0C" w:rsidRPr="00C35D0C">
        <w:rPr>
          <w:spacing w:val="-6"/>
          <w:position w:val="2"/>
          <w:rtl/>
        </w:rPr>
        <w:t>TU-T X.1062</w:t>
      </w:r>
      <w:r w:rsidR="00C35D0C" w:rsidRPr="00C35D0C">
        <w:rPr>
          <w:spacing w:val="-6"/>
          <w:position w:val="2"/>
        </w:rPr>
        <w:t>I</w:t>
      </w:r>
      <w:r w:rsidR="00C35D0C" w:rsidRPr="00C35D0C">
        <w:rPr>
          <w:spacing w:val="-6"/>
          <w:position w:val="2"/>
          <w:rtl/>
        </w:rPr>
        <w:t xml:space="preserve"> (X.shcd سابقاً) و</w:t>
      </w:r>
      <w:r w:rsidR="00C35D0C" w:rsidRPr="00C35D0C">
        <w:rPr>
          <w:spacing w:val="-6"/>
          <w:position w:val="2"/>
        </w:rPr>
        <w:t>ITU</w:t>
      </w:r>
      <w:r w:rsidR="00C35D0C" w:rsidRPr="00C35D0C">
        <w:rPr>
          <w:spacing w:val="-6"/>
          <w:position w:val="2"/>
        </w:rPr>
        <w:noBreakHyphen/>
        <w:t>T X.1238</w:t>
      </w:r>
      <w:r w:rsidR="00C35D0C" w:rsidRPr="00C35D0C">
        <w:rPr>
          <w:spacing w:val="-6"/>
          <w:position w:val="2"/>
          <w:rtl/>
        </w:rPr>
        <w:t xml:space="preserve"> (X.sgc-rcs سابقاً) وX.1128</w:t>
      </w:r>
      <w:r w:rsidR="00C35D0C" w:rsidRPr="00C35D0C">
        <w:rPr>
          <w:spacing w:val="-6"/>
          <w:position w:val="2"/>
        </w:rPr>
        <w:t>ITU</w:t>
      </w:r>
      <w:r w:rsidR="00C35D0C" w:rsidRPr="00C35D0C">
        <w:rPr>
          <w:spacing w:val="-6"/>
          <w:position w:val="2"/>
        </w:rPr>
        <w:noBreakHyphen/>
        <w:t>T </w:t>
      </w:r>
      <w:r w:rsidR="00C35D0C" w:rsidRPr="00C35D0C">
        <w:rPr>
          <w:spacing w:val="-6"/>
          <w:position w:val="2"/>
          <w:rtl/>
        </w:rPr>
        <w:t xml:space="preserve"> (X.mt-feature سابقاً) وX.1129</w:t>
      </w:r>
      <w:r w:rsidR="00C35D0C" w:rsidRPr="00C35D0C">
        <w:rPr>
          <w:spacing w:val="-6"/>
          <w:position w:val="2"/>
        </w:rPr>
        <w:t>ITU</w:t>
      </w:r>
      <w:r w:rsidR="00C35D0C" w:rsidRPr="00C35D0C">
        <w:rPr>
          <w:spacing w:val="-6"/>
          <w:position w:val="2"/>
        </w:rPr>
        <w:noBreakHyphen/>
        <w:t>T </w:t>
      </w:r>
      <w:r w:rsidR="00C35D0C" w:rsidRPr="00C35D0C">
        <w:rPr>
          <w:spacing w:val="-6"/>
          <w:position w:val="2"/>
          <w:rtl/>
        </w:rPr>
        <w:t xml:space="preserve"> (</w:t>
      </w:r>
      <w:r w:rsidR="00C35D0C" w:rsidRPr="00C35D0C">
        <w:rPr>
          <w:spacing w:val="-6"/>
          <w:position w:val="2"/>
          <w:lang w:val="en-GB"/>
        </w:rPr>
        <w:t>X.mt</w:t>
      </w:r>
      <w:r w:rsidR="00C35D0C" w:rsidRPr="00C35D0C">
        <w:rPr>
          <w:spacing w:val="-6"/>
          <w:position w:val="2"/>
          <w:lang w:val="en-GB"/>
        </w:rPr>
        <w:noBreakHyphen/>
        <w:t>integrity</w:t>
      </w:r>
      <w:r w:rsidR="00C35D0C" w:rsidRPr="00C35D0C">
        <w:rPr>
          <w:spacing w:val="-6"/>
          <w:position w:val="2"/>
          <w:rtl/>
        </w:rPr>
        <w:t xml:space="preserve"> سابقاً) وX.1130</w:t>
      </w:r>
      <w:r w:rsidR="00C35D0C" w:rsidRPr="00C35D0C">
        <w:rPr>
          <w:spacing w:val="-6"/>
          <w:position w:val="2"/>
        </w:rPr>
        <w:t>ITU</w:t>
      </w:r>
      <w:r w:rsidR="00C35D0C" w:rsidRPr="00C35D0C">
        <w:rPr>
          <w:spacing w:val="-6"/>
          <w:position w:val="2"/>
        </w:rPr>
        <w:noBreakHyphen/>
        <w:t>T </w:t>
      </w:r>
      <w:r w:rsidR="00C35D0C" w:rsidRPr="00C35D0C">
        <w:rPr>
          <w:spacing w:val="-6"/>
          <w:position w:val="2"/>
          <w:rtl/>
        </w:rPr>
        <w:t xml:space="preserve"> (X.tg-fdma سابقا</w:t>
      </w:r>
      <w:r w:rsidR="00C35D0C" w:rsidRPr="00C35D0C">
        <w:rPr>
          <w:rFonts w:hint="cs"/>
          <w:spacing w:val="-6"/>
          <w:position w:val="2"/>
          <w:rtl/>
        </w:rPr>
        <w:t>ً</w:t>
      </w:r>
      <w:r w:rsidR="00C35D0C" w:rsidRPr="00C35D0C">
        <w:rPr>
          <w:spacing w:val="-6"/>
          <w:position w:val="2"/>
          <w:rtl/>
        </w:rPr>
        <w:t>) وX.1457</w:t>
      </w:r>
      <w:r w:rsidR="00C35D0C" w:rsidRPr="00C35D0C">
        <w:rPr>
          <w:spacing w:val="-6"/>
          <w:position w:val="2"/>
        </w:rPr>
        <w:t xml:space="preserve"> ITU</w:t>
      </w:r>
      <w:r w:rsidR="00C35D0C" w:rsidRPr="00C35D0C">
        <w:rPr>
          <w:spacing w:val="-6"/>
          <w:position w:val="2"/>
        </w:rPr>
        <w:noBreakHyphen/>
        <w:t>T </w:t>
      </w:r>
      <w:r w:rsidR="00C35D0C" w:rsidRPr="00C35D0C">
        <w:rPr>
          <w:spacing w:val="-6"/>
          <w:position w:val="2"/>
          <w:rtl/>
        </w:rPr>
        <w:t xml:space="preserve"> (X.str-irs سابقاً) وX.1753</w:t>
      </w:r>
      <w:r w:rsidR="00C35D0C">
        <w:rPr>
          <w:rFonts w:hint="cs"/>
          <w:spacing w:val="-6"/>
          <w:position w:val="2"/>
          <w:rtl/>
        </w:rPr>
        <w:t> </w:t>
      </w:r>
      <w:r w:rsidR="00C35D0C" w:rsidRPr="00C35D0C">
        <w:rPr>
          <w:spacing w:val="-6"/>
          <w:position w:val="2"/>
        </w:rPr>
        <w:t>ITU</w:t>
      </w:r>
      <w:r w:rsidR="00C35D0C" w:rsidRPr="00C35D0C">
        <w:rPr>
          <w:spacing w:val="-6"/>
          <w:position w:val="2"/>
        </w:rPr>
        <w:noBreakHyphen/>
        <w:t>T </w:t>
      </w:r>
      <w:r w:rsidR="00C35D0C" w:rsidRPr="00C35D0C">
        <w:rPr>
          <w:spacing w:val="-6"/>
          <w:position w:val="2"/>
          <w:rtl/>
        </w:rPr>
        <w:t xml:space="preserve"> (X.gdsml سابقاً) وX.1649</w:t>
      </w:r>
      <w:r w:rsidR="00C35D0C" w:rsidRPr="00C35D0C">
        <w:rPr>
          <w:spacing w:val="-6"/>
          <w:position w:val="2"/>
        </w:rPr>
        <w:t> ITU</w:t>
      </w:r>
      <w:r w:rsidR="00C35D0C" w:rsidRPr="00C35D0C">
        <w:rPr>
          <w:spacing w:val="-6"/>
          <w:position w:val="2"/>
        </w:rPr>
        <w:noBreakHyphen/>
        <w:t>T </w:t>
      </w:r>
      <w:r w:rsidR="00C35D0C" w:rsidRPr="00C35D0C">
        <w:rPr>
          <w:spacing w:val="-6"/>
          <w:position w:val="2"/>
          <w:rtl/>
        </w:rPr>
        <w:t>(X.sgmc سابقاً) والتوصي</w:t>
      </w:r>
      <w:r w:rsidR="00C35D0C" w:rsidRPr="00C35D0C">
        <w:rPr>
          <w:rFonts w:hint="cs"/>
          <w:spacing w:val="-6"/>
          <w:position w:val="2"/>
          <w:rtl/>
        </w:rPr>
        <w:t>تين</w:t>
      </w:r>
      <w:r w:rsidR="00C35D0C" w:rsidRPr="00C35D0C">
        <w:rPr>
          <w:spacing w:val="-6"/>
          <w:position w:val="2"/>
          <w:rtl/>
        </w:rPr>
        <w:t xml:space="preserve"> المراج</w:t>
      </w:r>
      <w:r w:rsidR="00C35D0C" w:rsidRPr="00C35D0C">
        <w:rPr>
          <w:rFonts w:hint="cs"/>
          <w:spacing w:val="-6"/>
          <w:position w:val="2"/>
          <w:rtl/>
        </w:rPr>
        <w:t>َ</w:t>
      </w:r>
      <w:r w:rsidR="00C35D0C" w:rsidRPr="00C35D0C">
        <w:rPr>
          <w:spacing w:val="-6"/>
          <w:position w:val="2"/>
          <w:rtl/>
        </w:rPr>
        <w:t>ع</w:t>
      </w:r>
      <w:r w:rsidR="00C35D0C" w:rsidRPr="00C35D0C">
        <w:rPr>
          <w:rFonts w:hint="cs"/>
          <w:spacing w:val="-6"/>
          <w:position w:val="2"/>
          <w:rtl/>
        </w:rPr>
        <w:t>تين </w:t>
      </w:r>
      <w:r w:rsidR="00C35D0C" w:rsidRPr="00C35D0C">
        <w:rPr>
          <w:spacing w:val="-6"/>
          <w:position w:val="2"/>
        </w:rPr>
        <w:t>ITU</w:t>
      </w:r>
      <w:r w:rsidR="00C35D0C" w:rsidRPr="00C35D0C">
        <w:rPr>
          <w:spacing w:val="-6"/>
          <w:position w:val="2"/>
        </w:rPr>
        <w:noBreakHyphen/>
        <w:t>T X.1250</w:t>
      </w:r>
      <w:r w:rsidR="00C35D0C" w:rsidRPr="00C35D0C">
        <w:rPr>
          <w:rFonts w:hint="cs"/>
          <w:spacing w:val="-6"/>
          <w:position w:val="2"/>
          <w:rtl/>
        </w:rPr>
        <w:t xml:space="preserve"> و</w:t>
      </w:r>
      <w:r w:rsidR="00C35D0C" w:rsidRPr="00C35D0C">
        <w:rPr>
          <w:spacing w:val="-6"/>
          <w:position w:val="2"/>
        </w:rPr>
        <w:t>ITU</w:t>
      </w:r>
      <w:r w:rsidR="00C35D0C" w:rsidRPr="00C35D0C">
        <w:rPr>
          <w:spacing w:val="-6"/>
          <w:position w:val="2"/>
        </w:rPr>
        <w:noBreakHyphen/>
        <w:t>T X.1631</w:t>
      </w:r>
      <w:r w:rsidRPr="00C35D0C">
        <w:rPr>
          <w:rtl/>
        </w:rPr>
        <w:t xml:space="preserve"> والوثائق التي ترد فيها</w:t>
      </w:r>
    </w:p>
    <w:p w14:paraId="4472933E" w14:textId="119B07BA" w:rsidR="00161754" w:rsidRPr="00826A56" w:rsidRDefault="00826A56" w:rsidP="00C35D0C">
      <w:pPr>
        <w:pStyle w:val="Heading1"/>
      </w:pPr>
      <w:r w:rsidRPr="00826A56">
        <w:rPr>
          <w:lang w:bidi="ar-EG"/>
        </w:rPr>
        <w:t>1</w:t>
      </w:r>
      <w:r w:rsidRPr="00826A56">
        <w:rPr>
          <w:rtl/>
          <w:lang w:bidi="ar-EG"/>
        </w:rPr>
        <w:tab/>
      </w:r>
      <w:r w:rsidR="00161754" w:rsidRPr="00826A56">
        <w:rPr>
          <w:rtl/>
        </w:rPr>
        <w:t>مشروع التوصية الجديدة ITU-T X.1062 (X.shcd سابقاً) [</w:t>
      </w:r>
      <w:r w:rsidR="00161754">
        <w:fldChar w:fldCharType="begin"/>
      </w:r>
      <w:r w:rsidR="00161754">
        <w:instrText>HYPERLINK "https://www.itu.int/md/meetingdoc.asp?lang=en&amp;parent=T25-SG17-R-0006"</w:instrText>
      </w:r>
      <w:r w:rsidR="00161754">
        <w:fldChar w:fldCharType="separate"/>
      </w:r>
      <w:r w:rsidR="00161754" w:rsidRPr="00826A56">
        <w:rPr>
          <w:rStyle w:val="Hyperlink"/>
          <w:rtl/>
        </w:rPr>
        <w:t>SG17-R6</w:t>
      </w:r>
      <w:r w:rsidR="00161754">
        <w:fldChar w:fldCharType="end"/>
      </w:r>
      <w:r w:rsidR="00161754" w:rsidRPr="00826A56">
        <w:rPr>
          <w:rtl/>
        </w:rPr>
        <w:t>]</w:t>
      </w:r>
      <w:r w:rsidR="00161754">
        <w:fldChar w:fldCharType="begin"/>
      </w:r>
      <w:r w:rsidR="00161754">
        <w:instrText>HYPERLINK "https://www.itu.int/md/meetingdoc.asp?lang=en&amp;parent=T25-SG17-R-0006"</w:instrText>
      </w:r>
      <w:r w:rsidR="00161754">
        <w:fldChar w:fldCharType="separate"/>
      </w:r>
      <w:r w:rsidR="00161754">
        <w:fldChar w:fldCharType="end"/>
      </w:r>
    </w:p>
    <w:p w14:paraId="7A8795B3" w14:textId="77777777" w:rsidR="00161754" w:rsidRPr="00161754" w:rsidRDefault="00161754" w:rsidP="00453F27">
      <w:r w:rsidRPr="00161754">
        <w:rPr>
          <w:rtl/>
        </w:rPr>
        <w:t>إطار لتنمية القدرات البشرية الأمنية</w:t>
      </w:r>
    </w:p>
    <w:p w14:paraId="3E86EE9C" w14:textId="77777777" w:rsidR="00161754" w:rsidRPr="00161754" w:rsidRDefault="00161754" w:rsidP="00826A56">
      <w:pPr>
        <w:pStyle w:val="Headingb"/>
      </w:pPr>
      <w:r w:rsidRPr="00161754">
        <w:rPr>
          <w:rtl/>
        </w:rPr>
        <w:t>ملخص</w:t>
      </w:r>
    </w:p>
    <w:p w14:paraId="597CB6CE" w14:textId="77777777" w:rsidR="00161754" w:rsidRPr="00161754" w:rsidRDefault="00161754" w:rsidP="00453F27">
      <w:r w:rsidRPr="00161754">
        <w:rPr>
          <w:rtl/>
        </w:rPr>
        <w:t>الأمن السيبراني موضوع واسع ومتطور باستمرار يتطلب التعلم وتنمية المهارات بشكل متواصل. وتحدد هذه التوصية إطاراً لتنمية القدرات البشرية الأمنية بغرض تقديم مبادئ توجيهية لتطوير الممارسين والمهنيين في مجال الأمن من خلال تنمية كفاءاتهم والاعتراف بمهاراتهم ومعارفهم الأمنية في المؤسسة.</w:t>
      </w:r>
    </w:p>
    <w:p w14:paraId="207DD867" w14:textId="61B50D35" w:rsidR="00161754" w:rsidRPr="00161754" w:rsidRDefault="00826A56" w:rsidP="00C35D0C">
      <w:pPr>
        <w:pStyle w:val="Heading1"/>
        <w:rPr>
          <w:lang w:bidi="ar-EG"/>
        </w:rPr>
      </w:pPr>
      <w:r>
        <w:rPr>
          <w:lang w:bidi="ar-EG"/>
        </w:rPr>
        <w:t>2</w:t>
      </w:r>
      <w:r>
        <w:rPr>
          <w:rtl/>
          <w:lang w:bidi="ar-EG"/>
        </w:rPr>
        <w:tab/>
      </w:r>
      <w:r w:rsidR="00161754" w:rsidRPr="00161754">
        <w:rPr>
          <w:rtl/>
          <w:lang w:bidi="ar-EG"/>
        </w:rPr>
        <w:t>مشروع التوصية الجديدة ITU-T X.1238 (X.sgc-rcs سابقاً) [</w:t>
      </w:r>
      <w:r w:rsidR="00161754">
        <w:fldChar w:fldCharType="begin"/>
      </w:r>
      <w:r w:rsidR="00161754">
        <w:instrText>HYPERLINK "https://www.itu.int/md/meetingdoc.asp?lang=en&amp;parent=T25-SG17-R-0007"</w:instrText>
      </w:r>
      <w:r w:rsidR="00161754">
        <w:fldChar w:fldCharType="separate"/>
      </w:r>
      <w:r w:rsidR="00161754" w:rsidRPr="00161754">
        <w:rPr>
          <w:rStyle w:val="Hyperlink"/>
          <w:rtl/>
          <w:lang w:bidi="ar-EG"/>
        </w:rPr>
        <w:t>SG17-R7</w:t>
      </w:r>
      <w:r w:rsidR="00161754">
        <w:fldChar w:fldCharType="end"/>
      </w:r>
      <w:r w:rsidR="00161754" w:rsidRPr="00161754">
        <w:rPr>
          <w:rtl/>
          <w:lang w:bidi="ar-EG"/>
        </w:rPr>
        <w:t>]</w:t>
      </w:r>
      <w:r w:rsidR="00161754">
        <w:fldChar w:fldCharType="begin"/>
      </w:r>
      <w:r w:rsidR="00161754">
        <w:instrText>HYPERLINK "https://www.itu.int/md/meetingdoc.asp?lang=en&amp;parent=T25-SG17-R-0007"</w:instrText>
      </w:r>
      <w:r w:rsidR="00161754">
        <w:fldChar w:fldCharType="separate"/>
      </w:r>
      <w:r w:rsidR="00161754">
        <w:fldChar w:fldCharType="end"/>
      </w:r>
    </w:p>
    <w:p w14:paraId="16E3998C" w14:textId="218D92BA" w:rsidR="00161754" w:rsidRPr="00161754" w:rsidRDefault="00161754" w:rsidP="00453F27">
      <w:r w:rsidRPr="00161754">
        <w:rPr>
          <w:rtl/>
        </w:rPr>
        <w:t xml:space="preserve">مبادئ توجيهية لمكافحة الرسائل الاقتحامية عبر خدمة الاتصالات الغنية </w:t>
      </w:r>
      <w:r w:rsidRPr="00161754">
        <w:rPr>
          <w:lang w:val="en-GB"/>
        </w:rPr>
        <w:t>(RCS</w:t>
      </w:r>
      <w:r w:rsidR="00826A56" w:rsidRPr="00826A56">
        <w:t>)</w:t>
      </w:r>
    </w:p>
    <w:p w14:paraId="34865731" w14:textId="77777777" w:rsidR="00161754" w:rsidRPr="00161754" w:rsidRDefault="00161754" w:rsidP="008A332D">
      <w:pPr>
        <w:pStyle w:val="Headingb"/>
      </w:pPr>
      <w:r w:rsidRPr="00161754">
        <w:rPr>
          <w:rtl/>
        </w:rPr>
        <w:t>ملخص</w:t>
      </w:r>
    </w:p>
    <w:p w14:paraId="20CBC9A5" w14:textId="0EAFC8A7" w:rsidR="00161754" w:rsidRPr="00161754" w:rsidRDefault="00161754" w:rsidP="00453F27">
      <w:r w:rsidRPr="00161754">
        <w:rPr>
          <w:rtl/>
        </w:rPr>
        <w:t xml:space="preserve">تحدد هذه التوصية التوجيهات والأدوات التمكينية التقنية التي تدعم موردي خدمة الاتصالات الغنية </w:t>
      </w:r>
      <w:r w:rsidRPr="00161754">
        <w:rPr>
          <w:lang w:val="en-GB"/>
        </w:rPr>
        <w:t>(RCS</w:t>
      </w:r>
      <w:r w:rsidR="008A332D">
        <w:t>)</w:t>
      </w:r>
      <w:r w:rsidRPr="00161754">
        <w:rPr>
          <w:rtl/>
        </w:rPr>
        <w:t xml:space="preserve"> لمنع توزيع البريد الاقتحامي على أساس خصوصيات الخدمة </w:t>
      </w:r>
      <w:r w:rsidRPr="00161754">
        <w:rPr>
          <w:lang w:val="en-GB"/>
        </w:rPr>
        <w:t>RCS</w:t>
      </w:r>
      <w:r w:rsidRPr="00161754">
        <w:rPr>
          <w:rtl/>
        </w:rPr>
        <w:t>، وتحدد آلية لمنع الاقتحام ومكافحته يدعمه عميل RCS.</w:t>
      </w:r>
    </w:p>
    <w:p w14:paraId="4503866C" w14:textId="7A8EE5C1" w:rsidR="00161754" w:rsidRPr="00161754" w:rsidRDefault="00161754" w:rsidP="00453F27">
      <w:r w:rsidRPr="00161754">
        <w:rPr>
          <w:rtl/>
        </w:rPr>
        <w:t xml:space="preserve">وتقتبس هذه التوصية معمارية </w:t>
      </w:r>
      <w:r w:rsidRPr="00161754">
        <w:rPr>
          <w:lang w:val="en-GB"/>
        </w:rPr>
        <w:t>RCS</w:t>
      </w:r>
      <w:r w:rsidRPr="00161754">
        <w:rPr>
          <w:rtl/>
        </w:rPr>
        <w:t xml:space="preserve"> كما هي معرفة في الرابطة GSMA</w:t>
      </w:r>
      <w:r w:rsidR="00C35D0C">
        <w:t> </w:t>
      </w:r>
      <w:r w:rsidRPr="00161754">
        <w:rPr>
          <w:rtl/>
        </w:rPr>
        <w:t xml:space="preserve">[b-GSMA RCC.07] وتركز على كيفية التخفيف من مخاطر </w:t>
      </w:r>
      <w:r w:rsidRPr="00161754">
        <w:rPr>
          <w:lang w:val="en-GB"/>
        </w:rPr>
        <w:t>RCS</w:t>
      </w:r>
      <w:r w:rsidRPr="00161754">
        <w:rPr>
          <w:rtl/>
        </w:rPr>
        <w:t xml:space="preserve"> الناجمة عن الرسائل </w:t>
      </w:r>
      <w:r w:rsidRPr="00161754">
        <w:rPr>
          <w:lang w:val="en-GB"/>
        </w:rPr>
        <w:t>RCS</w:t>
      </w:r>
      <w:r w:rsidRPr="00161754">
        <w:rPr>
          <w:rtl/>
        </w:rPr>
        <w:t>.</w:t>
      </w:r>
    </w:p>
    <w:p w14:paraId="3348C204" w14:textId="73041454" w:rsidR="00161754" w:rsidRPr="00373ADF" w:rsidRDefault="00453F27" w:rsidP="00C35D0C">
      <w:pPr>
        <w:pStyle w:val="Heading1"/>
      </w:pPr>
      <w:r w:rsidRPr="00373ADF">
        <w:t>3</w:t>
      </w:r>
      <w:r w:rsidRPr="00373ADF">
        <w:rPr>
          <w:rtl/>
          <w:lang w:bidi="ar-EG"/>
        </w:rPr>
        <w:tab/>
      </w:r>
      <w:r w:rsidR="00161754" w:rsidRPr="00373ADF">
        <w:rPr>
          <w:rtl/>
        </w:rPr>
        <w:t>مشروع التوصية الجديدة ITU-T X.1128 (X.mt-feature سابقاً) [</w:t>
      </w:r>
      <w:r w:rsidR="00161754">
        <w:fldChar w:fldCharType="begin"/>
      </w:r>
      <w:r w:rsidR="00161754">
        <w:instrText>HYPERLINK "https://www.itu.int/md/meetingdoc.asp?lang=en&amp;parent=T25-SG17-R-0008"</w:instrText>
      </w:r>
      <w:r w:rsidR="00161754">
        <w:fldChar w:fldCharType="separate"/>
      </w:r>
      <w:r w:rsidR="00161754" w:rsidRPr="00373ADF">
        <w:rPr>
          <w:rStyle w:val="Hyperlink"/>
          <w:rtl/>
        </w:rPr>
        <w:t>SG17-R8</w:t>
      </w:r>
      <w:r w:rsidR="00161754">
        <w:fldChar w:fldCharType="end"/>
      </w:r>
      <w:r w:rsidR="00161754" w:rsidRPr="00373ADF">
        <w:rPr>
          <w:rtl/>
        </w:rPr>
        <w:t>]</w:t>
      </w:r>
      <w:r w:rsidR="00161754">
        <w:fldChar w:fldCharType="begin"/>
      </w:r>
      <w:r w:rsidR="00161754">
        <w:instrText>HYPERLINK "https://www.itu.int/md/meetingdoc.asp?lang=en&amp;parent=T25-SG17-R-0008"</w:instrText>
      </w:r>
      <w:r w:rsidR="00161754">
        <w:fldChar w:fldCharType="separate"/>
      </w:r>
      <w:r w:rsidR="00161754">
        <w:fldChar w:fldCharType="end"/>
      </w:r>
    </w:p>
    <w:p w14:paraId="0947D2B2" w14:textId="77777777" w:rsidR="00161754" w:rsidRPr="00161754" w:rsidRDefault="00161754" w:rsidP="00453F27">
      <w:r w:rsidRPr="00161754">
        <w:rPr>
          <w:rtl/>
        </w:rPr>
        <w:t>سمات أمنية لتقييم أمن المطاريف المتنقلة</w:t>
      </w:r>
    </w:p>
    <w:p w14:paraId="236AB5D5" w14:textId="77777777" w:rsidR="00161754" w:rsidRPr="00161754" w:rsidRDefault="00161754" w:rsidP="00453F27">
      <w:pPr>
        <w:pStyle w:val="Headingb"/>
      </w:pPr>
      <w:r w:rsidRPr="00161754">
        <w:rPr>
          <w:rtl/>
        </w:rPr>
        <w:t>ملخص</w:t>
      </w:r>
    </w:p>
    <w:p w14:paraId="4FCE6493" w14:textId="1CE16C5D" w:rsidR="00161754" w:rsidRPr="00161754" w:rsidRDefault="00161754" w:rsidP="00453F27">
      <w:r w:rsidRPr="00161754">
        <w:rPr>
          <w:rtl/>
        </w:rPr>
        <w:t>تغيِّر المطاريف المتنقلة وخاصةً الهواتف الذكية عمل الناس وأسلوب حياتهم. فعلى سبيل المثال، تشهد المدفوعات المتنقلة نمواً سريعاً حيث يستخدم المستهلكون المطاريف المتنقلة كجزء من أنماط حياتهم الدينامية الحديثة؛ ويدعم المزيد من المؤسسات الموظفين النافذين إلى خدمات المؤسسة من خلال المطاريف المتنقلة الشخصية؛ وما إلى ذلك. ولكن أمن المطاريف المتنقلة يمثل تحدياً كبيراً لخدمات التطبيقات المتنقلة على هذا النحو. فعلى سبيل المثال، قد يعرِّض المستخدمون عن غير قصد مطارفيهم لبرمجيات خبيثة ويعرِّضون البيانات الحساسة لمخاطر خروقات البيانات.</w:t>
      </w:r>
    </w:p>
    <w:p w14:paraId="3BF53E15" w14:textId="77777777" w:rsidR="00161754" w:rsidRPr="00161754" w:rsidRDefault="00161754" w:rsidP="00453F27">
      <w:r w:rsidRPr="00161754">
        <w:rPr>
          <w:rtl/>
        </w:rPr>
        <w:t>وتقدم هذه التوصية سمات أمنية لتقييم أمن المطاريف المتنقلة ومعلومات عن كيفية استخدام أصحاب المصلحة المعنيين للسمات الأمنية الواردة في هذه التوصية.</w:t>
      </w:r>
    </w:p>
    <w:p w14:paraId="4A5B8DEF" w14:textId="4210AD27" w:rsidR="00161754" w:rsidRPr="00373ADF" w:rsidRDefault="00373ADF" w:rsidP="00C35D0C">
      <w:pPr>
        <w:pStyle w:val="Heading1"/>
      </w:pPr>
      <w:r w:rsidRPr="00373ADF">
        <w:t>4</w:t>
      </w:r>
      <w:r w:rsidRPr="00373ADF">
        <w:rPr>
          <w:rtl/>
          <w:lang w:bidi="ar-EG"/>
        </w:rPr>
        <w:tab/>
      </w:r>
      <w:r w:rsidR="00161754" w:rsidRPr="00373ADF">
        <w:rPr>
          <w:rtl/>
        </w:rPr>
        <w:t>مشروع التوصية الجديدة ITU-T X.1129 (X.mt-integrity سابقاً) [</w:t>
      </w:r>
      <w:r w:rsidR="00161754">
        <w:fldChar w:fldCharType="begin"/>
      </w:r>
      <w:r w:rsidR="00161754">
        <w:instrText>HYPERLINK "https://www.itu.int/md/meetingdoc.asp?lang=en&amp;parent=T25-SG17-R-0009"</w:instrText>
      </w:r>
      <w:r w:rsidR="00161754">
        <w:fldChar w:fldCharType="separate"/>
      </w:r>
      <w:r w:rsidR="00161754" w:rsidRPr="00373ADF">
        <w:rPr>
          <w:rStyle w:val="Hyperlink"/>
          <w:rtl/>
        </w:rPr>
        <w:t>SG17-R9</w:t>
      </w:r>
      <w:r w:rsidR="00161754">
        <w:fldChar w:fldCharType="end"/>
      </w:r>
      <w:r w:rsidR="00161754" w:rsidRPr="00373ADF">
        <w:rPr>
          <w:rtl/>
        </w:rPr>
        <w:t>]</w:t>
      </w:r>
      <w:r w:rsidR="00161754">
        <w:fldChar w:fldCharType="begin"/>
      </w:r>
      <w:r w:rsidR="00161754">
        <w:instrText>HYPERLINK "https://www.itu.int/md/meetingdoc.asp?lang=en&amp;parent=T25-SG17-R-0009"</w:instrText>
      </w:r>
      <w:r w:rsidR="00161754">
        <w:fldChar w:fldCharType="separate"/>
      </w:r>
      <w:r w:rsidR="00161754">
        <w:fldChar w:fldCharType="end"/>
      </w:r>
    </w:p>
    <w:p w14:paraId="3560EFA7" w14:textId="19C1C75C" w:rsidR="00161754" w:rsidRPr="00161754" w:rsidRDefault="00161754" w:rsidP="00373ADF">
      <w:r w:rsidRPr="00161754">
        <w:rPr>
          <w:rtl/>
        </w:rPr>
        <w:t>مبادئ توجيهية أمنية لحماية سلامة المطاريف المتنقلة</w:t>
      </w:r>
    </w:p>
    <w:p w14:paraId="62D6ADBC" w14:textId="77777777" w:rsidR="00161754" w:rsidRPr="00161754" w:rsidRDefault="00161754" w:rsidP="0019084B">
      <w:pPr>
        <w:pStyle w:val="Headingb"/>
      </w:pPr>
      <w:r w:rsidRPr="00161754">
        <w:rPr>
          <w:rtl/>
        </w:rPr>
        <w:lastRenderedPageBreak/>
        <w:t>ملخص</w:t>
      </w:r>
    </w:p>
    <w:p w14:paraId="60D3FDDB" w14:textId="77777777" w:rsidR="00161754" w:rsidRPr="00161754" w:rsidRDefault="00161754" w:rsidP="0019084B">
      <w:r w:rsidRPr="00161754">
        <w:rPr>
          <w:rtl/>
        </w:rPr>
        <w:t>الهدف من حماية سلامة المطاريف المتنقلة هو ضمان عمل المطراف المتنقل بالشكل المتوقع. وهذا يعني عدم تعرض الأجهزة والبرمجية الثابتة والبرمجية (مثل نظام التشغيل والتطبيقات المثبتة مسبقاً) على المطراف المتنقل لأي اختراق بأي شكل من الأشكال. وإذا قام مهاجم باختراق البرمجية الثابتة أو البرمجية، أو تعديل تشكيل الأجهزة (مثل ذاكرة للقراءة فقط، أو خلايا الحفظ)، أو تغيير الأجهزة (مثل الذاكرة الوميضية)، سيكون بإمكانه التحكم في وظائف المطراف المتنقل أو تخريبها.</w:t>
      </w:r>
    </w:p>
    <w:p w14:paraId="3FBE9E5D" w14:textId="3A578A6D" w:rsidR="00161754" w:rsidRPr="00161754" w:rsidRDefault="00161754" w:rsidP="001A06C0">
      <w:r w:rsidRPr="00161754">
        <w:rPr>
          <w:rtl/>
        </w:rPr>
        <w:t xml:space="preserve">وعند تشغيل المطراف المتنقل، فإنه يبدأ بمرحلة بدء تشغيل للتحقق من مكونات الأجهزة وتحميل وحدة برمجية واحدة أو أكثر. وبعد ذلك، يدخل المطراف المتنقل مرحلة وقت التشغيل ويصل إلى حالة تشغيلية، حيث يكون المطراف المتنقل جاهزاً للغرض المقصود منه. ومن أجل إصلاح نقاط ضعف البرمجيات الثابتة/البرمجيات </w:t>
      </w:r>
      <w:r w:rsidRPr="00161754">
        <w:rPr>
          <w:lang w:val="en-GB"/>
        </w:rPr>
        <w:t>(FW/SW</w:t>
      </w:r>
      <w:r w:rsidR="001A06C0">
        <w:t>)</w:t>
      </w:r>
      <w:r w:rsidRPr="00161754">
        <w:rPr>
          <w:rtl/>
        </w:rPr>
        <w:t>، يجب تحديث المطراف المتنقل من وقت لآخر. وتسمى هذه المرحلة مرحلة تحديث البرمجيات الثابتة/البرمجيات. وتمثل كل مرحلة من هذه المراحل فرصة للمهاجم لإدخال تهديدات لسلامة المطاريف المتنقلة.</w:t>
      </w:r>
    </w:p>
    <w:p w14:paraId="0ECE2D88" w14:textId="77777777" w:rsidR="00161754" w:rsidRPr="00161754" w:rsidRDefault="00161754" w:rsidP="009641F9">
      <w:r w:rsidRPr="00161754">
        <w:rPr>
          <w:rtl/>
        </w:rPr>
        <w:t>وتتناول هذه التوصية تحليل التهديدات الأمنية التي يتعرض لها المطراف المتنقل خلال مرحلة بدء التشغيل، ومرحلة وقت التشغيل، ومرحلة تحديث البرمجيات الثابتة/البرمجيات، وتحدد المتطلبات الأمنية وتوفر مبادئ توجيهية أمنية لحماية سلامة المطاريف المتنقلة.</w:t>
      </w:r>
    </w:p>
    <w:p w14:paraId="16B5626C" w14:textId="7DF9A563" w:rsidR="00161754" w:rsidRPr="009641F9" w:rsidRDefault="009641F9" w:rsidP="00C35D0C">
      <w:pPr>
        <w:pStyle w:val="Heading1"/>
      </w:pPr>
      <w:r w:rsidRPr="009641F9">
        <w:rPr>
          <w:lang w:bidi="ar-EG"/>
        </w:rPr>
        <w:t>5</w:t>
      </w:r>
      <w:r w:rsidRPr="009641F9">
        <w:rPr>
          <w:rtl/>
          <w:lang w:bidi="ar-EG"/>
        </w:rPr>
        <w:tab/>
      </w:r>
      <w:r w:rsidR="00161754" w:rsidRPr="009641F9">
        <w:rPr>
          <w:rtl/>
        </w:rPr>
        <w:t>مشروع التوصية الجديدة ITU-T X.1130 (X.tg-fdma سابقاً) [</w:t>
      </w:r>
      <w:r w:rsidR="00161754">
        <w:fldChar w:fldCharType="begin"/>
      </w:r>
      <w:r w:rsidR="00161754">
        <w:instrText>HYPERLINK "https://www.itu.int/md/meetingdoc.asp?lang=en&amp;parent=T25-SG17-R-0010"</w:instrText>
      </w:r>
      <w:r w:rsidR="00161754">
        <w:fldChar w:fldCharType="separate"/>
      </w:r>
      <w:r w:rsidR="00161754" w:rsidRPr="009641F9">
        <w:rPr>
          <w:rStyle w:val="Hyperlink"/>
          <w:rtl/>
        </w:rPr>
        <w:t>SG17-R10</w:t>
      </w:r>
      <w:r w:rsidR="00161754">
        <w:fldChar w:fldCharType="end"/>
      </w:r>
      <w:r w:rsidR="00161754" w:rsidRPr="009641F9">
        <w:rPr>
          <w:rtl/>
        </w:rPr>
        <w:t>]</w:t>
      </w:r>
      <w:r w:rsidR="00161754">
        <w:fldChar w:fldCharType="begin"/>
      </w:r>
      <w:r w:rsidR="00161754">
        <w:instrText>HYPERLINK "https://www.itu.int/md/meetingdoc.asp?lang=en&amp;parent=T25-SG17-R-0010"</w:instrText>
      </w:r>
      <w:r w:rsidR="00161754">
        <w:fldChar w:fldCharType="separate"/>
      </w:r>
      <w:r w:rsidR="00161754">
        <w:fldChar w:fldCharType="end"/>
      </w:r>
    </w:p>
    <w:p w14:paraId="478D7C8F" w14:textId="13617175" w:rsidR="00161754" w:rsidRPr="00161754" w:rsidRDefault="00161754" w:rsidP="009641F9">
      <w:r w:rsidRPr="00161754">
        <w:rPr>
          <w:rtl/>
        </w:rPr>
        <w:t xml:space="preserve">مبادئ توجيهية تقنية لكشف </w:t>
      </w:r>
      <w:r w:rsidR="00917825">
        <w:rPr>
          <w:rFonts w:hint="cs"/>
          <w:rtl/>
          <w:lang w:bidi="ar-EG"/>
        </w:rPr>
        <w:t xml:space="preserve">احتيال </w:t>
      </w:r>
      <w:r w:rsidR="00917825">
        <w:rPr>
          <w:rFonts w:hint="cs"/>
          <w:rtl/>
        </w:rPr>
        <w:t xml:space="preserve">التطبيقات </w:t>
      </w:r>
      <w:r w:rsidRPr="00161754">
        <w:rPr>
          <w:rtl/>
        </w:rPr>
        <w:t xml:space="preserve">الخبيثة </w:t>
      </w:r>
      <w:r w:rsidR="00917825">
        <w:rPr>
          <w:rFonts w:hint="cs"/>
          <w:rtl/>
        </w:rPr>
        <w:t xml:space="preserve">في الأجهزة </w:t>
      </w:r>
      <w:r w:rsidRPr="00161754">
        <w:rPr>
          <w:rtl/>
        </w:rPr>
        <w:t>المتنقلة</w:t>
      </w:r>
    </w:p>
    <w:p w14:paraId="19F0640D" w14:textId="77777777" w:rsidR="00161754" w:rsidRPr="00161754" w:rsidRDefault="00161754" w:rsidP="009641F9">
      <w:pPr>
        <w:pStyle w:val="Headingb"/>
      </w:pPr>
      <w:r w:rsidRPr="00161754">
        <w:rPr>
          <w:rtl/>
        </w:rPr>
        <w:t>ملخص</w:t>
      </w:r>
    </w:p>
    <w:p w14:paraId="363B01FE" w14:textId="4F8A79DF" w:rsidR="00161754" w:rsidRPr="00161754" w:rsidRDefault="00161754" w:rsidP="009641F9">
      <w:r w:rsidRPr="00161754">
        <w:rPr>
          <w:rtl/>
        </w:rPr>
        <w:t>مع انتشار استخدام الأجهزة والتطبيقات المتنقلة، أصبحت التطبيقات ناقلاً رئيسياً للأنشطة الخبيثة. فعلى سبيل المثال، قد تتنكر التطبيقات الخبيثة بهيئة تطبيقات ائتمان أو تسوق مشروعة لخداع المستخدمين. ولكشف هذه الأنشطة الخبيثة ومنعها، تعتمد النُهج التقليدية على استعراضات متجر التطبيقات (APP Store) وتنبيهات من برمجيات الأمن المثبتة في الجهاز المتنقل. ومع ذلك، يواجه هذا الحل تحديات عديدة. وبينما يمكن أن تساعد استعراضات متجر التطبيقات في حظر التطبيقات الخبيثة، يُطوّر المهاجمون باستمرار تقنيات جديدة لتجنب الكشف وتجاوز استعراضات متجر التطبيقات. بالإضافة إلى ذلك، تُوزّع بعض التطبيقات الخبيثة عبر منصات تابعة لجهات خارجية حيث تغري المستخدمين بتنزيلها وتثبيتها. وتركز برمجيات أمن الأجهزة المتنقلة أساساً على اكتشاف الفيروسات ونقاط الضعف في التطبيقات مما يُصعّب التحديد الفعال للتطبيقات الخبيثة المصممة خصيصاً لتنفيذ أنشطة ضارة.</w:t>
      </w:r>
    </w:p>
    <w:p w14:paraId="10C83AC1" w14:textId="0E72410C" w:rsidR="00161754" w:rsidRPr="00161754" w:rsidRDefault="00161754" w:rsidP="009641F9">
      <w:r w:rsidRPr="00161754">
        <w:rPr>
          <w:rtl/>
        </w:rPr>
        <w:t>وتعمل التطبيقات الخبيثة على الأجهزة المتنقلة عادة عبر أربع مراحل: التنزيل والتثبيت والتنفيذ والحث على الدفع. ولكل مرحلة مخاطرها الخاصة.</w:t>
      </w:r>
    </w:p>
    <w:p w14:paraId="6C82AA8B" w14:textId="50362574" w:rsidR="00161754" w:rsidRPr="00161754" w:rsidRDefault="00161754" w:rsidP="009641F9">
      <w:r w:rsidRPr="00161754">
        <w:rPr>
          <w:rtl/>
        </w:rPr>
        <w:t>وأثناء مرحلة التنزيل والتثبيت، كثيراً ما تتنكر التطبيقات الخبيثة بهيئة تطبيقات مشروعة لتجنب الكشف بواسطة برامج الأمن. وقد تزرع أيضاً برمجيات طروادة في الجهاز المتنقل خلال هذه المرحلة.</w:t>
      </w:r>
    </w:p>
    <w:p w14:paraId="6BD58BAE" w14:textId="77777777" w:rsidR="00161754" w:rsidRPr="00161754" w:rsidRDefault="00161754" w:rsidP="009641F9">
      <w:r w:rsidRPr="00161754">
        <w:rPr>
          <w:rtl/>
        </w:rPr>
        <w:t>وفي مرحلة التنفيذ، قد تسرق هذه التطبيقات معلومات المستخدم من خلال برمجيات طروادة المزروعة أو تخدع المستخدمين بمحاكاة تطبيقات مشروعة ليكشفوا طواعية عن بيانات حساسة.</w:t>
      </w:r>
    </w:p>
    <w:p w14:paraId="7A5C95B5" w14:textId="5865D8FA" w:rsidR="00161754" w:rsidRPr="00161754" w:rsidRDefault="00161754" w:rsidP="009641F9">
      <w:r w:rsidRPr="00161754">
        <w:rPr>
          <w:rtl/>
        </w:rPr>
        <w:t>وفي مرحلة الحث على الدفع، كثيراً ما تبني التطبيقات الخبيثة الثقة من خلال تقديم مكافآت أو أرباح صغيرة عبر مكائد مختلفة. وبمجرد كسب ثقة المستخدم، فإنها تغريه لتحويل أموال. وفي بعض الحالات، يكون الخداع مباشراً، بانتحال صفة تطبيقات تسوق مشروعة، على سبيل المثال، لاستغلال المستخدمين الغافلين.</w:t>
      </w:r>
    </w:p>
    <w:p w14:paraId="4CE83890" w14:textId="77777777" w:rsidR="00161754" w:rsidRPr="00161754" w:rsidRDefault="00161754" w:rsidP="009641F9">
      <w:r w:rsidRPr="00161754">
        <w:rPr>
          <w:rtl/>
        </w:rPr>
        <w:t>وعملية كشف الأنشطة الخبيثة ومنعها بمجملها معقدة للغاية، وتتطلب تنسيقاً وثيقاً بين الأجهزة والتطبيقات المتنقلة. وتحلل هذه التوصية خصائص التطبيقات الخبيثة ومخاطرها عبر مراحل متعددة، بما في ذلك التنزيل والتثبيت والتنفيذ والحث على الدفع، وهي تقدم حلاً تقنياً شاملاً لكشف الأنشطة الخبيثة ومنعها، استناداً إلى التفاعلات بين الأجهزة والتطبيقات المتنقلة.</w:t>
      </w:r>
    </w:p>
    <w:p w14:paraId="03CED73D" w14:textId="768A9EC9" w:rsidR="00161754" w:rsidRPr="009641F9" w:rsidRDefault="009641F9" w:rsidP="00E544E9">
      <w:pPr>
        <w:pStyle w:val="Heading1"/>
      </w:pPr>
      <w:r w:rsidRPr="009641F9">
        <w:lastRenderedPageBreak/>
        <w:t>6</w:t>
      </w:r>
      <w:r w:rsidRPr="009641F9">
        <w:rPr>
          <w:rtl/>
          <w:lang w:bidi="ar-EG"/>
        </w:rPr>
        <w:tab/>
      </w:r>
      <w:r w:rsidR="00161754" w:rsidRPr="009641F9">
        <w:rPr>
          <w:rtl/>
        </w:rPr>
        <w:t>مشروع التوصية الجديدة ITU-T X.1457 (X.str-irs سابقاً) [</w:t>
      </w:r>
      <w:r w:rsidR="00161754">
        <w:fldChar w:fldCharType="begin"/>
      </w:r>
      <w:r w:rsidR="00161754">
        <w:instrText>HYPERLINK "https://www.itu.int/md/meetingdoc.asp?lang=en&amp;parent=T25-SG17-R-0011"</w:instrText>
      </w:r>
      <w:r w:rsidR="00161754">
        <w:fldChar w:fldCharType="separate"/>
      </w:r>
      <w:r w:rsidR="00161754" w:rsidRPr="009641F9">
        <w:rPr>
          <w:rStyle w:val="Hyperlink"/>
          <w:rtl/>
        </w:rPr>
        <w:t>SG17-R11</w:t>
      </w:r>
      <w:r w:rsidR="00161754">
        <w:fldChar w:fldCharType="end"/>
      </w:r>
      <w:r w:rsidR="00161754" w:rsidRPr="009641F9">
        <w:rPr>
          <w:rtl/>
        </w:rPr>
        <w:t>]</w:t>
      </w:r>
      <w:r w:rsidR="00161754">
        <w:fldChar w:fldCharType="begin"/>
      </w:r>
      <w:r w:rsidR="00161754">
        <w:instrText>HYPERLINK "https://www.itu.int/md/meetingdoc.asp?lang=en&amp;parent=T25-SG17-R-0011"</w:instrText>
      </w:r>
      <w:r w:rsidR="00161754">
        <w:fldChar w:fldCharType="separate"/>
      </w:r>
      <w:r w:rsidR="00161754">
        <w:fldChar w:fldCharType="end"/>
      </w:r>
    </w:p>
    <w:p w14:paraId="3123FA5B" w14:textId="77777777" w:rsidR="00161754" w:rsidRPr="00161754" w:rsidRDefault="00161754" w:rsidP="00E544E9">
      <w:pPr>
        <w:keepNext/>
      </w:pPr>
      <w:r w:rsidRPr="00161754">
        <w:rPr>
          <w:rtl/>
        </w:rPr>
        <w:t>التهديدات والمتطلبات الأمنية لخدمة توصيات المعلومات</w:t>
      </w:r>
    </w:p>
    <w:p w14:paraId="4C483B91" w14:textId="77777777" w:rsidR="00161754" w:rsidRPr="00161754" w:rsidRDefault="00161754" w:rsidP="009641F9">
      <w:pPr>
        <w:pStyle w:val="Headingb"/>
      </w:pPr>
      <w:r w:rsidRPr="00161754">
        <w:rPr>
          <w:rtl/>
        </w:rPr>
        <w:t>ملخص</w:t>
      </w:r>
    </w:p>
    <w:p w14:paraId="0A220099" w14:textId="77777777" w:rsidR="00161754" w:rsidRPr="00161754" w:rsidRDefault="00161754" w:rsidP="009641F9">
      <w:r w:rsidRPr="00161754">
        <w:rPr>
          <w:rtl/>
        </w:rPr>
        <w:t>تستعمل خدمة توصيات المعلومات على نطاق واسع في مواقع الويب والتطبيقات المختلفة. فعلى سبيل المثال، تعد خدمة توصيات المعلومات التعليمية عاملاً مهماً في تحقيق تبادل المعلومات التعليمية. وفي المعلومات التعليمية الهائلة، يمكن للمستعملين العثور بسرعة على موارد المعلومات التعليمية التي يحتاجون إليها، وتلبية احتياجات المستعملين التعليمية، وتقديم تجربة تعلم جيدة للمستعملين. ومع ذلك، لا يمكن تجاهل المسائل الأمنية التي تنطوي عليها خدمة توصية المعلومات، مثل التهديدات المتعلقة بسلامة البيانات، وتسميم البيانات، وهجمات التهرب، وما إلى ذلك.</w:t>
      </w:r>
    </w:p>
    <w:p w14:paraId="557D95AB" w14:textId="77777777" w:rsidR="00161754" w:rsidRPr="00161754" w:rsidRDefault="00161754" w:rsidP="005A728A">
      <w:r w:rsidRPr="00161754">
        <w:rPr>
          <w:rtl/>
        </w:rPr>
        <w:t>وتعطي هذه التوصية تحليل للتهديدات والمتطلبات الأمنية المتعلقة بخدمة التوصية بمعلومات. وهي تحدد التهديدات الأمنية التي تنطوي عليها خدمة توصيات المعلومات وتحدد المتطلبات الأمنية التي تعالج هذه التهديدات الأمنية.</w:t>
      </w:r>
    </w:p>
    <w:p w14:paraId="4DE3A1C7" w14:textId="5FB5B2ED" w:rsidR="00161754" w:rsidRPr="005A728A" w:rsidRDefault="005A728A" w:rsidP="00C35D0C">
      <w:pPr>
        <w:pStyle w:val="Heading1"/>
      </w:pPr>
      <w:r w:rsidRPr="005A728A">
        <w:t>7</w:t>
      </w:r>
      <w:r w:rsidRPr="005A728A">
        <w:rPr>
          <w:rtl/>
          <w:lang w:bidi="ar-EG"/>
        </w:rPr>
        <w:tab/>
      </w:r>
      <w:r w:rsidR="00161754" w:rsidRPr="005A728A">
        <w:rPr>
          <w:rtl/>
        </w:rPr>
        <w:t>مشروع التوصية الجديدة ITU-T X.1753 (X.gdsml سابقاً) [</w:t>
      </w:r>
      <w:r w:rsidR="00161754">
        <w:fldChar w:fldCharType="begin"/>
      </w:r>
      <w:r w:rsidR="00161754">
        <w:instrText>HYPERLINK "https://www.itu.int/md/meetingdoc.asp?lang=en&amp;parent=T25-SG17-R-0012"</w:instrText>
      </w:r>
      <w:r w:rsidR="00161754">
        <w:fldChar w:fldCharType="separate"/>
      </w:r>
      <w:r w:rsidR="00161754" w:rsidRPr="005A728A">
        <w:rPr>
          <w:rStyle w:val="Hyperlink"/>
          <w:rtl/>
        </w:rPr>
        <w:t>SG17-R12</w:t>
      </w:r>
      <w:r w:rsidR="00161754">
        <w:fldChar w:fldCharType="end"/>
      </w:r>
      <w:r w:rsidR="00161754" w:rsidRPr="005A728A">
        <w:rPr>
          <w:rtl/>
        </w:rPr>
        <w:t>]</w:t>
      </w:r>
      <w:r w:rsidR="00161754">
        <w:fldChar w:fldCharType="begin"/>
      </w:r>
      <w:r w:rsidR="00161754">
        <w:instrText>HYPERLINK "https://www.itu.int/md/meetingdoc.asp?lang=en&amp;parent=T25-SG17-R-0012"</w:instrText>
      </w:r>
      <w:r w:rsidR="00161754">
        <w:fldChar w:fldCharType="separate"/>
      </w:r>
      <w:r w:rsidR="00161754">
        <w:fldChar w:fldCharType="end"/>
      </w:r>
    </w:p>
    <w:p w14:paraId="30C23546" w14:textId="77777777" w:rsidR="00161754" w:rsidRPr="00161754" w:rsidRDefault="00161754" w:rsidP="005A728A">
      <w:r w:rsidRPr="00161754">
        <w:rPr>
          <w:rtl/>
        </w:rPr>
        <w:t>مبادئ توجيهية لأمن البيانات باستخدام تعلم الآلة في البنية التحتية للبيانات الضخمة</w:t>
      </w:r>
    </w:p>
    <w:p w14:paraId="25827A13" w14:textId="77777777" w:rsidR="00161754" w:rsidRPr="00161754" w:rsidRDefault="00161754" w:rsidP="005A728A">
      <w:pPr>
        <w:pStyle w:val="Headingb"/>
      </w:pPr>
      <w:r w:rsidRPr="00161754">
        <w:rPr>
          <w:rtl/>
        </w:rPr>
        <w:t>ملخص</w:t>
      </w:r>
    </w:p>
    <w:p w14:paraId="1991F4DC" w14:textId="77777777" w:rsidR="00161754" w:rsidRPr="00161754" w:rsidRDefault="00161754" w:rsidP="005A728A">
      <w:r w:rsidRPr="00161754">
        <w:rPr>
          <w:rtl/>
        </w:rPr>
        <w:t>تواجه البنية التحتية للبيانات الضخمة العديد من التهديدات الأمنية، لا سيما في عملية جمع البيانات وتخزينها ومعالجتها وإدارتها. وتعد كيفية رصد تهديدات أمن البيانات وتحليلها والاستجابة إليها بطريقة ذكية وتفاعلية مشكلة لا بد من حلها في البنية التحتية للبيانات الضخمة. ويتمتع تعلم الآلة بقدرات التعلم التلقائي والتعرف على الأنماط، ويمكنه اكتشاف التهديدات الأمنية المحتملة والسلوكيات غير الطبيعية بين كمية كبيرة من البيانات ومن ثم يمكن اتخاذ تدابير دفاعية استباقية. وأصبح استخدام تعلم الآلة لتعزيز أمن البيانات شيئاً فشيئاً تقنية ضرورية للبنية التحتية للبيانات الضخمة.</w:t>
      </w:r>
    </w:p>
    <w:p w14:paraId="0F6B5A1E" w14:textId="5EEBCE57" w:rsidR="00161754" w:rsidRPr="00161754" w:rsidRDefault="00161754" w:rsidP="008A5048">
      <w:r w:rsidRPr="00161754">
        <w:rPr>
          <w:rtl/>
        </w:rPr>
        <w:t>وتحلِّل هذه التوصية تهديدات أمن البيانات في البنية التحتية للبيانات الضخمة والسيناريوهات التي يمكن فيها استخدام تعلم الآلة لحماية أمن البيانات في البنية التحتية للبيانات الضخمة، وتقدم مبادئ توجيهية لاستخدام تعلم الآلة لحماية أمن البيانات في</w:t>
      </w:r>
      <w:r w:rsidR="005A728A">
        <w:rPr>
          <w:rFonts w:hint="cs"/>
          <w:rtl/>
        </w:rPr>
        <w:t> </w:t>
      </w:r>
      <w:r w:rsidRPr="00161754">
        <w:rPr>
          <w:rtl/>
        </w:rPr>
        <w:t>البنية التحتية للبيانات الضخمة.</w:t>
      </w:r>
    </w:p>
    <w:p w14:paraId="246CDB3C" w14:textId="061ABEF9" w:rsidR="00161754" w:rsidRPr="008A5048" w:rsidRDefault="008A5048" w:rsidP="00C35D0C">
      <w:pPr>
        <w:pStyle w:val="Heading1"/>
      </w:pPr>
      <w:r w:rsidRPr="008A5048">
        <w:t>8</w:t>
      </w:r>
      <w:r w:rsidRPr="008A5048">
        <w:rPr>
          <w:rtl/>
          <w:lang w:bidi="ar-EG"/>
        </w:rPr>
        <w:tab/>
      </w:r>
      <w:r w:rsidR="00161754" w:rsidRPr="008A5048">
        <w:rPr>
          <w:rtl/>
        </w:rPr>
        <w:t>مشروع التوصية الجديدة ITU-T X.1649 (X.sgmc سابقاً) [</w:t>
      </w:r>
      <w:r w:rsidR="00161754">
        <w:fldChar w:fldCharType="begin"/>
      </w:r>
      <w:r w:rsidR="00161754">
        <w:instrText>HYPERLINK "https://www.itu.int/md/meetingdoc.asp?lang=en&amp;parent=T25-SG17-R-0014"</w:instrText>
      </w:r>
      <w:r w:rsidR="00161754">
        <w:fldChar w:fldCharType="separate"/>
      </w:r>
      <w:r w:rsidR="00161754" w:rsidRPr="008A5048">
        <w:rPr>
          <w:rStyle w:val="Hyperlink"/>
          <w:rtl/>
        </w:rPr>
        <w:t>SG17-R14</w:t>
      </w:r>
      <w:r w:rsidR="00161754">
        <w:fldChar w:fldCharType="end"/>
      </w:r>
      <w:r w:rsidR="00161754" w:rsidRPr="008A5048">
        <w:rPr>
          <w:rtl/>
        </w:rPr>
        <w:t>]</w:t>
      </w:r>
      <w:r w:rsidR="00161754">
        <w:fldChar w:fldCharType="begin"/>
      </w:r>
      <w:r w:rsidR="00161754">
        <w:instrText>HYPERLINK "https://www.itu.int/md/meetingdoc.asp?lang=en&amp;parent=T25-SG17-R-0014"</w:instrText>
      </w:r>
      <w:r w:rsidR="00161754">
        <w:fldChar w:fldCharType="separate"/>
      </w:r>
      <w:r w:rsidR="00161754">
        <w:fldChar w:fldCharType="end"/>
      </w:r>
    </w:p>
    <w:p w14:paraId="7F235852" w14:textId="78E7BEE6" w:rsidR="00161754" w:rsidRPr="00161754" w:rsidRDefault="00161754" w:rsidP="008A5048">
      <w:r w:rsidRPr="00161754">
        <w:rPr>
          <w:rtl/>
        </w:rPr>
        <w:t xml:space="preserve">مبادئ توجيهية أمنية </w:t>
      </w:r>
      <w:r w:rsidR="007F5F69">
        <w:rPr>
          <w:rFonts w:hint="cs"/>
          <w:rtl/>
        </w:rPr>
        <w:t xml:space="preserve">بشأن الخدمات </w:t>
      </w:r>
      <w:r w:rsidRPr="00161754">
        <w:rPr>
          <w:rtl/>
        </w:rPr>
        <w:t>السحابية المتعددة</w:t>
      </w:r>
    </w:p>
    <w:p w14:paraId="0A004597" w14:textId="77777777" w:rsidR="00161754" w:rsidRPr="00161754" w:rsidRDefault="00161754" w:rsidP="008A5048">
      <w:pPr>
        <w:pStyle w:val="Headingb"/>
      </w:pPr>
      <w:r w:rsidRPr="00161754">
        <w:rPr>
          <w:rtl/>
        </w:rPr>
        <w:t>ملخص</w:t>
      </w:r>
    </w:p>
    <w:p w14:paraId="477A78D0" w14:textId="77777777" w:rsidR="00161754" w:rsidRPr="00161754" w:rsidRDefault="00161754" w:rsidP="003C3439">
      <w:r w:rsidRPr="00161754">
        <w:rPr>
          <w:rtl/>
        </w:rPr>
        <w:t>وتقدم هذه التوصية لمحة عامة عن الحوسبة السحابية المتعددة، بما في ذلك تعريفها وخلفيتها الناشئة. وتحلل هذه التوصية أيضاً المخاطر الأمنية وتحدد المبادئ التوجيهية المناسبة للخدمات السحابية المتعددة للتخفيف من المخاطر الأمنية.</w:t>
      </w:r>
    </w:p>
    <w:p w14:paraId="40799DED" w14:textId="7FD0F9B7" w:rsidR="00161754" w:rsidRPr="003C3439" w:rsidRDefault="003C3439" w:rsidP="00C35D0C">
      <w:pPr>
        <w:pStyle w:val="Heading1"/>
      </w:pPr>
      <w:r w:rsidRPr="003C3439">
        <w:t>9</w:t>
      </w:r>
      <w:r w:rsidRPr="003C3439">
        <w:rPr>
          <w:rtl/>
          <w:lang w:bidi="ar-EG"/>
        </w:rPr>
        <w:tab/>
      </w:r>
      <w:r w:rsidR="00161754" w:rsidRPr="003C3439">
        <w:rPr>
          <w:rtl/>
        </w:rPr>
        <w:t>مشروع مراجعة التوصية ITU-T X.1250</w:t>
      </w:r>
      <w:r w:rsidR="00917825">
        <w:t xml:space="preserve"> </w:t>
      </w:r>
      <w:r w:rsidR="00161754" w:rsidRPr="003C3439">
        <w:rPr>
          <w:rtl/>
        </w:rPr>
        <w:t>[</w:t>
      </w:r>
      <w:hyperlink r:id="rId14" w:history="1">
        <w:r w:rsidR="00161754" w:rsidRPr="003C3439">
          <w:rPr>
            <w:rStyle w:val="Hyperlink"/>
            <w:rtl/>
          </w:rPr>
          <w:t>SG17-R15</w:t>
        </w:r>
      </w:hyperlink>
      <w:r w:rsidR="00161754" w:rsidRPr="003C3439">
        <w:rPr>
          <w:rtl/>
        </w:rPr>
        <w:t>]</w:t>
      </w:r>
      <w:r w:rsidR="00161754">
        <w:fldChar w:fldCharType="begin"/>
      </w:r>
      <w:r w:rsidR="00161754">
        <w:instrText>HYPERLINK "https://www.itu.int/md/meetingdoc.asp?lang=en&amp;parent=T25-SG17-R-0015"</w:instrText>
      </w:r>
      <w:r w:rsidR="00161754">
        <w:fldChar w:fldCharType="separate"/>
      </w:r>
      <w:r w:rsidR="00161754">
        <w:fldChar w:fldCharType="end"/>
      </w:r>
    </w:p>
    <w:p w14:paraId="14AC6930" w14:textId="43A43F8A" w:rsidR="00161754" w:rsidRPr="00161754" w:rsidRDefault="007F5F69" w:rsidP="003C3439">
      <w:r>
        <w:rPr>
          <w:rtl/>
        </w:rPr>
        <w:t>قدرات خط الأساس لإدارة الهوية المعزَزة وقابلية التشغيل البيني</w:t>
      </w:r>
    </w:p>
    <w:p w14:paraId="354C12FB" w14:textId="77777777" w:rsidR="00161754" w:rsidRPr="00161754" w:rsidRDefault="00161754" w:rsidP="003C3439">
      <w:pPr>
        <w:pStyle w:val="Headingb"/>
      </w:pPr>
      <w:r w:rsidRPr="00161754">
        <w:rPr>
          <w:rtl/>
        </w:rPr>
        <w:t>ملخص</w:t>
      </w:r>
    </w:p>
    <w:p w14:paraId="4280F808" w14:textId="5F8AED91" w:rsidR="00161754" w:rsidRPr="00161754" w:rsidRDefault="00161754" w:rsidP="003C3439">
      <w:r w:rsidRPr="00161754">
        <w:rPr>
          <w:rtl/>
        </w:rPr>
        <w:t>تحدد هذه الوثيقة الأحكام الرئيسية لتطوير ونشر أنظمة إدارة الهوية المنظمة والقابلة للتشغيل البيني داخل شبكات الاتصالات وتكنولوجيا المعلومات، بما يكفل الخصوصية والامتثال للسياسات الإقليمية. و</w:t>
      </w:r>
      <w:r w:rsidR="00917825">
        <w:rPr>
          <w:rFonts w:hint="cs"/>
          <w:rtl/>
          <w:lang w:val="en-GB"/>
        </w:rPr>
        <w:t>ت</w:t>
      </w:r>
      <w:r w:rsidRPr="00161754">
        <w:rPr>
          <w:rtl/>
        </w:rPr>
        <w:t>غطي موضوعات مثل النماذج المنظمة لإدارة الهوية من أجل تبادل الهويات بشكل آمن وفعال وحماية نعوت الهوية وتوفيرها واكتشاف موردي خدمات الهوية. كما تتناول قابلية التشغيل البيني بين منصات الهوية، والتدابير الأمنية للتخفيف من التهديدات، وتدقيق الامتثال، وأهمية قابلية الاستخدام وإمكانية التوسيع. ويتمثل الهدف العام في إنشاء أنظمة متينة وشفافة وقابلة للتكيف تعزز الثقة والأمن وتجربة المستعمل في</w:t>
      </w:r>
      <w:r w:rsidR="00DE08DF">
        <w:rPr>
          <w:rFonts w:hint="cs"/>
          <w:rtl/>
        </w:rPr>
        <w:t> </w:t>
      </w:r>
      <w:r w:rsidRPr="00161754">
        <w:rPr>
          <w:rtl/>
        </w:rPr>
        <w:t>التفاعلات الرقمية مع التوافق مع المعايير التنظيمية.</w:t>
      </w:r>
    </w:p>
    <w:p w14:paraId="68B8245E" w14:textId="0D7409DA" w:rsidR="00161754" w:rsidRPr="00DE08DF" w:rsidRDefault="00DE08DF" w:rsidP="00C35D0C">
      <w:pPr>
        <w:pStyle w:val="Heading1"/>
      </w:pPr>
      <w:r w:rsidRPr="00DE08DF">
        <w:lastRenderedPageBreak/>
        <w:t>10</w:t>
      </w:r>
      <w:r w:rsidRPr="00DE08DF">
        <w:rPr>
          <w:rtl/>
          <w:lang w:bidi="ar-EG"/>
        </w:rPr>
        <w:tab/>
      </w:r>
      <w:r w:rsidR="00161754" w:rsidRPr="00DE08DF">
        <w:rPr>
          <w:rtl/>
        </w:rPr>
        <w:t>مشروع مراجعة التوصية ITU-T X.1631</w:t>
      </w:r>
      <w:r w:rsidR="00917825">
        <w:t xml:space="preserve"> </w:t>
      </w:r>
      <w:r w:rsidR="00161754" w:rsidRPr="00DE08DF">
        <w:rPr>
          <w:rtl/>
        </w:rPr>
        <w:t>[</w:t>
      </w:r>
      <w:hyperlink r:id="rId15" w:history="1">
        <w:r w:rsidR="00161754" w:rsidRPr="00DE08DF">
          <w:rPr>
            <w:rStyle w:val="Hyperlink"/>
            <w:rtl/>
          </w:rPr>
          <w:t>SG17-R13</w:t>
        </w:r>
      </w:hyperlink>
      <w:r w:rsidR="00161754" w:rsidRPr="00DE08DF">
        <w:rPr>
          <w:rtl/>
        </w:rPr>
        <w:t>]</w:t>
      </w:r>
      <w:r w:rsidR="00161754">
        <w:fldChar w:fldCharType="begin"/>
      </w:r>
      <w:r w:rsidR="00161754">
        <w:instrText>HYPERLINK "https://www.itu.int/md/meetingdoc.asp?lang=en&amp;parent=T25-SG17-R-0013"</w:instrText>
      </w:r>
      <w:r w:rsidR="00161754">
        <w:fldChar w:fldCharType="separate"/>
      </w:r>
      <w:r w:rsidR="00161754">
        <w:fldChar w:fldCharType="end"/>
      </w:r>
    </w:p>
    <w:p w14:paraId="7B5825B4" w14:textId="5D610BE7" w:rsidR="00161754" w:rsidRPr="00161754" w:rsidRDefault="007F5F69" w:rsidP="000C3F20">
      <w:r w:rsidRPr="005666F4">
        <w:rPr>
          <w:rtl/>
        </w:rPr>
        <w:t xml:space="preserve">عناصر التحكم </w:t>
      </w:r>
      <w:r>
        <w:rPr>
          <w:rtl/>
        </w:rPr>
        <w:t>في </w:t>
      </w:r>
      <w:r w:rsidRPr="005666F4">
        <w:rPr>
          <w:rtl/>
        </w:rPr>
        <w:t xml:space="preserve">أمن المعلومات استناداً </w:t>
      </w:r>
      <w:r>
        <w:rPr>
          <w:rtl/>
        </w:rPr>
        <w:t>إلى </w:t>
      </w:r>
      <w:r w:rsidRPr="005666F4">
        <w:rPr>
          <w:rtl/>
        </w:rPr>
        <w:t>المعيار</w:t>
      </w:r>
      <w:r>
        <w:rPr>
          <w:rFonts w:hint="cs"/>
          <w:rtl/>
        </w:rPr>
        <w:t> </w:t>
      </w:r>
      <w:r w:rsidRPr="005666F4">
        <w:t>ISO/IEC 27002</w:t>
      </w:r>
      <w:r w:rsidRPr="005666F4">
        <w:rPr>
          <w:rtl/>
        </w:rPr>
        <w:t xml:space="preserve"> من أجل الخدمات السحابية</w:t>
      </w:r>
    </w:p>
    <w:p w14:paraId="7FAB5862" w14:textId="77777777" w:rsidR="00161754" w:rsidRPr="00161754" w:rsidRDefault="00161754" w:rsidP="000C3F20">
      <w:pPr>
        <w:pStyle w:val="Headingb"/>
      </w:pPr>
      <w:r w:rsidRPr="00161754">
        <w:rPr>
          <w:rtl/>
        </w:rPr>
        <w:t>ملخص</w:t>
      </w:r>
    </w:p>
    <w:p w14:paraId="6B6A9A51" w14:textId="67F76883" w:rsidR="00161754" w:rsidRPr="003C077B" w:rsidRDefault="00161754" w:rsidP="003C077B">
      <w:pPr>
        <w:rPr>
          <w:spacing w:val="-6"/>
        </w:rPr>
      </w:pPr>
      <w:r w:rsidRPr="003C077B">
        <w:rPr>
          <w:spacing w:val="-6"/>
          <w:rtl/>
        </w:rPr>
        <w:t>المبادئ التوجيهية الواردة في هذه التوصية | المعيار الدولي تأتي بالإضافة إلى المبادئ التوجيهية الواردة في</w:t>
      </w:r>
      <w:r w:rsidR="008C7340" w:rsidRPr="003C077B">
        <w:rPr>
          <w:rFonts w:hint="cs"/>
          <w:spacing w:val="-6"/>
          <w:rtl/>
        </w:rPr>
        <w:t> </w:t>
      </w:r>
      <w:r w:rsidRPr="003C077B">
        <w:rPr>
          <w:spacing w:val="-6"/>
          <w:rtl/>
        </w:rPr>
        <w:t>المعيار</w:t>
      </w:r>
      <w:r w:rsidR="000C3F20" w:rsidRPr="003C077B">
        <w:rPr>
          <w:rFonts w:hint="cs"/>
          <w:spacing w:val="-6"/>
          <w:rtl/>
        </w:rPr>
        <w:t> </w:t>
      </w:r>
      <w:r w:rsidR="003C077B" w:rsidRPr="003C077B">
        <w:rPr>
          <w:spacing w:val="-6"/>
          <w:lang w:val="en-GB"/>
        </w:rPr>
        <w:t>ISO/IEC 27002:2022</w:t>
      </w:r>
      <w:r w:rsidRPr="003C077B">
        <w:rPr>
          <w:spacing w:val="-6"/>
          <w:rtl/>
        </w:rPr>
        <w:t xml:space="preserve"> وتكملها.</w:t>
      </w:r>
    </w:p>
    <w:p w14:paraId="3F12B126" w14:textId="621DA83B" w:rsidR="000C3F20" w:rsidRDefault="00161754" w:rsidP="000C3F20">
      <w:pPr>
        <w:rPr>
          <w:rtl/>
        </w:rPr>
      </w:pPr>
      <w:r w:rsidRPr="00161754">
        <w:rPr>
          <w:rtl/>
        </w:rPr>
        <w:t xml:space="preserve">وعلى وجه التحديد، توفر هذه التوصية | المعيار الدولي إرشادات تدعم تنفيذ عناصر التحكم في أمن المعلومات لعملاء الخدمات السحابية </w:t>
      </w:r>
      <w:r w:rsidRPr="00161754">
        <w:rPr>
          <w:lang w:val="en-GB"/>
        </w:rPr>
        <w:t>(CSC</w:t>
      </w:r>
      <w:r w:rsidR="005B3F3B">
        <w:t>)</w:t>
      </w:r>
      <w:r w:rsidRPr="00161754">
        <w:rPr>
          <w:rtl/>
        </w:rPr>
        <w:t xml:space="preserve"> ومقدمي الخدمات السحابية (</w:t>
      </w:r>
      <w:r w:rsidRPr="00161754">
        <w:rPr>
          <w:lang w:val="en-GB"/>
        </w:rPr>
        <w:t>CSP</w:t>
      </w:r>
      <w:r w:rsidRPr="00161754">
        <w:rPr>
          <w:rtl/>
        </w:rPr>
        <w:t>). وبعض الإرشادات موجهة إلى عملاء الخدمات السحابية الذين ينفذون عناصر التحكم والبعض الآخر لمقدمي الخدمات السحابية لدعم تنفيذ عناصر التحكم هذه. ويعتمد تحديد عناصر التحكم في أمن المعلومات المناسبة ومدى استخدام الإرشادات المقدمة على نتائج تقييم المخاطر ذات الصلة ووجود أي متطلبات قانونية أو تنظيمية أو تعاقدية أو غيرها من متطلبات أمن المعلومات الخاصة بالحوسبة السحابية.</w:t>
      </w:r>
    </w:p>
    <w:p w14:paraId="4ED01170" w14:textId="7E708E5E" w:rsidR="00161754" w:rsidRDefault="00161754" w:rsidP="000C3F20">
      <w:pPr>
        <w:rPr>
          <w:rtl/>
        </w:rPr>
      </w:pPr>
      <w:r>
        <w:rPr>
          <w:rtl/>
        </w:rPr>
        <w:br w:type="page"/>
      </w:r>
    </w:p>
    <w:p w14:paraId="3A73E4DB" w14:textId="1E888C04" w:rsidR="00161754" w:rsidRPr="00B12F66" w:rsidRDefault="00161754" w:rsidP="00B12F66">
      <w:pPr>
        <w:pStyle w:val="Annextitle"/>
        <w:rPr>
          <w:spacing w:val="-6"/>
          <w:lang w:bidi="ar-SA"/>
        </w:rPr>
      </w:pPr>
      <w:r w:rsidRPr="00B12F66">
        <w:rPr>
          <w:spacing w:val="-6"/>
          <w:rtl/>
        </w:rPr>
        <w:lastRenderedPageBreak/>
        <w:t>الملحق 2</w:t>
      </w:r>
      <w:r w:rsidR="007352D2" w:rsidRPr="00B12F66">
        <w:rPr>
          <w:spacing w:val="-6"/>
          <w:rtl/>
        </w:rPr>
        <w:br/>
      </w:r>
      <w:r w:rsidRPr="00B12F66">
        <w:rPr>
          <w:spacing w:val="-6"/>
          <w:rtl/>
        </w:rPr>
        <w:t>الموضوع: رد الدول الأعضاء بشأن الرسالة المعممة 50 لمكتب تقييس الاتصالات:</w:t>
      </w:r>
      <w:r w:rsidR="00B12F66" w:rsidRPr="00B12F66">
        <w:rPr>
          <w:spacing w:val="-6"/>
          <w:rtl/>
        </w:rPr>
        <w:br/>
      </w:r>
      <w:r w:rsidRPr="00B12F66">
        <w:rPr>
          <w:spacing w:val="-6"/>
          <w:rtl/>
        </w:rPr>
        <w:t>المشاورة المتعلقة بمشاريع التوصيات الجديدة المحددة ITU-T X.1062 (X.shcd سابقاً) وX.1238</w:t>
      </w:r>
      <w:r w:rsidR="009D2CF4">
        <w:rPr>
          <w:rFonts w:hint="cs"/>
          <w:spacing w:val="-6"/>
          <w:rtl/>
        </w:rPr>
        <w:t> </w:t>
      </w:r>
      <w:r w:rsidRPr="00B12F66">
        <w:rPr>
          <w:spacing w:val="-6"/>
          <w:rtl/>
        </w:rPr>
        <w:t>(X.sgc-rcs سابقاً) وX.1128 (X.mt-feature سابقاً)</w:t>
      </w:r>
      <w:r w:rsidR="00B12F66" w:rsidRPr="00B12F66">
        <w:rPr>
          <w:rFonts w:hint="cs"/>
          <w:spacing w:val="-6"/>
          <w:rtl/>
        </w:rPr>
        <w:t xml:space="preserve"> </w:t>
      </w:r>
      <w:r w:rsidRPr="00B12F66">
        <w:rPr>
          <w:spacing w:val="-6"/>
          <w:rtl/>
        </w:rPr>
        <w:t>وX.1129</w:t>
      </w:r>
      <w:r w:rsidR="00B12F66" w:rsidRPr="00B12F66">
        <w:rPr>
          <w:spacing w:val="-6"/>
        </w:rPr>
        <w:t> </w:t>
      </w:r>
      <w:r w:rsidRPr="00B12F66">
        <w:rPr>
          <w:spacing w:val="-6"/>
          <w:rtl/>
        </w:rPr>
        <w:t>(</w:t>
      </w:r>
      <w:r w:rsidR="00B12F66" w:rsidRPr="00B12F66">
        <w:rPr>
          <w:spacing w:val="-6"/>
          <w:lang w:val="en-GB"/>
        </w:rPr>
        <w:t>X.mt</w:t>
      </w:r>
      <w:r w:rsidR="00B12F66" w:rsidRPr="00B12F66">
        <w:rPr>
          <w:spacing w:val="-6"/>
          <w:lang w:val="en-GB"/>
        </w:rPr>
        <w:noBreakHyphen/>
        <w:t>integrity</w:t>
      </w:r>
      <w:r w:rsidR="00B12F66" w:rsidRPr="00B12F66">
        <w:rPr>
          <w:spacing w:val="-6"/>
        </w:rPr>
        <w:t> </w:t>
      </w:r>
      <w:r w:rsidRPr="00B12F66">
        <w:rPr>
          <w:spacing w:val="-6"/>
          <w:rtl/>
        </w:rPr>
        <w:t>سابقاً) وX.1130 (X.tg-fdma سابقاً) وX.1457 (X.str-irs سابقاً) وX.1753 (X.gdsml سابقاً) وX.1649</w:t>
      </w:r>
      <w:r w:rsidR="009D2CF4">
        <w:rPr>
          <w:rFonts w:hint="cs"/>
          <w:spacing w:val="-6"/>
          <w:rtl/>
        </w:rPr>
        <w:t> </w:t>
      </w:r>
      <w:r w:rsidRPr="00B12F66">
        <w:rPr>
          <w:spacing w:val="-6"/>
          <w:rtl/>
        </w:rPr>
        <w:t>(X.sgmc سابقاً) والتوصيتين المراجعتين</w:t>
      </w:r>
      <w:r w:rsidR="00B12F66" w:rsidRPr="00B12F66">
        <w:rPr>
          <w:rFonts w:hint="cs"/>
          <w:spacing w:val="-6"/>
          <w:rtl/>
        </w:rPr>
        <w:t> </w:t>
      </w:r>
      <w:r w:rsidR="00B12F66" w:rsidRPr="00B12F66">
        <w:rPr>
          <w:spacing w:val="-6"/>
          <w:lang w:val="en-GB"/>
        </w:rPr>
        <w:t>ITU-TX.1250</w:t>
      </w:r>
      <w:r w:rsidRPr="00B12F66">
        <w:rPr>
          <w:spacing w:val="-6"/>
          <w:rtl/>
        </w:rPr>
        <w:t xml:space="preserve"> وX.1631</w:t>
      </w:r>
    </w:p>
    <w:tbl>
      <w:tblPr>
        <w:bidiVisual/>
        <w:tblW w:w="5000" w:type="pct"/>
        <w:jc w:val="center"/>
        <w:tblLayout w:type="fixed"/>
        <w:tblLook w:val="04A0" w:firstRow="1" w:lastRow="0" w:firstColumn="1" w:lastColumn="0" w:noHBand="0" w:noVBand="1"/>
      </w:tblPr>
      <w:tblGrid>
        <w:gridCol w:w="1649"/>
        <w:gridCol w:w="3735"/>
        <w:gridCol w:w="1556"/>
        <w:gridCol w:w="2699"/>
      </w:tblGrid>
      <w:tr w:rsidR="00161754" w:rsidRPr="00161754" w14:paraId="2CF6FF3F" w14:textId="77777777" w:rsidTr="007F5F69">
        <w:trPr>
          <w:jc w:val="center"/>
        </w:trPr>
        <w:tc>
          <w:tcPr>
            <w:tcW w:w="1649" w:type="dxa"/>
            <w:shd w:val="clear" w:color="auto" w:fill="auto"/>
          </w:tcPr>
          <w:p w14:paraId="50C6707A" w14:textId="77777777" w:rsidR="00161754" w:rsidRPr="00161754" w:rsidRDefault="00161754" w:rsidP="00C4057D">
            <w:pPr>
              <w:spacing w:before="80" w:after="80" w:line="300" w:lineRule="exact"/>
              <w:jc w:val="left"/>
              <w:rPr>
                <w:b/>
                <w:bCs/>
                <w:position w:val="-2"/>
              </w:rPr>
            </w:pPr>
            <w:r w:rsidRPr="00161754">
              <w:rPr>
                <w:b/>
                <w:bCs/>
                <w:position w:val="-2"/>
                <w:rtl/>
              </w:rPr>
              <w:t>إلى:</w:t>
            </w:r>
          </w:p>
        </w:tc>
        <w:tc>
          <w:tcPr>
            <w:tcW w:w="3735" w:type="dxa"/>
            <w:tcBorders>
              <w:right w:val="single" w:sz="8" w:space="0" w:color="auto"/>
            </w:tcBorders>
            <w:shd w:val="clear" w:color="auto" w:fill="auto"/>
          </w:tcPr>
          <w:p w14:paraId="467BE900" w14:textId="3286B11D" w:rsidR="00161754" w:rsidRPr="00161754" w:rsidRDefault="00161754" w:rsidP="00A878D3">
            <w:pPr>
              <w:spacing w:before="80" w:after="80" w:line="300" w:lineRule="exact"/>
              <w:jc w:val="left"/>
              <w:rPr>
                <w:position w:val="-2"/>
                <w:lang w:bidi="en-GB"/>
              </w:rPr>
            </w:pPr>
            <w:r w:rsidRPr="00161754">
              <w:rPr>
                <w:position w:val="-2"/>
                <w:rtl/>
              </w:rPr>
              <w:t>مدير مكتب تقييس الاتصالات،</w:t>
            </w:r>
            <w:r w:rsidR="00A878D3">
              <w:rPr>
                <w:position w:val="-2"/>
              </w:rPr>
              <w:br/>
            </w:r>
            <w:r w:rsidRPr="00161754">
              <w:rPr>
                <w:position w:val="-2"/>
                <w:rtl/>
              </w:rPr>
              <w:t>الاتحاد الدولي للاتصالات</w:t>
            </w:r>
            <w:r w:rsidR="00A878D3">
              <w:rPr>
                <w:position w:val="-2"/>
              </w:rPr>
              <w:br/>
            </w:r>
            <w:r w:rsidR="00A878D3" w:rsidRPr="003500A0">
              <w:rPr>
                <w:position w:val="-2"/>
              </w:rPr>
              <w:t>Place des Nations</w:t>
            </w:r>
            <w:r w:rsidR="00A878D3" w:rsidRPr="003500A0">
              <w:rPr>
                <w:position w:val="-2"/>
              </w:rPr>
              <w:br/>
            </w:r>
            <w:r w:rsidR="00A878D3" w:rsidRPr="00A878D3">
              <w:rPr>
                <w:position w:val="-2"/>
                <w:lang w:val="en-GB"/>
              </w:rPr>
              <w:t>CH 1211 Geneva 20, Switzerland</w:t>
            </w:r>
          </w:p>
        </w:tc>
        <w:tc>
          <w:tcPr>
            <w:tcW w:w="1556" w:type="dxa"/>
            <w:tcBorders>
              <w:left w:val="single" w:sz="8" w:space="0" w:color="auto"/>
            </w:tcBorders>
            <w:shd w:val="clear" w:color="auto" w:fill="auto"/>
          </w:tcPr>
          <w:p w14:paraId="1AA682D0" w14:textId="77777777" w:rsidR="00161754" w:rsidRPr="00161754" w:rsidRDefault="00161754" w:rsidP="00C4057D">
            <w:pPr>
              <w:spacing w:before="80" w:after="80" w:line="300" w:lineRule="exact"/>
              <w:jc w:val="left"/>
              <w:rPr>
                <w:b/>
                <w:bCs/>
                <w:position w:val="-2"/>
              </w:rPr>
            </w:pPr>
            <w:r w:rsidRPr="00161754">
              <w:rPr>
                <w:b/>
                <w:bCs/>
                <w:position w:val="-2"/>
                <w:rtl/>
              </w:rPr>
              <w:t>من:</w:t>
            </w:r>
          </w:p>
        </w:tc>
        <w:tc>
          <w:tcPr>
            <w:tcW w:w="2699" w:type="dxa"/>
            <w:shd w:val="clear" w:color="auto" w:fill="auto"/>
          </w:tcPr>
          <w:p w14:paraId="3C87488C" w14:textId="203D510F" w:rsidR="00161754" w:rsidRPr="007F5F69" w:rsidRDefault="00161754" w:rsidP="0006028F">
            <w:pPr>
              <w:spacing w:before="80" w:after="80" w:line="300" w:lineRule="exact"/>
              <w:jc w:val="left"/>
              <w:rPr>
                <w:position w:val="-2"/>
                <w:highlight w:val="green"/>
              </w:rPr>
            </w:pPr>
            <w:r w:rsidRPr="007F5F69">
              <w:rPr>
                <w:position w:val="-2"/>
                <w:highlight w:val="green"/>
                <w:rtl/>
              </w:rPr>
              <w:t>[الاسم]</w:t>
            </w:r>
            <w:r w:rsidR="0006028F" w:rsidRPr="007F5F69">
              <w:rPr>
                <w:position w:val="-2"/>
                <w:highlight w:val="green"/>
              </w:rPr>
              <w:br/>
            </w:r>
            <w:r w:rsidRPr="007F5F69">
              <w:rPr>
                <w:position w:val="-2"/>
                <w:highlight w:val="green"/>
                <w:rtl/>
              </w:rPr>
              <w:t>[الدور/اللقب الرسمي]</w:t>
            </w:r>
            <w:r w:rsidR="0006028F" w:rsidRPr="007F5F69">
              <w:rPr>
                <w:position w:val="-2"/>
                <w:highlight w:val="green"/>
              </w:rPr>
              <w:br/>
            </w:r>
            <w:r w:rsidRPr="007F5F69">
              <w:rPr>
                <w:position w:val="-2"/>
                <w:highlight w:val="green"/>
                <w:rtl/>
              </w:rPr>
              <w:t>[العنوان]</w:t>
            </w:r>
          </w:p>
        </w:tc>
      </w:tr>
      <w:tr w:rsidR="00161754" w:rsidRPr="00161754" w14:paraId="31D63D8A" w14:textId="77777777" w:rsidTr="007F5F69">
        <w:trPr>
          <w:jc w:val="center"/>
        </w:trPr>
        <w:tc>
          <w:tcPr>
            <w:tcW w:w="1649" w:type="dxa"/>
            <w:shd w:val="clear" w:color="auto" w:fill="auto"/>
          </w:tcPr>
          <w:p w14:paraId="1AAAEC4E" w14:textId="77777777" w:rsidR="00161754" w:rsidRPr="00161754" w:rsidRDefault="00161754" w:rsidP="00C4057D">
            <w:pPr>
              <w:spacing w:before="80" w:after="80" w:line="300" w:lineRule="exact"/>
              <w:jc w:val="left"/>
              <w:rPr>
                <w:b/>
                <w:bCs/>
                <w:position w:val="-2"/>
              </w:rPr>
            </w:pPr>
            <w:r w:rsidRPr="00161754">
              <w:rPr>
                <w:b/>
                <w:bCs/>
                <w:position w:val="-2"/>
                <w:rtl/>
              </w:rPr>
              <w:t>الفاكس:</w:t>
            </w:r>
          </w:p>
        </w:tc>
        <w:tc>
          <w:tcPr>
            <w:tcW w:w="3735" w:type="dxa"/>
            <w:tcBorders>
              <w:right w:val="single" w:sz="8" w:space="0" w:color="auto"/>
            </w:tcBorders>
            <w:shd w:val="clear" w:color="auto" w:fill="auto"/>
          </w:tcPr>
          <w:p w14:paraId="2A382CB3" w14:textId="2EC0EA3A" w:rsidR="00161754" w:rsidRPr="00161754" w:rsidRDefault="00F85D97" w:rsidP="00F85D97">
            <w:pPr>
              <w:spacing w:before="80" w:after="80" w:line="300" w:lineRule="exact"/>
              <w:jc w:val="left"/>
              <w:rPr>
                <w:position w:val="-2"/>
              </w:rPr>
            </w:pPr>
            <w:r w:rsidRPr="00F85D97">
              <w:rPr>
                <w:position w:val="-2"/>
                <w:lang w:val="en-GB"/>
              </w:rPr>
              <w:t>+41-22-730-5853</w:t>
            </w:r>
          </w:p>
        </w:tc>
        <w:tc>
          <w:tcPr>
            <w:tcW w:w="1556" w:type="dxa"/>
            <w:tcBorders>
              <w:left w:val="single" w:sz="8" w:space="0" w:color="auto"/>
            </w:tcBorders>
            <w:shd w:val="clear" w:color="auto" w:fill="auto"/>
          </w:tcPr>
          <w:p w14:paraId="4817A9FD" w14:textId="77777777" w:rsidR="00161754" w:rsidRPr="00161754" w:rsidRDefault="00161754" w:rsidP="00C4057D">
            <w:pPr>
              <w:spacing w:before="80" w:after="80" w:line="300" w:lineRule="exact"/>
              <w:jc w:val="left"/>
              <w:rPr>
                <w:b/>
                <w:bCs/>
                <w:position w:val="-2"/>
              </w:rPr>
            </w:pPr>
            <w:r w:rsidRPr="00161754">
              <w:rPr>
                <w:b/>
                <w:bCs/>
                <w:position w:val="-2"/>
                <w:rtl/>
              </w:rPr>
              <w:t>الفاكس:</w:t>
            </w:r>
          </w:p>
        </w:tc>
        <w:tc>
          <w:tcPr>
            <w:tcW w:w="2699" w:type="dxa"/>
            <w:shd w:val="clear" w:color="auto" w:fill="auto"/>
          </w:tcPr>
          <w:p w14:paraId="4EE13C61" w14:textId="77777777" w:rsidR="00161754" w:rsidRPr="007F5F69" w:rsidRDefault="00161754" w:rsidP="00C4057D">
            <w:pPr>
              <w:spacing w:before="80" w:after="80" w:line="300" w:lineRule="exact"/>
              <w:jc w:val="left"/>
              <w:rPr>
                <w:position w:val="-2"/>
                <w:highlight w:val="green"/>
                <w:lang w:val="en-GB"/>
              </w:rPr>
            </w:pPr>
          </w:p>
        </w:tc>
      </w:tr>
      <w:tr w:rsidR="00B40689" w:rsidRPr="00161754" w14:paraId="775B23C2" w14:textId="77777777" w:rsidTr="007F5F69">
        <w:trPr>
          <w:jc w:val="center"/>
        </w:trPr>
        <w:tc>
          <w:tcPr>
            <w:tcW w:w="1649" w:type="dxa"/>
            <w:shd w:val="clear" w:color="auto" w:fill="auto"/>
          </w:tcPr>
          <w:p w14:paraId="0303AAFB" w14:textId="77777777" w:rsidR="00B40689" w:rsidRPr="00161754" w:rsidRDefault="00B40689" w:rsidP="00B40689">
            <w:pPr>
              <w:spacing w:before="80" w:after="80" w:line="300" w:lineRule="exact"/>
              <w:jc w:val="left"/>
              <w:rPr>
                <w:b/>
                <w:bCs/>
                <w:position w:val="-2"/>
              </w:rPr>
            </w:pPr>
            <w:r w:rsidRPr="00161754">
              <w:rPr>
                <w:b/>
                <w:bCs/>
                <w:position w:val="-2"/>
                <w:rtl/>
              </w:rPr>
              <w:t>البريد الإلكتروني:</w:t>
            </w:r>
          </w:p>
        </w:tc>
        <w:tc>
          <w:tcPr>
            <w:tcW w:w="3735" w:type="dxa"/>
            <w:tcBorders>
              <w:right w:val="single" w:sz="8" w:space="0" w:color="auto"/>
            </w:tcBorders>
            <w:shd w:val="clear" w:color="auto" w:fill="auto"/>
          </w:tcPr>
          <w:p w14:paraId="3EC31C7A" w14:textId="71697C03" w:rsidR="00B40689" w:rsidRPr="00161754" w:rsidRDefault="00B40689" w:rsidP="00B40689">
            <w:pPr>
              <w:spacing w:before="80" w:after="80" w:line="300" w:lineRule="exact"/>
              <w:jc w:val="left"/>
              <w:rPr>
                <w:position w:val="-2"/>
              </w:rPr>
            </w:pPr>
            <w:hyperlink r:id="rId16" w:history="1">
              <w:r w:rsidRPr="00C37279">
                <w:rPr>
                  <w:rStyle w:val="Hyperlink"/>
                </w:rPr>
                <w:t>tsbdir@itu.int</w:t>
              </w:r>
            </w:hyperlink>
          </w:p>
        </w:tc>
        <w:tc>
          <w:tcPr>
            <w:tcW w:w="1556" w:type="dxa"/>
            <w:tcBorders>
              <w:left w:val="single" w:sz="8" w:space="0" w:color="auto"/>
            </w:tcBorders>
            <w:shd w:val="clear" w:color="auto" w:fill="auto"/>
          </w:tcPr>
          <w:p w14:paraId="5E283E20" w14:textId="77777777" w:rsidR="00B40689" w:rsidRPr="00161754" w:rsidRDefault="00B40689" w:rsidP="00B40689">
            <w:pPr>
              <w:spacing w:before="80" w:after="80" w:line="300" w:lineRule="exact"/>
              <w:jc w:val="left"/>
              <w:rPr>
                <w:b/>
                <w:bCs/>
                <w:position w:val="-2"/>
              </w:rPr>
            </w:pPr>
            <w:r w:rsidRPr="00161754">
              <w:rPr>
                <w:b/>
                <w:bCs/>
                <w:position w:val="-2"/>
                <w:rtl/>
              </w:rPr>
              <w:t>البريد الإلكتروني:</w:t>
            </w:r>
          </w:p>
        </w:tc>
        <w:tc>
          <w:tcPr>
            <w:tcW w:w="2699" w:type="dxa"/>
            <w:shd w:val="clear" w:color="auto" w:fill="auto"/>
          </w:tcPr>
          <w:p w14:paraId="48E43F3F" w14:textId="77777777" w:rsidR="00B40689" w:rsidRPr="007F5F69" w:rsidRDefault="00B40689" w:rsidP="00B40689">
            <w:pPr>
              <w:spacing w:before="80" w:after="80" w:line="300" w:lineRule="exact"/>
              <w:jc w:val="left"/>
              <w:rPr>
                <w:position w:val="-2"/>
                <w:highlight w:val="green"/>
                <w:lang w:val="en-GB"/>
              </w:rPr>
            </w:pPr>
          </w:p>
        </w:tc>
      </w:tr>
      <w:tr w:rsidR="00161754" w:rsidRPr="00161754" w14:paraId="7537D9BC" w14:textId="77777777" w:rsidTr="007F5F69">
        <w:trPr>
          <w:jc w:val="center"/>
        </w:trPr>
        <w:tc>
          <w:tcPr>
            <w:tcW w:w="1649" w:type="dxa"/>
            <w:shd w:val="clear" w:color="auto" w:fill="auto"/>
          </w:tcPr>
          <w:p w14:paraId="7E77BB70" w14:textId="77777777" w:rsidR="00161754" w:rsidRPr="00161754" w:rsidRDefault="00161754" w:rsidP="00C4057D">
            <w:pPr>
              <w:spacing w:before="80" w:after="80" w:line="300" w:lineRule="exact"/>
              <w:jc w:val="left"/>
              <w:rPr>
                <w:position w:val="-2"/>
                <w:lang w:val="en-GB"/>
              </w:rPr>
            </w:pPr>
          </w:p>
        </w:tc>
        <w:tc>
          <w:tcPr>
            <w:tcW w:w="3735" w:type="dxa"/>
            <w:tcBorders>
              <w:right w:val="single" w:sz="8" w:space="0" w:color="auto"/>
            </w:tcBorders>
            <w:shd w:val="clear" w:color="auto" w:fill="auto"/>
          </w:tcPr>
          <w:p w14:paraId="525EC287" w14:textId="77777777" w:rsidR="00161754" w:rsidRPr="00161754" w:rsidRDefault="00161754" w:rsidP="00C4057D">
            <w:pPr>
              <w:spacing w:before="80" w:after="80" w:line="300" w:lineRule="exact"/>
              <w:jc w:val="left"/>
              <w:rPr>
                <w:position w:val="-2"/>
                <w:lang w:val="en-GB"/>
              </w:rPr>
            </w:pPr>
          </w:p>
        </w:tc>
        <w:tc>
          <w:tcPr>
            <w:tcW w:w="1556" w:type="dxa"/>
            <w:tcBorders>
              <w:left w:val="single" w:sz="8" w:space="0" w:color="auto"/>
            </w:tcBorders>
            <w:shd w:val="clear" w:color="auto" w:fill="auto"/>
          </w:tcPr>
          <w:p w14:paraId="1859A537" w14:textId="77777777" w:rsidR="00161754" w:rsidRPr="00161754" w:rsidRDefault="00161754" w:rsidP="00C4057D">
            <w:pPr>
              <w:spacing w:before="80" w:after="80" w:line="300" w:lineRule="exact"/>
              <w:jc w:val="left"/>
              <w:rPr>
                <w:b/>
                <w:bCs/>
                <w:position w:val="-2"/>
              </w:rPr>
            </w:pPr>
            <w:r w:rsidRPr="00161754">
              <w:rPr>
                <w:b/>
                <w:bCs/>
                <w:position w:val="-2"/>
                <w:rtl/>
              </w:rPr>
              <w:t>التاريخ:</w:t>
            </w:r>
          </w:p>
        </w:tc>
        <w:tc>
          <w:tcPr>
            <w:tcW w:w="2699" w:type="dxa"/>
            <w:shd w:val="clear" w:color="auto" w:fill="auto"/>
          </w:tcPr>
          <w:p w14:paraId="4223DF3C" w14:textId="77777777" w:rsidR="00161754" w:rsidRPr="007F5F69" w:rsidRDefault="00161754" w:rsidP="00C4057D">
            <w:pPr>
              <w:spacing w:before="80" w:after="80" w:line="300" w:lineRule="exact"/>
              <w:jc w:val="left"/>
              <w:rPr>
                <w:position w:val="-2"/>
                <w:highlight w:val="green"/>
              </w:rPr>
            </w:pPr>
            <w:r w:rsidRPr="007F5F69">
              <w:rPr>
                <w:position w:val="-2"/>
                <w:highlight w:val="green"/>
                <w:rtl/>
              </w:rPr>
              <w:t>[المكان،] [التاريخ]</w:t>
            </w:r>
          </w:p>
        </w:tc>
      </w:tr>
    </w:tbl>
    <w:p w14:paraId="7AA8F26F" w14:textId="77777777" w:rsidR="00161754" w:rsidRPr="00161754" w:rsidRDefault="00161754" w:rsidP="00AA43C0">
      <w:pPr>
        <w:spacing w:before="600"/>
      </w:pPr>
      <w:r w:rsidRPr="00161754">
        <w:rPr>
          <w:rtl/>
        </w:rPr>
        <w:t>حضرات السادة والسيدات،</w:t>
      </w:r>
    </w:p>
    <w:p w14:paraId="3C853FD9" w14:textId="77777777" w:rsidR="007F5F69" w:rsidRDefault="00161754" w:rsidP="007F5F69">
      <w:pPr>
        <w:spacing w:after="120"/>
        <w:rPr>
          <w:rtl/>
        </w:rPr>
      </w:pPr>
      <w:r w:rsidRPr="00161754">
        <w:rPr>
          <w:rtl/>
        </w:rPr>
        <w:t>تحية طيبة وبعد،</w:t>
      </w:r>
    </w:p>
    <w:p w14:paraId="3E699751" w14:textId="6F02828E" w:rsidR="00161754" w:rsidRPr="00161754" w:rsidRDefault="00161754" w:rsidP="007F5F69">
      <w:pPr>
        <w:spacing w:after="120"/>
      </w:pPr>
      <w:r w:rsidRPr="00161754">
        <w:rPr>
          <w:rtl/>
        </w:rPr>
        <w:t xml:space="preserve">فيما يخص مشاورة الدول الأعضاء بشأن مشاريع النصوص المحددة المذكورة في الرسالة المعممة </w:t>
      </w:r>
      <w:r w:rsidR="003500A0">
        <w:t>50</w:t>
      </w:r>
      <w:r w:rsidRPr="00161754">
        <w:rPr>
          <w:rtl/>
        </w:rPr>
        <w:t xml:space="preserve"> لمكتب تقييس الاتصالات، أود أن أطلعكم على رأي هذه الإدارة، المبين في الجدول أدناه.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2"/>
        <w:gridCol w:w="6207"/>
      </w:tblGrid>
      <w:tr w:rsidR="008F1B58" w:rsidRPr="00161754" w14:paraId="46358EFE" w14:textId="77777777" w:rsidTr="008F1B58">
        <w:trPr>
          <w:tblHeader/>
        </w:trPr>
        <w:tc>
          <w:tcPr>
            <w:tcW w:w="3422" w:type="dxa"/>
            <w:shd w:val="clear" w:color="auto" w:fill="auto"/>
            <w:vAlign w:val="center"/>
          </w:tcPr>
          <w:p w14:paraId="46CAFDFF" w14:textId="77777777" w:rsidR="00161754" w:rsidRPr="0051118A" w:rsidRDefault="00161754" w:rsidP="0051118A">
            <w:pPr>
              <w:jc w:val="center"/>
              <w:rPr>
                <w:b/>
                <w:bCs/>
                <w:lang w:val="en-GB"/>
              </w:rPr>
            </w:pPr>
            <w:bookmarkStart w:id="1" w:name="_Hlk204005032"/>
          </w:p>
        </w:tc>
        <w:tc>
          <w:tcPr>
            <w:tcW w:w="6207" w:type="dxa"/>
            <w:shd w:val="clear" w:color="auto" w:fill="auto"/>
            <w:vAlign w:val="center"/>
          </w:tcPr>
          <w:p w14:paraId="747EF979" w14:textId="77777777" w:rsidR="00161754" w:rsidRPr="00161754" w:rsidRDefault="00161754" w:rsidP="00F70EF9">
            <w:pPr>
              <w:jc w:val="center"/>
              <w:rPr>
                <w:b/>
                <w:bCs/>
              </w:rPr>
            </w:pPr>
            <w:r w:rsidRPr="00161754">
              <w:rPr>
                <w:b/>
                <w:bCs/>
                <w:rtl/>
              </w:rPr>
              <w:t>حدد أحد المربعين</w:t>
            </w:r>
          </w:p>
        </w:tc>
      </w:tr>
      <w:bookmarkEnd w:id="1"/>
      <w:tr w:rsidR="008F1B58" w:rsidRPr="00161754" w14:paraId="189033E6" w14:textId="77777777" w:rsidTr="008F1B58">
        <w:trPr>
          <w:trHeight w:val="748"/>
        </w:trPr>
        <w:tc>
          <w:tcPr>
            <w:tcW w:w="3422" w:type="dxa"/>
            <w:vMerge w:val="restart"/>
            <w:shd w:val="clear" w:color="auto" w:fill="auto"/>
            <w:vAlign w:val="center"/>
          </w:tcPr>
          <w:p w14:paraId="0FBB7FD1" w14:textId="6214027B" w:rsidR="00161754" w:rsidRPr="0051118A" w:rsidRDefault="00161754" w:rsidP="00814625">
            <w:pPr>
              <w:jc w:val="center"/>
              <w:rPr>
                <w:b/>
                <w:bCs/>
              </w:rPr>
            </w:pPr>
            <w:r w:rsidRPr="0051118A">
              <w:rPr>
                <w:b/>
                <w:bCs/>
                <w:rtl/>
              </w:rPr>
              <w:t>مشروع التوصية</w:t>
            </w:r>
            <w:r w:rsidR="00814625">
              <w:rPr>
                <w:b/>
                <w:bCs/>
                <w:rtl/>
              </w:rPr>
              <w:br/>
            </w:r>
            <w:r w:rsidRPr="0051118A">
              <w:rPr>
                <w:b/>
                <w:bCs/>
                <w:rtl/>
              </w:rPr>
              <w:t>الجديدة</w:t>
            </w:r>
            <w:r w:rsidR="00814625">
              <w:rPr>
                <w:rFonts w:hint="cs"/>
                <w:b/>
                <w:bCs/>
                <w:rtl/>
              </w:rPr>
              <w:t xml:space="preserve"> </w:t>
            </w:r>
            <w:r w:rsidRPr="0051118A">
              <w:rPr>
                <w:b/>
                <w:bCs/>
                <w:rtl/>
              </w:rPr>
              <w:t>ITU-T X.1062</w:t>
            </w:r>
            <w:r w:rsidR="00814625">
              <w:rPr>
                <w:rFonts w:hint="cs"/>
                <w:b/>
                <w:bCs/>
                <w:rtl/>
              </w:rPr>
              <w:t xml:space="preserve"> </w:t>
            </w:r>
            <w:r w:rsidR="007F5F69">
              <w:rPr>
                <w:b/>
                <w:bCs/>
                <w:rtl/>
              </w:rPr>
              <w:br/>
            </w:r>
            <w:r w:rsidR="00814625">
              <w:rPr>
                <w:rFonts w:hint="cs"/>
                <w:b/>
                <w:bCs/>
                <w:rtl/>
              </w:rPr>
              <w:t>(</w:t>
            </w:r>
            <w:proofErr w:type="spellStart"/>
            <w:r w:rsidR="00814625" w:rsidRPr="00814625">
              <w:rPr>
                <w:b/>
                <w:bCs/>
                <w:lang w:val="en-GB"/>
              </w:rPr>
              <w:t>X.shcd</w:t>
            </w:r>
            <w:proofErr w:type="spellEnd"/>
            <w:r w:rsidR="00814625">
              <w:rPr>
                <w:rFonts w:hint="cs"/>
                <w:b/>
                <w:bCs/>
                <w:rtl/>
                <w:lang w:val="en-GB"/>
              </w:rPr>
              <w:t xml:space="preserve"> سابقاً)</w:t>
            </w:r>
          </w:p>
        </w:tc>
        <w:tc>
          <w:tcPr>
            <w:tcW w:w="6207" w:type="dxa"/>
            <w:shd w:val="clear" w:color="auto" w:fill="auto"/>
            <w:vAlign w:val="center"/>
          </w:tcPr>
          <w:p w14:paraId="27232ABA" w14:textId="113511D3" w:rsidR="00161754" w:rsidRPr="00161754" w:rsidRDefault="007F5F69" w:rsidP="00FC2C04">
            <w:pPr>
              <w:ind w:left="461" w:hanging="461"/>
            </w:pPr>
            <w:r>
              <w:rPr>
                <w:rFonts w:asciiTheme="minorHAnsi" w:hAnsiTheme="minorHAnsi" w:cstheme="minorHAnsi"/>
              </w:rPr>
              <w:fldChar w:fldCharType="begin">
                <w:ffData>
                  <w:name w:val="Check1"/>
                  <w:enabled/>
                  <w:calcOnExit w:val="0"/>
                  <w:checkBox>
                    <w:sizeAuto/>
                    <w:default w:val="0"/>
                  </w:checkBox>
                </w:ffData>
              </w:fldChar>
            </w:r>
            <w:bookmarkStart w:id="2" w:name="Check1"/>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bookmarkEnd w:id="2"/>
            <w:r w:rsidR="00161754" w:rsidRPr="00161754">
              <w:rPr>
                <w:rtl/>
              </w:rPr>
              <w:tab/>
            </w:r>
            <w:r w:rsidR="00161754" w:rsidRPr="004A32E1">
              <w:rPr>
                <w:b/>
                <w:bCs/>
                <w:rtl/>
              </w:rPr>
              <w:t>تفوض</w:t>
            </w:r>
            <w:r w:rsidR="00161754" w:rsidRPr="00161754">
              <w:rPr>
                <w:rtl/>
              </w:rPr>
              <w:t xml:space="preserve"> لجنة الدراسات 17 </w:t>
            </w:r>
            <w:r w:rsidR="00161754" w:rsidRPr="007F5F69">
              <w:rPr>
                <w:b/>
                <w:bCs/>
                <w:rtl/>
              </w:rPr>
              <w:t>سلطة النظر</w:t>
            </w:r>
            <w:r w:rsidR="00161754" w:rsidRPr="00161754">
              <w:rPr>
                <w:rtl/>
              </w:rPr>
              <w:t xml:space="preserve"> في هذا النص بغرض الموافقة عليه (وفي هذه الحالة، تحديد أحد الخيارين</w:t>
            </w:r>
            <w:r w:rsidR="00EB4EFD">
              <w:rPr>
                <w:rFonts w:hint="cs"/>
                <w:rtl/>
              </w:rPr>
              <w:t xml:space="preserve"> </w:t>
            </w:r>
            <w:r w:rsidR="008C3608" w:rsidRPr="008C3608">
              <w:rPr>
                <w:rFonts w:asciiTheme="minorHAnsi" w:hAnsiTheme="minorHAnsi" w:cstheme="minorHAnsi"/>
                <w:sz w:val="20"/>
              </w:rPr>
              <w:t>⃝</w:t>
            </w:r>
            <w:r w:rsidR="00161754" w:rsidRPr="00161754">
              <w:rPr>
                <w:rtl/>
              </w:rPr>
              <w:t>)</w:t>
            </w:r>
          </w:p>
          <w:p w14:paraId="0B2AE516" w14:textId="2CCCCF9F" w:rsidR="00161754" w:rsidRPr="00FC2C04" w:rsidRDefault="007F5F69" w:rsidP="00CE5732">
            <w:pPr>
              <w:ind w:left="941" w:hanging="459"/>
            </w:pPr>
            <w:r w:rsidRPr="00FC2C04">
              <w:rPr>
                <w:rFonts w:asciiTheme="minorHAnsi" w:hAnsiTheme="minorHAnsi" w:cstheme="minorHAnsi"/>
                <w:sz w:val="20"/>
              </w:rPr>
              <w:t>⃝</w:t>
            </w:r>
            <w:r w:rsidRPr="00161754">
              <w:rPr>
                <w:rtl/>
              </w:rPr>
              <w:tab/>
            </w:r>
            <w:r w:rsidR="00161754" w:rsidRPr="00FC2C04">
              <w:rPr>
                <w:rtl/>
              </w:rPr>
              <w:t>لا توجد تعليقات أو تغييرات مقترحة</w:t>
            </w:r>
          </w:p>
          <w:p w14:paraId="07A3235C" w14:textId="765108C1" w:rsidR="00161754" w:rsidRPr="00161754" w:rsidRDefault="007F5F69" w:rsidP="00CE5732">
            <w:pPr>
              <w:ind w:left="941" w:hanging="459"/>
            </w:pPr>
            <w:r w:rsidRPr="00FC2C04">
              <w:rPr>
                <w:rFonts w:asciiTheme="minorHAnsi" w:hAnsiTheme="minorHAnsi" w:cstheme="minorHAnsi"/>
                <w:sz w:val="20"/>
              </w:rPr>
              <w:t>⃝</w:t>
            </w:r>
            <w:r w:rsidRPr="00161754">
              <w:rPr>
                <w:rtl/>
              </w:rPr>
              <w:tab/>
            </w:r>
            <w:r w:rsidR="00161754" w:rsidRPr="00FC2C04">
              <w:rPr>
                <w:rtl/>
              </w:rPr>
              <w:t>التعليقات والتغييرات المقترحة مرفَقة</w:t>
            </w:r>
          </w:p>
        </w:tc>
      </w:tr>
      <w:tr w:rsidR="008F1B58" w:rsidRPr="00161754" w14:paraId="081BEF2C" w14:textId="77777777" w:rsidTr="008F1B58">
        <w:trPr>
          <w:trHeight w:val="747"/>
        </w:trPr>
        <w:tc>
          <w:tcPr>
            <w:tcW w:w="3422" w:type="dxa"/>
            <w:vMerge/>
            <w:shd w:val="clear" w:color="auto" w:fill="auto"/>
            <w:vAlign w:val="center"/>
          </w:tcPr>
          <w:p w14:paraId="6F23D039" w14:textId="77777777" w:rsidR="00161754" w:rsidRPr="0051118A" w:rsidRDefault="00161754" w:rsidP="0051118A">
            <w:pPr>
              <w:jc w:val="center"/>
              <w:rPr>
                <w:b/>
                <w:bCs/>
                <w:lang w:val="en-GB"/>
              </w:rPr>
            </w:pPr>
          </w:p>
        </w:tc>
        <w:tc>
          <w:tcPr>
            <w:tcW w:w="6207" w:type="dxa"/>
            <w:shd w:val="clear" w:color="auto" w:fill="auto"/>
            <w:vAlign w:val="center"/>
          </w:tcPr>
          <w:p w14:paraId="4BF81A76" w14:textId="15AFCBF2" w:rsidR="00161754" w:rsidRPr="00161754" w:rsidRDefault="00F70EF9" w:rsidP="00FC2C04">
            <w:pPr>
              <w:ind w:left="461" w:hanging="461"/>
            </w:pPr>
            <w:r w:rsidRPr="005B4E8C">
              <w:rPr>
                <w:rFonts w:asciiTheme="minorHAnsi" w:hAnsiTheme="minorHAnsi" w:cstheme="minorHAnsi"/>
              </w:rPr>
              <w:fldChar w:fldCharType="begin">
                <w:ffData>
                  <w:name w:val="Check1"/>
                  <w:enabled/>
                  <w:calcOnExit w:val="0"/>
                  <w:checkBox>
                    <w:sizeAuto/>
                    <w:default w:val="0"/>
                  </w:checkBox>
                </w:ffData>
              </w:fldChar>
            </w:r>
            <w:r w:rsidRPr="005B4E8C">
              <w:rPr>
                <w:rFonts w:asciiTheme="minorHAnsi" w:hAnsiTheme="minorHAnsi" w:cstheme="minorHAnsi"/>
              </w:rPr>
              <w:instrText xml:space="preserve"> FORMCHECKBOX </w:instrText>
            </w:r>
            <w:r w:rsidRPr="005B4E8C">
              <w:rPr>
                <w:rFonts w:asciiTheme="minorHAnsi" w:hAnsiTheme="minorHAnsi" w:cstheme="minorHAnsi"/>
              </w:rPr>
            </w:r>
            <w:r w:rsidRPr="005B4E8C">
              <w:rPr>
                <w:rFonts w:asciiTheme="minorHAnsi" w:hAnsiTheme="minorHAnsi" w:cstheme="minorHAnsi"/>
              </w:rPr>
              <w:fldChar w:fldCharType="separate"/>
            </w:r>
            <w:r w:rsidRPr="005B4E8C">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rFonts w:hint="cs"/>
                <w:b/>
                <w:bCs/>
                <w:rtl/>
              </w:rPr>
              <w:t xml:space="preserve">سلطة </w:t>
            </w:r>
            <w:r w:rsidR="00161754" w:rsidRPr="007F5F69">
              <w:rPr>
                <w:b/>
                <w:bCs/>
                <w:rtl/>
              </w:rPr>
              <w:t>النظر</w:t>
            </w:r>
            <w:r w:rsidR="00161754" w:rsidRPr="00161754">
              <w:rPr>
                <w:rtl/>
              </w:rPr>
              <w:t xml:space="preserve"> في هذا النص للموافقة عليه (مرفق طيه أسباب هذا الرأي وموجز للتغييرات الممكنة التي من شأنها أن تمكن من إحراز تقدم في العمل)</w:t>
            </w:r>
          </w:p>
        </w:tc>
      </w:tr>
      <w:tr w:rsidR="008F1B58" w:rsidRPr="00161754" w14:paraId="39E1BB0E" w14:textId="77777777" w:rsidTr="008F1B58">
        <w:trPr>
          <w:trHeight w:val="747"/>
        </w:trPr>
        <w:tc>
          <w:tcPr>
            <w:tcW w:w="3422" w:type="dxa"/>
            <w:vMerge w:val="restart"/>
            <w:shd w:val="clear" w:color="auto" w:fill="auto"/>
            <w:vAlign w:val="center"/>
          </w:tcPr>
          <w:p w14:paraId="32B31758" w14:textId="176EF152" w:rsidR="00161754" w:rsidRPr="0051118A" w:rsidRDefault="00161754" w:rsidP="0051118A">
            <w:pPr>
              <w:jc w:val="center"/>
              <w:rPr>
                <w:b/>
                <w:bCs/>
              </w:rPr>
            </w:pPr>
            <w:r w:rsidRPr="0051118A">
              <w:rPr>
                <w:b/>
                <w:bCs/>
                <w:rtl/>
              </w:rPr>
              <w:t>مشروع التوصية</w:t>
            </w:r>
            <w:r w:rsidR="00814625">
              <w:rPr>
                <w:b/>
                <w:bCs/>
                <w:rtl/>
              </w:rPr>
              <w:br/>
            </w:r>
            <w:r w:rsidRPr="0051118A">
              <w:rPr>
                <w:b/>
                <w:bCs/>
                <w:rtl/>
              </w:rPr>
              <w:t xml:space="preserve">الجديدة </w:t>
            </w:r>
            <w:r w:rsidR="00747ED2" w:rsidRPr="0051118A">
              <w:rPr>
                <w:b/>
                <w:bCs/>
                <w:rtl/>
              </w:rPr>
              <w:t xml:space="preserve">ITU-T </w:t>
            </w:r>
            <w:r w:rsidRPr="0051118A">
              <w:rPr>
                <w:b/>
                <w:bCs/>
                <w:rtl/>
              </w:rPr>
              <w:t>X.1238</w:t>
            </w:r>
            <w:r w:rsidR="00747ED2">
              <w:rPr>
                <w:b/>
                <w:bCs/>
                <w:rtl/>
              </w:rPr>
              <w:br/>
            </w:r>
            <w:r w:rsidRPr="0051118A">
              <w:rPr>
                <w:b/>
                <w:bCs/>
                <w:rtl/>
              </w:rPr>
              <w:t>(X.sgc-rcs سابقا</w:t>
            </w:r>
            <w:r w:rsidR="00EE3028">
              <w:rPr>
                <w:rFonts w:hint="cs"/>
                <w:b/>
                <w:bCs/>
                <w:rtl/>
              </w:rPr>
              <w:t>ً</w:t>
            </w:r>
            <w:r w:rsidR="00814625">
              <w:rPr>
                <w:rFonts w:hint="cs"/>
                <w:b/>
                <w:bCs/>
                <w:rtl/>
              </w:rPr>
              <w:t>)</w:t>
            </w:r>
          </w:p>
        </w:tc>
        <w:tc>
          <w:tcPr>
            <w:tcW w:w="6207" w:type="dxa"/>
            <w:shd w:val="clear" w:color="auto" w:fill="auto"/>
            <w:vAlign w:val="center"/>
          </w:tcPr>
          <w:p w14:paraId="1B9352D4" w14:textId="33848391" w:rsidR="00161754" w:rsidRPr="00161754" w:rsidRDefault="00F70EF9" w:rsidP="00FC2C04">
            <w:pPr>
              <w:ind w:left="461" w:hanging="461"/>
            </w:pPr>
            <w:r w:rsidRPr="005B4E8C">
              <w:rPr>
                <w:rFonts w:asciiTheme="minorHAnsi" w:hAnsiTheme="minorHAnsi" w:cstheme="minorHAnsi"/>
              </w:rPr>
              <w:fldChar w:fldCharType="begin">
                <w:ffData>
                  <w:name w:val="Check1"/>
                  <w:enabled/>
                  <w:calcOnExit w:val="0"/>
                  <w:checkBox>
                    <w:sizeAuto/>
                    <w:default w:val="0"/>
                  </w:checkBox>
                </w:ffData>
              </w:fldChar>
            </w:r>
            <w:r w:rsidRPr="005B4E8C">
              <w:rPr>
                <w:rFonts w:asciiTheme="minorHAnsi" w:hAnsiTheme="minorHAnsi" w:cstheme="minorHAnsi"/>
              </w:rPr>
              <w:instrText xml:space="preserve"> FORMCHECKBOX </w:instrText>
            </w:r>
            <w:r w:rsidRPr="005B4E8C">
              <w:rPr>
                <w:rFonts w:asciiTheme="minorHAnsi" w:hAnsiTheme="minorHAnsi" w:cstheme="minorHAnsi"/>
              </w:rPr>
            </w:r>
            <w:r w:rsidRPr="005B4E8C">
              <w:rPr>
                <w:rFonts w:asciiTheme="minorHAnsi" w:hAnsiTheme="minorHAnsi" w:cstheme="minorHAnsi"/>
              </w:rPr>
              <w:fldChar w:fldCharType="separate"/>
            </w:r>
            <w:r w:rsidRPr="005B4E8C">
              <w:rPr>
                <w:rFonts w:asciiTheme="minorHAnsi" w:hAnsiTheme="minorHAnsi" w:cstheme="minorHAnsi"/>
              </w:rPr>
              <w:fldChar w:fldCharType="end"/>
            </w:r>
            <w:r w:rsidR="00161754" w:rsidRPr="00161754">
              <w:rPr>
                <w:rtl/>
              </w:rPr>
              <w:tab/>
            </w:r>
            <w:r w:rsidR="00161754" w:rsidRPr="004A32E1">
              <w:rPr>
                <w:b/>
                <w:bCs/>
                <w:rtl/>
              </w:rPr>
              <w:t>تفوض</w:t>
            </w:r>
            <w:r w:rsidR="00161754" w:rsidRPr="00161754">
              <w:rPr>
                <w:rtl/>
              </w:rPr>
              <w:t xml:space="preserve"> لجنة الدراسات 17 </w:t>
            </w:r>
            <w:r w:rsidR="00161754" w:rsidRPr="007F5F69">
              <w:rPr>
                <w:b/>
                <w:bCs/>
                <w:rtl/>
              </w:rPr>
              <w:t>سلطة النظر</w:t>
            </w:r>
            <w:r w:rsidR="00161754" w:rsidRPr="00161754">
              <w:rPr>
                <w:rtl/>
              </w:rPr>
              <w:t xml:space="preserve"> في هذا النص بغرض الموافقة عليه (وفي هذه الحالة، تحديد أحد الخيارين</w:t>
            </w:r>
            <w:r w:rsidR="001C07AD">
              <w:rPr>
                <w:rFonts w:hint="cs"/>
                <w:rtl/>
              </w:rPr>
              <w:t xml:space="preserve"> </w:t>
            </w:r>
            <w:r w:rsidR="001C07AD" w:rsidRPr="008C3608">
              <w:rPr>
                <w:rFonts w:asciiTheme="minorHAnsi" w:hAnsiTheme="minorHAnsi" w:cstheme="minorHAnsi"/>
                <w:sz w:val="20"/>
              </w:rPr>
              <w:t>⃝</w:t>
            </w:r>
            <w:r w:rsidR="00161754" w:rsidRPr="00161754">
              <w:rPr>
                <w:rtl/>
              </w:rPr>
              <w:t>)</w:t>
            </w:r>
          </w:p>
          <w:p w14:paraId="7DDD49E8" w14:textId="7B3E557F" w:rsidR="00161754" w:rsidRPr="00161754" w:rsidRDefault="00FC2C04" w:rsidP="00CE5732">
            <w:pPr>
              <w:ind w:left="941" w:hanging="459"/>
            </w:pPr>
            <w:r w:rsidRPr="00FC2C04">
              <w:rPr>
                <w:rFonts w:asciiTheme="minorHAnsi" w:hAnsiTheme="minorHAnsi" w:cstheme="minorHAnsi"/>
                <w:sz w:val="20"/>
              </w:rPr>
              <w:t>⃝</w:t>
            </w:r>
            <w:r w:rsidR="00161754" w:rsidRPr="00161754">
              <w:rPr>
                <w:rtl/>
              </w:rPr>
              <w:tab/>
              <w:t>لا توجد تعليقات أو تغييرات مقترحة</w:t>
            </w:r>
          </w:p>
          <w:p w14:paraId="2D6940A5" w14:textId="14B206B5" w:rsidR="00161754" w:rsidRPr="00161754" w:rsidRDefault="007F5F69" w:rsidP="00CE5732">
            <w:pPr>
              <w:ind w:left="941" w:hanging="459"/>
            </w:pPr>
            <w:r w:rsidRPr="00FC2C04">
              <w:rPr>
                <w:rFonts w:asciiTheme="minorHAnsi" w:hAnsiTheme="minorHAnsi" w:cstheme="minorHAnsi"/>
                <w:sz w:val="20"/>
              </w:rPr>
              <w:t>⃝</w:t>
            </w:r>
            <w:r w:rsidRPr="00161754">
              <w:rPr>
                <w:rtl/>
              </w:rPr>
              <w:tab/>
            </w:r>
            <w:r w:rsidR="00161754" w:rsidRPr="00161754">
              <w:rPr>
                <w:rtl/>
              </w:rPr>
              <w:t>التعليقات والتغييرات المقترحة مرفَقة</w:t>
            </w:r>
          </w:p>
        </w:tc>
      </w:tr>
      <w:tr w:rsidR="008F1B58" w:rsidRPr="00161754" w14:paraId="12833B99" w14:textId="77777777" w:rsidTr="008F1B58">
        <w:trPr>
          <w:trHeight w:val="747"/>
        </w:trPr>
        <w:tc>
          <w:tcPr>
            <w:tcW w:w="3422" w:type="dxa"/>
            <w:vMerge/>
            <w:shd w:val="clear" w:color="auto" w:fill="auto"/>
            <w:vAlign w:val="center"/>
          </w:tcPr>
          <w:p w14:paraId="23D1DC02" w14:textId="77777777" w:rsidR="00161754" w:rsidRPr="0051118A" w:rsidRDefault="00161754" w:rsidP="0051118A">
            <w:pPr>
              <w:jc w:val="center"/>
              <w:rPr>
                <w:b/>
                <w:bCs/>
                <w:lang w:val="en-GB"/>
              </w:rPr>
            </w:pPr>
          </w:p>
        </w:tc>
        <w:tc>
          <w:tcPr>
            <w:tcW w:w="6207" w:type="dxa"/>
            <w:shd w:val="clear" w:color="auto" w:fill="auto"/>
            <w:vAlign w:val="center"/>
          </w:tcPr>
          <w:p w14:paraId="44F1FCFC" w14:textId="3D770718" w:rsidR="00161754" w:rsidRPr="00161754" w:rsidRDefault="00F70EF9" w:rsidP="00FC2C04">
            <w:pPr>
              <w:ind w:left="461" w:hanging="461"/>
            </w:pPr>
            <w:r w:rsidRPr="005B4E8C">
              <w:rPr>
                <w:rFonts w:asciiTheme="minorHAnsi" w:hAnsiTheme="minorHAnsi" w:cstheme="minorHAnsi"/>
              </w:rPr>
              <w:fldChar w:fldCharType="begin">
                <w:ffData>
                  <w:name w:val="Check1"/>
                  <w:enabled/>
                  <w:calcOnExit w:val="0"/>
                  <w:checkBox>
                    <w:sizeAuto/>
                    <w:default w:val="0"/>
                  </w:checkBox>
                </w:ffData>
              </w:fldChar>
            </w:r>
            <w:r w:rsidRPr="005B4E8C">
              <w:rPr>
                <w:rFonts w:asciiTheme="minorHAnsi" w:hAnsiTheme="minorHAnsi" w:cstheme="minorHAnsi"/>
              </w:rPr>
              <w:instrText xml:space="preserve"> FORMCHECKBOX </w:instrText>
            </w:r>
            <w:r w:rsidRPr="005B4E8C">
              <w:rPr>
                <w:rFonts w:asciiTheme="minorHAnsi" w:hAnsiTheme="minorHAnsi" w:cstheme="minorHAnsi"/>
              </w:rPr>
            </w:r>
            <w:r w:rsidRPr="005B4E8C">
              <w:rPr>
                <w:rFonts w:asciiTheme="minorHAnsi" w:hAnsiTheme="minorHAnsi" w:cstheme="minorHAnsi"/>
              </w:rPr>
              <w:fldChar w:fldCharType="separate"/>
            </w:r>
            <w:r w:rsidRPr="005B4E8C">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سلطة 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50897BEC" w14:textId="77777777" w:rsidTr="008F1B58">
        <w:trPr>
          <w:trHeight w:val="357"/>
        </w:trPr>
        <w:tc>
          <w:tcPr>
            <w:tcW w:w="3422" w:type="dxa"/>
            <w:vMerge w:val="restart"/>
            <w:shd w:val="clear" w:color="auto" w:fill="auto"/>
            <w:vAlign w:val="center"/>
          </w:tcPr>
          <w:p w14:paraId="4F920D36" w14:textId="139E6785" w:rsidR="00161754" w:rsidRPr="008F1B58" w:rsidRDefault="00161754" w:rsidP="00296AAB">
            <w:pPr>
              <w:keepNext/>
              <w:jc w:val="center"/>
              <w:rPr>
                <w:b/>
                <w:bCs/>
                <w:spacing w:val="-6"/>
              </w:rPr>
            </w:pPr>
            <w:r w:rsidRPr="008F1B58">
              <w:rPr>
                <w:b/>
                <w:bCs/>
                <w:spacing w:val="-6"/>
                <w:rtl/>
              </w:rPr>
              <w:lastRenderedPageBreak/>
              <w:t>مشروع التوصية</w:t>
            </w:r>
            <w:r w:rsidR="00814625" w:rsidRPr="008F1B58">
              <w:rPr>
                <w:b/>
                <w:bCs/>
                <w:spacing w:val="-6"/>
                <w:rtl/>
              </w:rPr>
              <w:br/>
            </w:r>
            <w:r w:rsidRPr="008F1B58">
              <w:rPr>
                <w:b/>
                <w:bCs/>
                <w:spacing w:val="-6"/>
                <w:rtl/>
              </w:rPr>
              <w:t xml:space="preserve">الجديدة </w:t>
            </w:r>
            <w:r w:rsidR="00747ED2" w:rsidRPr="0051118A">
              <w:rPr>
                <w:b/>
                <w:bCs/>
                <w:rtl/>
              </w:rPr>
              <w:t>ITU-T</w:t>
            </w:r>
            <w:r w:rsidR="00747ED2" w:rsidRPr="008F1B58">
              <w:rPr>
                <w:b/>
                <w:bCs/>
                <w:spacing w:val="-6"/>
                <w:rtl/>
              </w:rPr>
              <w:t xml:space="preserve"> </w:t>
            </w:r>
            <w:r w:rsidRPr="008F1B58">
              <w:rPr>
                <w:b/>
                <w:bCs/>
                <w:spacing w:val="-6"/>
                <w:rtl/>
              </w:rPr>
              <w:t xml:space="preserve">X.1128 </w:t>
            </w:r>
            <w:r w:rsidR="00747ED2">
              <w:rPr>
                <w:b/>
                <w:bCs/>
                <w:spacing w:val="-6"/>
                <w:rtl/>
              </w:rPr>
              <w:br/>
            </w:r>
            <w:r w:rsidR="00814625" w:rsidRPr="008F1B58">
              <w:rPr>
                <w:rFonts w:hint="cs"/>
                <w:b/>
                <w:bCs/>
                <w:spacing w:val="-6"/>
                <w:rtl/>
              </w:rPr>
              <w:t>(</w:t>
            </w:r>
            <w:r w:rsidR="00814625" w:rsidRPr="008F1B58">
              <w:rPr>
                <w:b/>
                <w:bCs/>
                <w:spacing w:val="-6"/>
                <w:lang w:val="en-GB"/>
              </w:rPr>
              <w:t>X.mt-feature</w:t>
            </w:r>
            <w:r w:rsidR="00814625" w:rsidRPr="008F1B58">
              <w:rPr>
                <w:rFonts w:hint="cs"/>
                <w:b/>
                <w:bCs/>
                <w:spacing w:val="-6"/>
                <w:rtl/>
                <w:lang w:val="en-GB" w:bidi="ar-EG"/>
              </w:rPr>
              <w:t xml:space="preserve"> </w:t>
            </w:r>
            <w:r w:rsidR="00814625" w:rsidRPr="00814625">
              <w:rPr>
                <w:b/>
                <w:bCs/>
                <w:spacing w:val="-6"/>
                <w:rtl/>
                <w:lang w:val="en-GB"/>
              </w:rPr>
              <w:t>سابقا</w:t>
            </w:r>
            <w:r w:rsidR="00814625" w:rsidRPr="008F1B58">
              <w:rPr>
                <w:rFonts w:hint="cs"/>
                <w:b/>
                <w:bCs/>
                <w:spacing w:val="-6"/>
                <w:rtl/>
                <w:lang w:val="en-GB"/>
              </w:rPr>
              <w:t>ً)</w:t>
            </w:r>
          </w:p>
        </w:tc>
        <w:tc>
          <w:tcPr>
            <w:tcW w:w="6207" w:type="dxa"/>
            <w:shd w:val="clear" w:color="auto" w:fill="auto"/>
            <w:vAlign w:val="center"/>
          </w:tcPr>
          <w:p w14:paraId="3111A609" w14:textId="3AAD3F62" w:rsidR="00161754" w:rsidRPr="00161754" w:rsidRDefault="00F70EF9" w:rsidP="00296AAB">
            <w:pPr>
              <w:keepNext/>
              <w:ind w:left="461" w:hanging="461"/>
            </w:pPr>
            <w:r w:rsidRPr="005B4E8C">
              <w:rPr>
                <w:rFonts w:asciiTheme="minorHAnsi" w:hAnsiTheme="minorHAnsi" w:cstheme="minorHAnsi"/>
              </w:rPr>
              <w:fldChar w:fldCharType="begin">
                <w:ffData>
                  <w:name w:val="Check1"/>
                  <w:enabled/>
                  <w:calcOnExit w:val="0"/>
                  <w:checkBox>
                    <w:sizeAuto/>
                    <w:default w:val="0"/>
                  </w:checkBox>
                </w:ffData>
              </w:fldChar>
            </w:r>
            <w:r w:rsidRPr="005B4E8C">
              <w:rPr>
                <w:rFonts w:asciiTheme="minorHAnsi" w:hAnsiTheme="minorHAnsi" w:cstheme="minorHAnsi"/>
              </w:rPr>
              <w:instrText xml:space="preserve"> FORMCHECKBOX </w:instrText>
            </w:r>
            <w:r w:rsidRPr="005B4E8C">
              <w:rPr>
                <w:rFonts w:asciiTheme="minorHAnsi" w:hAnsiTheme="minorHAnsi" w:cstheme="minorHAnsi"/>
              </w:rPr>
            </w:r>
            <w:r w:rsidRPr="005B4E8C">
              <w:rPr>
                <w:rFonts w:asciiTheme="minorHAnsi" w:hAnsiTheme="minorHAnsi" w:cstheme="minorHAnsi"/>
              </w:rPr>
              <w:fldChar w:fldCharType="separate"/>
            </w:r>
            <w:r w:rsidRPr="005B4E8C">
              <w:rPr>
                <w:rFonts w:asciiTheme="minorHAnsi" w:hAnsiTheme="minorHAnsi" w:cstheme="minorHAnsi"/>
              </w:rPr>
              <w:fldChar w:fldCharType="end"/>
            </w:r>
            <w:r w:rsidR="00161754" w:rsidRPr="00161754">
              <w:rPr>
                <w:rtl/>
              </w:rPr>
              <w:tab/>
            </w:r>
            <w:r w:rsidR="00161754" w:rsidRPr="004A32E1">
              <w:rPr>
                <w:b/>
                <w:bCs/>
                <w:rtl/>
              </w:rPr>
              <w:t>تفوض</w:t>
            </w:r>
            <w:r w:rsidR="00161754"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بغرض الموافقة عليه (وفي هذه الحالة، تحديد أحد الخيارين</w:t>
            </w:r>
            <w:r w:rsidR="00BF6192">
              <w:rPr>
                <w:rFonts w:hint="cs"/>
                <w:rtl/>
              </w:rPr>
              <w:t xml:space="preserve"> </w:t>
            </w:r>
            <w:r w:rsidR="00BF6192" w:rsidRPr="008C3608">
              <w:rPr>
                <w:rFonts w:asciiTheme="minorHAnsi" w:hAnsiTheme="minorHAnsi" w:cstheme="minorHAnsi"/>
                <w:sz w:val="20"/>
              </w:rPr>
              <w:t>⃝</w:t>
            </w:r>
            <w:r w:rsidR="00161754" w:rsidRPr="00161754">
              <w:rPr>
                <w:rtl/>
              </w:rPr>
              <w:t>)</w:t>
            </w:r>
          </w:p>
          <w:p w14:paraId="0D1B83CF" w14:textId="2162DA0E" w:rsidR="00161754" w:rsidRPr="00161754" w:rsidRDefault="00FC2C04" w:rsidP="00296AAB">
            <w:pPr>
              <w:keepNext/>
              <w:ind w:left="941" w:hanging="459"/>
            </w:pPr>
            <w:r w:rsidRPr="00FC2C04">
              <w:rPr>
                <w:rFonts w:asciiTheme="minorHAnsi" w:hAnsiTheme="minorHAnsi" w:cstheme="minorHAnsi"/>
                <w:sz w:val="20"/>
              </w:rPr>
              <w:t>⃝</w:t>
            </w:r>
            <w:r w:rsidRPr="00161754">
              <w:rPr>
                <w:rtl/>
              </w:rPr>
              <w:tab/>
            </w:r>
            <w:r w:rsidR="00161754" w:rsidRPr="00161754">
              <w:rPr>
                <w:rtl/>
              </w:rPr>
              <w:t>لا توجد تعليقات أو تغييرات مقترحة</w:t>
            </w:r>
          </w:p>
          <w:p w14:paraId="739C5C2F" w14:textId="541A9B4E" w:rsidR="00161754" w:rsidRPr="00161754" w:rsidRDefault="00FC2C04" w:rsidP="00296AAB">
            <w:pPr>
              <w:keepNext/>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161754" w:rsidRPr="00161754">
              <w:rPr>
                <w:rtl/>
              </w:rPr>
              <w:t>التعليقات والتغييرات المقترحة مرفَقة</w:t>
            </w:r>
          </w:p>
        </w:tc>
      </w:tr>
      <w:tr w:rsidR="008F1B58" w:rsidRPr="00161754" w14:paraId="2C52DE73" w14:textId="77777777" w:rsidTr="008F1B58">
        <w:trPr>
          <w:trHeight w:val="380"/>
        </w:trPr>
        <w:tc>
          <w:tcPr>
            <w:tcW w:w="3422" w:type="dxa"/>
            <w:vMerge/>
            <w:shd w:val="clear" w:color="auto" w:fill="auto"/>
            <w:vAlign w:val="center"/>
          </w:tcPr>
          <w:p w14:paraId="4563E886" w14:textId="77777777" w:rsidR="00161754" w:rsidRPr="008F1B58" w:rsidRDefault="00161754" w:rsidP="0051118A">
            <w:pPr>
              <w:jc w:val="center"/>
              <w:rPr>
                <w:b/>
                <w:bCs/>
                <w:spacing w:val="-6"/>
                <w:lang w:val="en-GB"/>
              </w:rPr>
            </w:pPr>
          </w:p>
        </w:tc>
        <w:tc>
          <w:tcPr>
            <w:tcW w:w="6207" w:type="dxa"/>
            <w:shd w:val="clear" w:color="auto" w:fill="auto"/>
            <w:vAlign w:val="center"/>
          </w:tcPr>
          <w:p w14:paraId="24DC23B7" w14:textId="0462C3B6" w:rsidR="00161754" w:rsidRPr="00161754" w:rsidRDefault="00F70EF9"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56D320C0" w14:textId="77777777" w:rsidTr="008F1B58">
        <w:trPr>
          <w:trHeight w:val="368"/>
        </w:trPr>
        <w:tc>
          <w:tcPr>
            <w:tcW w:w="3422" w:type="dxa"/>
            <w:vMerge w:val="restart"/>
            <w:shd w:val="clear" w:color="auto" w:fill="auto"/>
            <w:vAlign w:val="center"/>
          </w:tcPr>
          <w:p w14:paraId="022CB9BF" w14:textId="2B624747" w:rsidR="00161754" w:rsidRPr="008F1B58" w:rsidRDefault="00EE3028" w:rsidP="00EE3028">
            <w:pPr>
              <w:jc w:val="center"/>
              <w:rPr>
                <w:b/>
                <w:bCs/>
                <w:spacing w:val="-6"/>
              </w:rPr>
            </w:pPr>
            <w:r w:rsidRPr="008F1B58">
              <w:rPr>
                <w:b/>
                <w:bCs/>
                <w:spacing w:val="-6"/>
                <w:rtl/>
              </w:rPr>
              <w:t>مشروع التوصية</w:t>
            </w:r>
            <w:r w:rsidRPr="008F1B58">
              <w:rPr>
                <w:b/>
                <w:bCs/>
                <w:spacing w:val="-6"/>
                <w:rtl/>
              </w:rPr>
              <w:br/>
              <w:t xml:space="preserve">الجديدة </w:t>
            </w:r>
            <w:r w:rsidRPr="008F1B58">
              <w:rPr>
                <w:b/>
                <w:bCs/>
                <w:spacing w:val="-6"/>
                <w:lang w:val="en-GB"/>
              </w:rPr>
              <w:t>X.1129</w:t>
            </w:r>
            <w:r w:rsidRPr="008F1B58">
              <w:rPr>
                <w:b/>
                <w:bCs/>
                <w:spacing w:val="-6"/>
                <w:rtl/>
              </w:rPr>
              <w:t xml:space="preserve"> </w:t>
            </w:r>
            <w:r w:rsidR="00747ED2" w:rsidRPr="0051118A">
              <w:rPr>
                <w:b/>
                <w:bCs/>
                <w:rtl/>
              </w:rPr>
              <w:t>ITU-T</w:t>
            </w:r>
            <w:r w:rsidR="00747ED2" w:rsidRPr="008F1B58">
              <w:rPr>
                <w:rFonts w:hint="cs"/>
                <w:b/>
                <w:bCs/>
                <w:spacing w:val="-6"/>
                <w:rtl/>
              </w:rPr>
              <w:t xml:space="preserve"> </w:t>
            </w:r>
            <w:r w:rsidR="00747ED2">
              <w:rPr>
                <w:b/>
                <w:bCs/>
                <w:spacing w:val="-6"/>
                <w:rtl/>
              </w:rPr>
              <w:br/>
            </w:r>
            <w:r w:rsidRPr="008F1B58">
              <w:rPr>
                <w:rFonts w:hint="cs"/>
                <w:b/>
                <w:bCs/>
                <w:spacing w:val="-6"/>
                <w:rtl/>
              </w:rPr>
              <w:t>(</w:t>
            </w:r>
            <w:r w:rsidRPr="008F1B58">
              <w:rPr>
                <w:b/>
                <w:bCs/>
                <w:spacing w:val="-6"/>
                <w:lang w:val="en-GB"/>
              </w:rPr>
              <w:t>X.mt-integrity</w:t>
            </w:r>
            <w:r w:rsidRPr="008F1B58">
              <w:rPr>
                <w:rFonts w:hint="cs"/>
                <w:b/>
                <w:bCs/>
                <w:spacing w:val="-6"/>
                <w:rtl/>
                <w:lang w:val="en-GB" w:bidi="ar-EG"/>
              </w:rPr>
              <w:t xml:space="preserve"> </w:t>
            </w:r>
            <w:r w:rsidR="00814625" w:rsidRPr="00814625">
              <w:rPr>
                <w:b/>
                <w:bCs/>
                <w:spacing w:val="-6"/>
                <w:rtl/>
                <w:lang w:val="en-GB"/>
              </w:rPr>
              <w:t>سابقا</w:t>
            </w:r>
            <w:r w:rsidRPr="008F1B58">
              <w:rPr>
                <w:rFonts w:hint="cs"/>
                <w:b/>
                <w:bCs/>
                <w:spacing w:val="-6"/>
                <w:rtl/>
                <w:lang w:val="en-GB"/>
              </w:rPr>
              <w:t>ً)</w:t>
            </w:r>
          </w:p>
        </w:tc>
        <w:tc>
          <w:tcPr>
            <w:tcW w:w="6207" w:type="dxa"/>
            <w:shd w:val="clear" w:color="auto" w:fill="auto"/>
            <w:vAlign w:val="center"/>
          </w:tcPr>
          <w:p w14:paraId="08DE914F" w14:textId="3EEAB6DC"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تفوض</w:t>
            </w:r>
            <w:r w:rsidR="00161754"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بغرض الموافقة عليه (وفي هذه الحالة، تحديد أحد الخيارين</w:t>
            </w:r>
            <w:r w:rsidR="00937B0E">
              <w:rPr>
                <w:rFonts w:hint="cs"/>
                <w:rtl/>
              </w:rPr>
              <w:t xml:space="preserve"> </w:t>
            </w:r>
            <w:r w:rsidR="00937B0E" w:rsidRPr="008C3608">
              <w:rPr>
                <w:rFonts w:asciiTheme="minorHAnsi" w:hAnsiTheme="minorHAnsi" w:cstheme="minorHAnsi"/>
                <w:sz w:val="20"/>
              </w:rPr>
              <w:t>⃝</w:t>
            </w:r>
            <w:r w:rsidR="00161754" w:rsidRPr="00161754">
              <w:rPr>
                <w:rtl/>
              </w:rPr>
              <w:t>)</w:t>
            </w:r>
          </w:p>
          <w:p w14:paraId="5D792AAA" w14:textId="1FD416F5" w:rsidR="00161754" w:rsidRPr="00161754" w:rsidRDefault="00FC2C04" w:rsidP="00CE5732">
            <w:pPr>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161754" w:rsidRPr="00161754">
              <w:rPr>
                <w:rtl/>
              </w:rPr>
              <w:t>لا توجد تعليقات أو تغييرات مقترحة</w:t>
            </w:r>
          </w:p>
          <w:p w14:paraId="0C66979D" w14:textId="702432E2" w:rsidR="00161754" w:rsidRPr="00161754" w:rsidRDefault="00A62FF7"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161754" w:rsidRPr="00161754">
              <w:rPr>
                <w:rtl/>
              </w:rPr>
              <w:t>التعليقات والتغييرات المقترحة مرفَقة</w:t>
            </w:r>
          </w:p>
        </w:tc>
      </w:tr>
      <w:tr w:rsidR="008F1B58" w:rsidRPr="00161754" w14:paraId="3ECAFDA6" w14:textId="77777777" w:rsidTr="008F1B58">
        <w:trPr>
          <w:trHeight w:val="380"/>
        </w:trPr>
        <w:tc>
          <w:tcPr>
            <w:tcW w:w="3422" w:type="dxa"/>
            <w:vMerge/>
            <w:shd w:val="clear" w:color="auto" w:fill="auto"/>
            <w:vAlign w:val="center"/>
          </w:tcPr>
          <w:p w14:paraId="7C9C40DC" w14:textId="77777777" w:rsidR="00161754" w:rsidRPr="0051118A" w:rsidRDefault="00161754" w:rsidP="0051118A">
            <w:pPr>
              <w:jc w:val="center"/>
              <w:rPr>
                <w:b/>
                <w:bCs/>
                <w:lang w:val="en-GB"/>
              </w:rPr>
            </w:pPr>
          </w:p>
        </w:tc>
        <w:tc>
          <w:tcPr>
            <w:tcW w:w="6207" w:type="dxa"/>
            <w:shd w:val="clear" w:color="auto" w:fill="auto"/>
            <w:vAlign w:val="center"/>
          </w:tcPr>
          <w:p w14:paraId="11713355" w14:textId="3E2038AC"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0951BC65" w14:textId="77777777" w:rsidTr="008F1B58">
        <w:trPr>
          <w:trHeight w:val="380"/>
        </w:trPr>
        <w:tc>
          <w:tcPr>
            <w:tcW w:w="3422" w:type="dxa"/>
            <w:vMerge w:val="restart"/>
            <w:shd w:val="clear" w:color="auto" w:fill="auto"/>
            <w:vAlign w:val="center"/>
          </w:tcPr>
          <w:p w14:paraId="0C71A4DF" w14:textId="522C2D29" w:rsidR="00161754" w:rsidRPr="0051118A" w:rsidRDefault="00EE3028" w:rsidP="00EE3028">
            <w:pPr>
              <w:jc w:val="center"/>
              <w:rPr>
                <w:b/>
                <w:bCs/>
              </w:rPr>
            </w:pPr>
            <w:r w:rsidRPr="00EE3028">
              <w:rPr>
                <w:b/>
                <w:bCs/>
                <w:rtl/>
              </w:rPr>
              <w:t>مشروع التوصية</w:t>
            </w:r>
            <w:r w:rsidRPr="00EE3028">
              <w:rPr>
                <w:b/>
                <w:bCs/>
                <w:rtl/>
              </w:rPr>
              <w:br/>
              <w:t xml:space="preserve">الجديدة </w:t>
            </w:r>
            <w:r w:rsidRPr="00EE3028">
              <w:rPr>
                <w:b/>
                <w:bCs/>
                <w:lang w:val="en-GB"/>
              </w:rPr>
              <w:t>X.11</w:t>
            </w:r>
            <w:r>
              <w:rPr>
                <w:b/>
                <w:bCs/>
                <w:lang w:val="en-GB"/>
              </w:rPr>
              <w:t>30</w:t>
            </w:r>
            <w:r w:rsidRPr="00EE3028">
              <w:rPr>
                <w:b/>
                <w:bCs/>
                <w:rtl/>
              </w:rPr>
              <w:t xml:space="preserve"> </w:t>
            </w:r>
            <w:r w:rsidR="00747ED2" w:rsidRPr="0051118A">
              <w:rPr>
                <w:b/>
                <w:bCs/>
                <w:rtl/>
              </w:rPr>
              <w:t>ITU-T</w:t>
            </w:r>
            <w:r w:rsidR="00747ED2" w:rsidRPr="00EE3028">
              <w:rPr>
                <w:rFonts w:hint="cs"/>
                <w:b/>
                <w:bCs/>
                <w:rtl/>
              </w:rPr>
              <w:t xml:space="preserve"> </w:t>
            </w:r>
            <w:r w:rsidR="00747ED2">
              <w:rPr>
                <w:b/>
                <w:bCs/>
                <w:rtl/>
              </w:rPr>
              <w:br/>
            </w:r>
            <w:r w:rsidRPr="00EE3028">
              <w:rPr>
                <w:rFonts w:hint="cs"/>
                <w:b/>
                <w:bCs/>
                <w:rtl/>
              </w:rPr>
              <w:t>(</w:t>
            </w:r>
            <w:r w:rsidRPr="00EE3028">
              <w:rPr>
                <w:b/>
                <w:bCs/>
                <w:lang w:val="en-GB"/>
              </w:rPr>
              <w:t>X.tg-</w:t>
            </w:r>
            <w:proofErr w:type="spellStart"/>
            <w:r w:rsidRPr="00EE3028">
              <w:rPr>
                <w:b/>
                <w:bCs/>
                <w:lang w:val="en-GB"/>
              </w:rPr>
              <w:t>fdma</w:t>
            </w:r>
            <w:proofErr w:type="spellEnd"/>
            <w:r w:rsidRPr="00EE3028">
              <w:rPr>
                <w:rFonts w:hint="cs"/>
                <w:b/>
                <w:bCs/>
                <w:rtl/>
                <w:lang w:bidi="ar-EG"/>
              </w:rPr>
              <w:t xml:space="preserve"> </w:t>
            </w:r>
            <w:r w:rsidR="00814625" w:rsidRPr="00814625">
              <w:rPr>
                <w:b/>
                <w:bCs/>
                <w:rtl/>
              </w:rPr>
              <w:t>سابقا</w:t>
            </w:r>
            <w:r w:rsidRPr="00EE3028">
              <w:rPr>
                <w:rFonts w:hint="cs"/>
                <w:b/>
                <w:bCs/>
                <w:rtl/>
              </w:rPr>
              <w:t>ً)</w:t>
            </w:r>
          </w:p>
        </w:tc>
        <w:tc>
          <w:tcPr>
            <w:tcW w:w="6207" w:type="dxa"/>
            <w:shd w:val="clear" w:color="auto" w:fill="auto"/>
            <w:vAlign w:val="center"/>
          </w:tcPr>
          <w:p w14:paraId="7ECEB123" w14:textId="09EA77D5"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تفوض</w:t>
            </w:r>
            <w:r w:rsidR="00161754"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بغرض الموافقة عليه (وفي هذه الحالة، تحديد أحد الخيارين</w:t>
            </w:r>
            <w:r w:rsidR="00A62FF7">
              <w:rPr>
                <w:rFonts w:hint="cs"/>
                <w:rtl/>
              </w:rPr>
              <w:t xml:space="preserve"> </w:t>
            </w:r>
            <w:r w:rsidR="00A62FF7" w:rsidRPr="008C3608">
              <w:rPr>
                <w:rFonts w:asciiTheme="minorHAnsi" w:hAnsiTheme="minorHAnsi" w:cstheme="minorHAnsi"/>
                <w:sz w:val="20"/>
              </w:rPr>
              <w:t>⃝</w:t>
            </w:r>
            <w:r w:rsidR="00161754" w:rsidRPr="00161754">
              <w:rPr>
                <w:rtl/>
              </w:rPr>
              <w:t>)</w:t>
            </w:r>
          </w:p>
          <w:p w14:paraId="5A6E7969" w14:textId="54B31A74" w:rsidR="00161754" w:rsidRPr="00161754" w:rsidRDefault="00FC2C04" w:rsidP="00CE5732">
            <w:pPr>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161754" w:rsidRPr="00161754">
              <w:rPr>
                <w:rtl/>
              </w:rPr>
              <w:t>لا توجد تعليقات أو تغييرات مقترحة</w:t>
            </w:r>
          </w:p>
          <w:p w14:paraId="5B3487FC" w14:textId="4B736740" w:rsidR="00161754" w:rsidRPr="00161754" w:rsidRDefault="00936410"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161754" w:rsidRPr="00161754">
              <w:rPr>
                <w:rtl/>
              </w:rPr>
              <w:t>التعليقات والتغييرات المقترحة مرفَقة</w:t>
            </w:r>
          </w:p>
        </w:tc>
      </w:tr>
      <w:tr w:rsidR="008F1B58" w:rsidRPr="00161754" w14:paraId="2E8383AC" w14:textId="77777777" w:rsidTr="008F1B58">
        <w:trPr>
          <w:trHeight w:val="380"/>
        </w:trPr>
        <w:tc>
          <w:tcPr>
            <w:tcW w:w="3422" w:type="dxa"/>
            <w:vMerge/>
            <w:shd w:val="clear" w:color="auto" w:fill="auto"/>
            <w:vAlign w:val="center"/>
          </w:tcPr>
          <w:p w14:paraId="1FB52D1C" w14:textId="77777777" w:rsidR="00161754" w:rsidRPr="0051118A" w:rsidRDefault="00161754" w:rsidP="0051118A">
            <w:pPr>
              <w:jc w:val="center"/>
              <w:rPr>
                <w:b/>
                <w:bCs/>
                <w:lang w:val="en-GB"/>
              </w:rPr>
            </w:pPr>
          </w:p>
        </w:tc>
        <w:tc>
          <w:tcPr>
            <w:tcW w:w="6207" w:type="dxa"/>
            <w:shd w:val="clear" w:color="auto" w:fill="auto"/>
            <w:vAlign w:val="center"/>
          </w:tcPr>
          <w:p w14:paraId="04904A6A" w14:textId="454AFDEC"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20C7DEB5" w14:textId="77777777" w:rsidTr="008F1B58">
        <w:trPr>
          <w:trHeight w:val="380"/>
        </w:trPr>
        <w:tc>
          <w:tcPr>
            <w:tcW w:w="3422" w:type="dxa"/>
            <w:vMerge w:val="restart"/>
            <w:shd w:val="clear" w:color="auto" w:fill="auto"/>
            <w:vAlign w:val="center"/>
          </w:tcPr>
          <w:p w14:paraId="065F3C0C" w14:textId="1C6E791B" w:rsidR="000E7BFE" w:rsidRPr="0051118A" w:rsidRDefault="00EE3028" w:rsidP="000E7BFE">
            <w:pPr>
              <w:jc w:val="center"/>
              <w:rPr>
                <w:b/>
                <w:bCs/>
              </w:rPr>
            </w:pPr>
            <w:r w:rsidRPr="00EE3028">
              <w:rPr>
                <w:b/>
                <w:bCs/>
                <w:rtl/>
              </w:rPr>
              <w:t>مشروع التوصية</w:t>
            </w:r>
            <w:r w:rsidR="000E7BFE" w:rsidRPr="00EE3028">
              <w:rPr>
                <w:b/>
                <w:bCs/>
                <w:rtl/>
              </w:rPr>
              <w:br/>
            </w:r>
            <w:r w:rsidRPr="00EE3028">
              <w:rPr>
                <w:b/>
                <w:bCs/>
                <w:rtl/>
              </w:rPr>
              <w:t xml:space="preserve">الجديدة </w:t>
            </w:r>
            <w:r w:rsidR="000E7BFE" w:rsidRPr="00EE3028">
              <w:rPr>
                <w:b/>
                <w:bCs/>
                <w:lang w:val="en-GB"/>
              </w:rPr>
              <w:t>X.1</w:t>
            </w:r>
            <w:r w:rsidR="000E7BFE">
              <w:rPr>
                <w:b/>
                <w:bCs/>
                <w:lang w:val="en-GB"/>
              </w:rPr>
              <w:t>475</w:t>
            </w:r>
            <w:r w:rsidRPr="00EE3028">
              <w:rPr>
                <w:b/>
                <w:bCs/>
                <w:rtl/>
              </w:rPr>
              <w:t xml:space="preserve"> </w:t>
            </w:r>
            <w:r w:rsidR="00747ED2" w:rsidRPr="0051118A">
              <w:rPr>
                <w:b/>
                <w:bCs/>
                <w:rtl/>
              </w:rPr>
              <w:t>ITU-T</w:t>
            </w:r>
            <w:r w:rsidR="00747ED2" w:rsidRPr="00EE3028">
              <w:rPr>
                <w:rFonts w:hint="cs"/>
                <w:b/>
                <w:bCs/>
                <w:rtl/>
              </w:rPr>
              <w:t xml:space="preserve"> </w:t>
            </w:r>
            <w:r w:rsidR="00747ED2">
              <w:rPr>
                <w:b/>
                <w:bCs/>
                <w:rtl/>
              </w:rPr>
              <w:br/>
            </w:r>
            <w:r w:rsidR="000E7BFE" w:rsidRPr="00EE3028">
              <w:rPr>
                <w:rFonts w:hint="cs"/>
                <w:b/>
                <w:bCs/>
                <w:rtl/>
              </w:rPr>
              <w:t>(</w:t>
            </w:r>
            <w:proofErr w:type="spellStart"/>
            <w:r w:rsidR="000E7BFE" w:rsidRPr="000E7BFE">
              <w:rPr>
                <w:b/>
                <w:bCs/>
                <w:lang w:val="en-GB"/>
              </w:rPr>
              <w:t>X.str-irs</w:t>
            </w:r>
            <w:proofErr w:type="spellEnd"/>
            <w:r w:rsidR="000E7BFE" w:rsidRPr="00EE3028">
              <w:rPr>
                <w:rFonts w:hint="cs"/>
                <w:b/>
                <w:bCs/>
                <w:rtl/>
                <w:lang w:bidi="ar-EG"/>
              </w:rPr>
              <w:t xml:space="preserve"> </w:t>
            </w:r>
            <w:r w:rsidR="00814625" w:rsidRPr="00814625">
              <w:rPr>
                <w:b/>
                <w:bCs/>
                <w:rtl/>
              </w:rPr>
              <w:t>سابقا</w:t>
            </w:r>
            <w:r w:rsidR="000E7BFE" w:rsidRPr="00EE3028">
              <w:rPr>
                <w:rFonts w:hint="cs"/>
                <w:b/>
                <w:bCs/>
                <w:rtl/>
              </w:rPr>
              <w:t>ً)</w:t>
            </w:r>
          </w:p>
        </w:tc>
        <w:tc>
          <w:tcPr>
            <w:tcW w:w="6207" w:type="dxa"/>
            <w:shd w:val="clear" w:color="auto" w:fill="auto"/>
            <w:vAlign w:val="center"/>
          </w:tcPr>
          <w:p w14:paraId="0E8F54AE" w14:textId="29D6E2F6" w:rsidR="000E7BFE" w:rsidRPr="00161754" w:rsidRDefault="000E7BFE"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Pr="00161754">
              <w:rPr>
                <w:rtl/>
              </w:rPr>
              <w:tab/>
            </w:r>
            <w:r w:rsidRPr="004A32E1">
              <w:rPr>
                <w:b/>
                <w:bCs/>
                <w:rtl/>
              </w:rPr>
              <w:t>تفوض</w:t>
            </w:r>
            <w:r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Pr="00161754">
              <w:rPr>
                <w:rtl/>
              </w:rPr>
              <w:t>في هذا النص بغرض الموافقة عليه (وفي هذه الحالة، تحديد أحد الخيارين</w:t>
            </w:r>
            <w:r w:rsidR="00A62FF7">
              <w:rPr>
                <w:rFonts w:hint="cs"/>
                <w:rtl/>
              </w:rPr>
              <w:t xml:space="preserve"> </w:t>
            </w:r>
            <w:r w:rsidR="00A62FF7" w:rsidRPr="008C3608">
              <w:rPr>
                <w:rFonts w:asciiTheme="minorHAnsi" w:hAnsiTheme="minorHAnsi" w:cstheme="minorHAnsi"/>
                <w:sz w:val="20"/>
              </w:rPr>
              <w:t>⃝</w:t>
            </w:r>
            <w:r w:rsidRPr="00161754">
              <w:rPr>
                <w:rtl/>
              </w:rPr>
              <w:t>)</w:t>
            </w:r>
          </w:p>
          <w:p w14:paraId="2BB05328" w14:textId="0E1CA9FC" w:rsidR="000E7BFE" w:rsidRPr="00161754" w:rsidRDefault="00FC2C04" w:rsidP="00CE5732">
            <w:pPr>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0E7BFE" w:rsidRPr="00161754">
              <w:rPr>
                <w:rtl/>
              </w:rPr>
              <w:t>لا توجد تعليقات أو تغييرات مقترحة</w:t>
            </w:r>
          </w:p>
          <w:p w14:paraId="2672E4FF" w14:textId="0FACFB27" w:rsidR="000E7BFE" w:rsidRPr="00161754" w:rsidRDefault="00936410"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0E7BFE" w:rsidRPr="00161754">
              <w:rPr>
                <w:rtl/>
              </w:rPr>
              <w:t>التعليقات والتغييرات المقترحة مرفَقة</w:t>
            </w:r>
          </w:p>
        </w:tc>
      </w:tr>
      <w:tr w:rsidR="008F1B58" w:rsidRPr="00161754" w14:paraId="2F2DE25F" w14:textId="77777777" w:rsidTr="008F1B58">
        <w:trPr>
          <w:trHeight w:val="357"/>
        </w:trPr>
        <w:tc>
          <w:tcPr>
            <w:tcW w:w="3422" w:type="dxa"/>
            <w:vMerge/>
            <w:shd w:val="clear" w:color="auto" w:fill="auto"/>
            <w:vAlign w:val="center"/>
          </w:tcPr>
          <w:p w14:paraId="2EB797F4" w14:textId="77777777" w:rsidR="00161754" w:rsidRPr="0051118A" w:rsidRDefault="00161754" w:rsidP="0051118A">
            <w:pPr>
              <w:jc w:val="center"/>
              <w:rPr>
                <w:b/>
                <w:bCs/>
                <w:lang w:val="en-GB"/>
              </w:rPr>
            </w:pPr>
          </w:p>
        </w:tc>
        <w:tc>
          <w:tcPr>
            <w:tcW w:w="6207" w:type="dxa"/>
            <w:shd w:val="clear" w:color="auto" w:fill="auto"/>
            <w:vAlign w:val="center"/>
          </w:tcPr>
          <w:p w14:paraId="544D2915" w14:textId="76A0F54C"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1501551B" w14:textId="77777777" w:rsidTr="008F1B58">
        <w:trPr>
          <w:trHeight w:val="380"/>
        </w:trPr>
        <w:tc>
          <w:tcPr>
            <w:tcW w:w="3422" w:type="dxa"/>
            <w:vMerge w:val="restart"/>
            <w:shd w:val="clear" w:color="auto" w:fill="auto"/>
            <w:vAlign w:val="center"/>
          </w:tcPr>
          <w:p w14:paraId="0E5224E4" w14:textId="1DC08631" w:rsidR="006F0212" w:rsidRPr="0051118A" w:rsidRDefault="00EE3028" w:rsidP="006F0212">
            <w:pPr>
              <w:jc w:val="center"/>
              <w:rPr>
                <w:b/>
                <w:bCs/>
              </w:rPr>
            </w:pPr>
            <w:r w:rsidRPr="00EE3028">
              <w:rPr>
                <w:b/>
                <w:bCs/>
                <w:rtl/>
              </w:rPr>
              <w:t>مشروع التوصية</w:t>
            </w:r>
            <w:r w:rsidR="006F0212" w:rsidRPr="00EE3028">
              <w:rPr>
                <w:b/>
                <w:bCs/>
                <w:rtl/>
              </w:rPr>
              <w:br/>
            </w:r>
            <w:r w:rsidRPr="00EE3028">
              <w:rPr>
                <w:b/>
                <w:bCs/>
                <w:rtl/>
              </w:rPr>
              <w:t xml:space="preserve">الجديدة </w:t>
            </w:r>
            <w:r w:rsidR="006F0212" w:rsidRPr="00EE3028">
              <w:rPr>
                <w:b/>
                <w:bCs/>
                <w:lang w:val="en-GB"/>
              </w:rPr>
              <w:t>X.1</w:t>
            </w:r>
            <w:r w:rsidR="006F0212">
              <w:rPr>
                <w:b/>
                <w:bCs/>
                <w:lang w:val="en-GB"/>
              </w:rPr>
              <w:t>753</w:t>
            </w:r>
            <w:r w:rsidRPr="00EE3028">
              <w:rPr>
                <w:b/>
                <w:bCs/>
                <w:rtl/>
              </w:rPr>
              <w:t xml:space="preserve"> </w:t>
            </w:r>
            <w:r w:rsidR="00747ED2" w:rsidRPr="0051118A">
              <w:rPr>
                <w:b/>
                <w:bCs/>
                <w:rtl/>
              </w:rPr>
              <w:t>ITU-T</w:t>
            </w:r>
            <w:r w:rsidR="00747ED2" w:rsidRPr="00EE3028">
              <w:rPr>
                <w:rFonts w:hint="cs"/>
                <w:b/>
                <w:bCs/>
                <w:rtl/>
              </w:rPr>
              <w:t xml:space="preserve"> </w:t>
            </w:r>
            <w:r w:rsidR="00747ED2">
              <w:rPr>
                <w:b/>
                <w:bCs/>
                <w:rtl/>
              </w:rPr>
              <w:br/>
            </w:r>
            <w:r w:rsidR="006F0212" w:rsidRPr="00EE3028">
              <w:rPr>
                <w:rFonts w:hint="cs"/>
                <w:b/>
                <w:bCs/>
                <w:rtl/>
              </w:rPr>
              <w:t>(</w:t>
            </w:r>
            <w:proofErr w:type="spellStart"/>
            <w:r w:rsidR="006F0212" w:rsidRPr="006F0212">
              <w:rPr>
                <w:b/>
                <w:bCs/>
                <w:lang w:val="en-GB"/>
              </w:rPr>
              <w:t>X.gdsml</w:t>
            </w:r>
            <w:proofErr w:type="spellEnd"/>
            <w:r w:rsidR="006F0212" w:rsidRPr="00EE3028">
              <w:rPr>
                <w:rFonts w:hint="cs"/>
                <w:b/>
                <w:bCs/>
                <w:rtl/>
                <w:lang w:bidi="ar-EG"/>
              </w:rPr>
              <w:t xml:space="preserve"> </w:t>
            </w:r>
            <w:r w:rsidR="00814625" w:rsidRPr="00814625">
              <w:rPr>
                <w:b/>
                <w:bCs/>
                <w:rtl/>
              </w:rPr>
              <w:t>سابقا</w:t>
            </w:r>
            <w:r w:rsidR="006F0212" w:rsidRPr="00EE3028">
              <w:rPr>
                <w:rFonts w:hint="cs"/>
                <w:b/>
                <w:bCs/>
                <w:rtl/>
              </w:rPr>
              <w:t>ً)</w:t>
            </w:r>
          </w:p>
        </w:tc>
        <w:tc>
          <w:tcPr>
            <w:tcW w:w="6207" w:type="dxa"/>
            <w:shd w:val="clear" w:color="auto" w:fill="auto"/>
            <w:vAlign w:val="center"/>
          </w:tcPr>
          <w:p w14:paraId="005DF229" w14:textId="562C2F09" w:rsidR="006F0212" w:rsidRPr="00161754" w:rsidRDefault="006F0212"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Pr="00161754">
              <w:rPr>
                <w:rtl/>
              </w:rPr>
              <w:tab/>
            </w:r>
            <w:r w:rsidRPr="004A32E1">
              <w:rPr>
                <w:b/>
                <w:bCs/>
                <w:rtl/>
              </w:rPr>
              <w:t>تفوض</w:t>
            </w:r>
            <w:r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Pr="00161754">
              <w:rPr>
                <w:rtl/>
              </w:rPr>
              <w:t>في هذا النص بغرض الموافقة عليه (وفي هذه الحالة، تحديد أحد الخيارين</w:t>
            </w:r>
            <w:r w:rsidR="00370765">
              <w:rPr>
                <w:rFonts w:hint="cs"/>
                <w:rtl/>
              </w:rPr>
              <w:t xml:space="preserve"> </w:t>
            </w:r>
            <w:r w:rsidR="00370765" w:rsidRPr="008C3608">
              <w:rPr>
                <w:rFonts w:asciiTheme="minorHAnsi" w:hAnsiTheme="minorHAnsi" w:cstheme="minorHAnsi"/>
                <w:sz w:val="20"/>
              </w:rPr>
              <w:t>⃝</w:t>
            </w:r>
            <w:r w:rsidRPr="00161754">
              <w:rPr>
                <w:rtl/>
              </w:rPr>
              <w:t>)</w:t>
            </w:r>
          </w:p>
          <w:p w14:paraId="2F1FAC45" w14:textId="6FD55E43" w:rsidR="006F0212" w:rsidRPr="00161754" w:rsidRDefault="00DE7757"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6F0212" w:rsidRPr="00161754">
              <w:rPr>
                <w:rtl/>
              </w:rPr>
              <w:t>لا توجد تعليقات أو تغييرات مقترحة</w:t>
            </w:r>
          </w:p>
          <w:p w14:paraId="6D208E55" w14:textId="542E3EB9" w:rsidR="006F0212" w:rsidRPr="00161754" w:rsidRDefault="00DE7757"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6F0212" w:rsidRPr="00161754">
              <w:rPr>
                <w:rtl/>
              </w:rPr>
              <w:t>التعليقات والتغييرات المقترحة مرفَقة</w:t>
            </w:r>
          </w:p>
        </w:tc>
      </w:tr>
      <w:tr w:rsidR="008F1B58" w:rsidRPr="00161754" w14:paraId="74048C6A" w14:textId="77777777" w:rsidTr="008F1B58">
        <w:trPr>
          <w:trHeight w:val="380"/>
        </w:trPr>
        <w:tc>
          <w:tcPr>
            <w:tcW w:w="3422" w:type="dxa"/>
            <w:vMerge/>
            <w:shd w:val="clear" w:color="auto" w:fill="auto"/>
            <w:vAlign w:val="center"/>
          </w:tcPr>
          <w:p w14:paraId="6F2ABAF5" w14:textId="77777777" w:rsidR="00161754" w:rsidRPr="0051118A" w:rsidRDefault="00161754" w:rsidP="0051118A">
            <w:pPr>
              <w:jc w:val="center"/>
              <w:rPr>
                <w:b/>
                <w:bCs/>
                <w:lang w:val="en-GB"/>
              </w:rPr>
            </w:pPr>
          </w:p>
        </w:tc>
        <w:tc>
          <w:tcPr>
            <w:tcW w:w="6207" w:type="dxa"/>
            <w:shd w:val="clear" w:color="auto" w:fill="auto"/>
            <w:vAlign w:val="center"/>
          </w:tcPr>
          <w:p w14:paraId="55533427" w14:textId="641E071C"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5CDDE320" w14:textId="77777777" w:rsidTr="008F1B58">
        <w:trPr>
          <w:trHeight w:val="380"/>
        </w:trPr>
        <w:tc>
          <w:tcPr>
            <w:tcW w:w="3422" w:type="dxa"/>
            <w:vMerge w:val="restart"/>
            <w:shd w:val="clear" w:color="auto" w:fill="auto"/>
            <w:vAlign w:val="center"/>
          </w:tcPr>
          <w:p w14:paraId="6D8BACF3" w14:textId="117DBEA7" w:rsidR="009A3D1D" w:rsidRPr="0051118A" w:rsidRDefault="00EE3028" w:rsidP="00296AAB">
            <w:pPr>
              <w:keepNext/>
              <w:jc w:val="center"/>
              <w:rPr>
                <w:b/>
                <w:bCs/>
              </w:rPr>
            </w:pPr>
            <w:r w:rsidRPr="00EE3028">
              <w:rPr>
                <w:b/>
                <w:bCs/>
                <w:rtl/>
              </w:rPr>
              <w:lastRenderedPageBreak/>
              <w:t>مشروع التوصية</w:t>
            </w:r>
            <w:r w:rsidR="009A3D1D" w:rsidRPr="00EE3028">
              <w:rPr>
                <w:b/>
                <w:bCs/>
                <w:rtl/>
              </w:rPr>
              <w:br/>
            </w:r>
            <w:r w:rsidRPr="00EE3028">
              <w:rPr>
                <w:b/>
                <w:bCs/>
                <w:rtl/>
              </w:rPr>
              <w:t xml:space="preserve">الجديدة </w:t>
            </w:r>
            <w:r w:rsidR="009A3D1D" w:rsidRPr="00EE3028">
              <w:rPr>
                <w:b/>
                <w:bCs/>
                <w:lang w:val="en-GB"/>
              </w:rPr>
              <w:t>X.</w:t>
            </w:r>
            <w:r w:rsidR="009A3D1D">
              <w:rPr>
                <w:b/>
                <w:bCs/>
                <w:lang w:val="en-GB"/>
              </w:rPr>
              <w:t>1649</w:t>
            </w:r>
            <w:r w:rsidRPr="00EE3028">
              <w:rPr>
                <w:b/>
                <w:bCs/>
                <w:rtl/>
              </w:rPr>
              <w:t xml:space="preserve"> </w:t>
            </w:r>
            <w:r w:rsidR="00747ED2" w:rsidRPr="0051118A">
              <w:rPr>
                <w:b/>
                <w:bCs/>
                <w:rtl/>
              </w:rPr>
              <w:t>ITU-T</w:t>
            </w:r>
            <w:r w:rsidR="00747ED2" w:rsidRPr="00EE3028">
              <w:rPr>
                <w:rFonts w:hint="cs"/>
                <w:b/>
                <w:bCs/>
                <w:rtl/>
              </w:rPr>
              <w:t xml:space="preserve"> </w:t>
            </w:r>
            <w:r w:rsidR="00747ED2">
              <w:rPr>
                <w:b/>
                <w:bCs/>
                <w:rtl/>
              </w:rPr>
              <w:br/>
            </w:r>
            <w:r w:rsidR="009A3D1D" w:rsidRPr="00EE3028">
              <w:rPr>
                <w:rFonts w:hint="cs"/>
                <w:b/>
                <w:bCs/>
                <w:rtl/>
              </w:rPr>
              <w:t>(</w:t>
            </w:r>
            <w:proofErr w:type="spellStart"/>
            <w:r w:rsidR="009A3D1D" w:rsidRPr="009A3D1D">
              <w:rPr>
                <w:b/>
                <w:bCs/>
                <w:lang w:val="en-GB"/>
              </w:rPr>
              <w:t>X.sgmc</w:t>
            </w:r>
            <w:proofErr w:type="spellEnd"/>
            <w:r w:rsidR="009A3D1D" w:rsidRPr="00EE3028">
              <w:rPr>
                <w:rFonts w:hint="cs"/>
                <w:b/>
                <w:bCs/>
                <w:rtl/>
                <w:lang w:bidi="ar-EG"/>
              </w:rPr>
              <w:t xml:space="preserve"> </w:t>
            </w:r>
            <w:r w:rsidR="00814625" w:rsidRPr="00814625">
              <w:rPr>
                <w:b/>
                <w:bCs/>
                <w:rtl/>
              </w:rPr>
              <w:t>سابقا</w:t>
            </w:r>
            <w:r w:rsidR="009A3D1D" w:rsidRPr="00EE3028">
              <w:rPr>
                <w:rFonts w:hint="cs"/>
                <w:b/>
                <w:bCs/>
                <w:rtl/>
              </w:rPr>
              <w:t>ً)</w:t>
            </w:r>
          </w:p>
        </w:tc>
        <w:tc>
          <w:tcPr>
            <w:tcW w:w="6207" w:type="dxa"/>
            <w:shd w:val="clear" w:color="auto" w:fill="auto"/>
            <w:vAlign w:val="center"/>
          </w:tcPr>
          <w:p w14:paraId="2276DC97" w14:textId="78325AD8" w:rsidR="009A3D1D" w:rsidRPr="00161754" w:rsidRDefault="009A3D1D" w:rsidP="00296AAB">
            <w:pPr>
              <w:keepNext/>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Pr="00161754">
              <w:rPr>
                <w:rtl/>
              </w:rPr>
              <w:tab/>
            </w:r>
            <w:r w:rsidRPr="004A32E1">
              <w:rPr>
                <w:b/>
                <w:bCs/>
                <w:rtl/>
              </w:rPr>
              <w:t>تفوض</w:t>
            </w:r>
            <w:r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Pr="00161754">
              <w:rPr>
                <w:rtl/>
              </w:rPr>
              <w:t>في هذا النص بغرض الموافقة عليه (وفي هذه الحالة، تحديد أحد الخيارين</w:t>
            </w:r>
            <w:r w:rsidR="00845AA2">
              <w:rPr>
                <w:rFonts w:hint="cs"/>
                <w:rtl/>
              </w:rPr>
              <w:t xml:space="preserve"> </w:t>
            </w:r>
            <w:r w:rsidR="00845AA2" w:rsidRPr="008C3608">
              <w:rPr>
                <w:rFonts w:asciiTheme="minorHAnsi" w:hAnsiTheme="minorHAnsi" w:cstheme="minorHAnsi"/>
                <w:sz w:val="20"/>
              </w:rPr>
              <w:t>⃝</w:t>
            </w:r>
            <w:r w:rsidRPr="00161754">
              <w:rPr>
                <w:rtl/>
              </w:rPr>
              <w:t>)</w:t>
            </w:r>
          </w:p>
          <w:p w14:paraId="44F95F80" w14:textId="62138BEF" w:rsidR="009A3D1D" w:rsidRPr="00161754" w:rsidRDefault="00FC2C04" w:rsidP="00296AAB">
            <w:pPr>
              <w:keepNext/>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9A3D1D" w:rsidRPr="00161754">
              <w:rPr>
                <w:rtl/>
              </w:rPr>
              <w:t>لا توجد تعليقات أو تغييرات مقترحة</w:t>
            </w:r>
          </w:p>
          <w:p w14:paraId="2DD198C1" w14:textId="7CA5ED20" w:rsidR="009A3D1D" w:rsidRPr="00161754" w:rsidRDefault="00824247" w:rsidP="00296AAB">
            <w:pPr>
              <w:keepNext/>
              <w:ind w:left="941" w:hanging="459"/>
            </w:pPr>
            <w:r w:rsidRPr="00FC2C04">
              <w:rPr>
                <w:rFonts w:asciiTheme="minorHAnsi" w:hAnsiTheme="minorHAnsi" w:cstheme="minorHAnsi"/>
                <w:sz w:val="20"/>
              </w:rPr>
              <w:t>⃝</w:t>
            </w:r>
            <w:r>
              <w:rPr>
                <w:rFonts w:asciiTheme="minorHAnsi" w:hAnsiTheme="minorHAnsi" w:cstheme="minorHAnsi"/>
                <w:sz w:val="20"/>
                <w:rtl/>
              </w:rPr>
              <w:tab/>
            </w:r>
            <w:r w:rsidR="009A3D1D" w:rsidRPr="00161754">
              <w:rPr>
                <w:rtl/>
              </w:rPr>
              <w:t>التعليقات والتغييرات المقترحة مرفَقة</w:t>
            </w:r>
          </w:p>
        </w:tc>
      </w:tr>
      <w:tr w:rsidR="008F1B58" w:rsidRPr="00161754" w14:paraId="384DA8C7" w14:textId="77777777" w:rsidTr="008F1B58">
        <w:trPr>
          <w:trHeight w:val="357"/>
        </w:trPr>
        <w:tc>
          <w:tcPr>
            <w:tcW w:w="3422" w:type="dxa"/>
            <w:vMerge/>
            <w:shd w:val="clear" w:color="auto" w:fill="auto"/>
            <w:vAlign w:val="center"/>
          </w:tcPr>
          <w:p w14:paraId="475F399C" w14:textId="77777777" w:rsidR="00161754" w:rsidRPr="0051118A" w:rsidRDefault="00161754" w:rsidP="0051118A">
            <w:pPr>
              <w:jc w:val="center"/>
              <w:rPr>
                <w:b/>
                <w:bCs/>
                <w:lang w:val="en-GB"/>
              </w:rPr>
            </w:pPr>
          </w:p>
        </w:tc>
        <w:tc>
          <w:tcPr>
            <w:tcW w:w="6207" w:type="dxa"/>
            <w:shd w:val="clear" w:color="auto" w:fill="auto"/>
            <w:vAlign w:val="center"/>
          </w:tcPr>
          <w:p w14:paraId="2B320099" w14:textId="68066E70"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67D7FF41" w14:textId="77777777" w:rsidTr="008F1B58">
        <w:trPr>
          <w:trHeight w:val="380"/>
        </w:trPr>
        <w:tc>
          <w:tcPr>
            <w:tcW w:w="3422" w:type="dxa"/>
            <w:vMerge w:val="restart"/>
            <w:shd w:val="clear" w:color="auto" w:fill="auto"/>
            <w:vAlign w:val="center"/>
          </w:tcPr>
          <w:p w14:paraId="1650A0CE" w14:textId="526FBC82" w:rsidR="00161754" w:rsidRPr="0051118A" w:rsidRDefault="00161754" w:rsidP="0051118A">
            <w:pPr>
              <w:jc w:val="center"/>
              <w:rPr>
                <w:b/>
                <w:bCs/>
              </w:rPr>
            </w:pPr>
            <w:r w:rsidRPr="0051118A">
              <w:rPr>
                <w:b/>
                <w:bCs/>
                <w:rtl/>
              </w:rPr>
              <w:t>مشروع مراجعة التوصية</w:t>
            </w:r>
            <w:r w:rsidR="00747ED2">
              <w:rPr>
                <w:rFonts w:hint="cs"/>
                <w:b/>
                <w:bCs/>
                <w:rtl/>
              </w:rPr>
              <w:t> </w:t>
            </w:r>
            <w:r w:rsidR="00747ED2">
              <w:rPr>
                <w:b/>
                <w:bCs/>
              </w:rPr>
              <w:t>ITU</w:t>
            </w:r>
            <w:r w:rsidR="00747ED2">
              <w:rPr>
                <w:b/>
                <w:bCs/>
              </w:rPr>
              <w:noBreakHyphen/>
              <w:t>T X.1250</w:t>
            </w:r>
          </w:p>
        </w:tc>
        <w:tc>
          <w:tcPr>
            <w:tcW w:w="6207" w:type="dxa"/>
            <w:shd w:val="clear" w:color="auto" w:fill="auto"/>
            <w:vAlign w:val="center"/>
          </w:tcPr>
          <w:p w14:paraId="2E35AF64" w14:textId="5B134F1E"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تفوض</w:t>
            </w:r>
            <w:r w:rsidR="00161754"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بغرض الموافقة عليه (وفي هذه الحالة، تحديد أحد الخيارين</w:t>
            </w:r>
            <w:r w:rsidR="00431CA3">
              <w:rPr>
                <w:rFonts w:hint="cs"/>
                <w:rtl/>
              </w:rPr>
              <w:t xml:space="preserve"> </w:t>
            </w:r>
            <w:r w:rsidR="00431CA3" w:rsidRPr="008C3608">
              <w:rPr>
                <w:rFonts w:asciiTheme="minorHAnsi" w:hAnsiTheme="minorHAnsi" w:cstheme="minorHAnsi"/>
                <w:sz w:val="20"/>
              </w:rPr>
              <w:t>⃝</w:t>
            </w:r>
            <w:r w:rsidR="00161754" w:rsidRPr="00161754">
              <w:rPr>
                <w:rtl/>
              </w:rPr>
              <w:t>)</w:t>
            </w:r>
          </w:p>
          <w:p w14:paraId="5C965DC7" w14:textId="67E84BCF" w:rsidR="00161754" w:rsidRPr="00161754" w:rsidRDefault="00FC2C04" w:rsidP="00CE5732">
            <w:pPr>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161754" w:rsidRPr="00161754">
              <w:rPr>
                <w:rtl/>
              </w:rPr>
              <w:t>لا توجد تعليقات أو تغييرات مقترحة</w:t>
            </w:r>
          </w:p>
          <w:p w14:paraId="0F987BF4" w14:textId="1D49C767" w:rsidR="00161754" w:rsidRPr="00161754" w:rsidRDefault="00410E85"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161754" w:rsidRPr="00161754">
              <w:rPr>
                <w:rtl/>
              </w:rPr>
              <w:t>التعليقات والتغييرات المقترحة مرفَقة</w:t>
            </w:r>
          </w:p>
        </w:tc>
      </w:tr>
      <w:tr w:rsidR="008F1B58" w:rsidRPr="00161754" w14:paraId="73592C08" w14:textId="77777777" w:rsidTr="008F1B58">
        <w:trPr>
          <w:trHeight w:val="357"/>
        </w:trPr>
        <w:tc>
          <w:tcPr>
            <w:tcW w:w="3422" w:type="dxa"/>
            <w:vMerge/>
            <w:shd w:val="clear" w:color="auto" w:fill="auto"/>
            <w:vAlign w:val="center"/>
          </w:tcPr>
          <w:p w14:paraId="6468429E" w14:textId="77777777" w:rsidR="00161754" w:rsidRPr="0051118A" w:rsidRDefault="00161754" w:rsidP="0051118A">
            <w:pPr>
              <w:jc w:val="center"/>
              <w:rPr>
                <w:b/>
                <w:bCs/>
                <w:lang w:val="en-GB"/>
              </w:rPr>
            </w:pPr>
          </w:p>
        </w:tc>
        <w:tc>
          <w:tcPr>
            <w:tcW w:w="6207" w:type="dxa"/>
            <w:shd w:val="clear" w:color="auto" w:fill="auto"/>
            <w:vAlign w:val="center"/>
          </w:tcPr>
          <w:p w14:paraId="0ED097B8" w14:textId="384A001A"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r w:rsidR="008F1B58" w:rsidRPr="00161754" w14:paraId="077FB5BF" w14:textId="77777777" w:rsidTr="008F1B58">
        <w:trPr>
          <w:trHeight w:val="357"/>
        </w:trPr>
        <w:tc>
          <w:tcPr>
            <w:tcW w:w="3422" w:type="dxa"/>
            <w:vMerge w:val="restart"/>
            <w:shd w:val="clear" w:color="auto" w:fill="auto"/>
            <w:vAlign w:val="center"/>
          </w:tcPr>
          <w:p w14:paraId="3EFB25F8" w14:textId="1D4451CF" w:rsidR="00161754" w:rsidRPr="0051118A" w:rsidRDefault="00161754" w:rsidP="0051118A">
            <w:pPr>
              <w:jc w:val="center"/>
              <w:rPr>
                <w:b/>
                <w:bCs/>
                <w:rtl/>
                <w:lang w:bidi="ar-EG"/>
              </w:rPr>
            </w:pPr>
            <w:r w:rsidRPr="0051118A">
              <w:rPr>
                <w:b/>
                <w:bCs/>
                <w:rtl/>
              </w:rPr>
              <w:t>مشروع مراجعة التوصية</w:t>
            </w:r>
            <w:r w:rsidR="00747ED2">
              <w:rPr>
                <w:rFonts w:hint="cs"/>
                <w:b/>
                <w:bCs/>
                <w:rtl/>
              </w:rPr>
              <w:t> </w:t>
            </w:r>
            <w:r w:rsidR="00747ED2">
              <w:rPr>
                <w:b/>
                <w:bCs/>
              </w:rPr>
              <w:t>ITU</w:t>
            </w:r>
            <w:r w:rsidR="00747ED2">
              <w:rPr>
                <w:b/>
                <w:bCs/>
              </w:rPr>
              <w:noBreakHyphen/>
              <w:t>T X.1631</w:t>
            </w:r>
          </w:p>
        </w:tc>
        <w:tc>
          <w:tcPr>
            <w:tcW w:w="6207" w:type="dxa"/>
            <w:shd w:val="clear" w:color="auto" w:fill="auto"/>
            <w:vAlign w:val="center"/>
          </w:tcPr>
          <w:p w14:paraId="43EC66B2" w14:textId="3C9EF35C"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تفوض</w:t>
            </w:r>
            <w:r w:rsidR="00161754" w:rsidRPr="00161754">
              <w:rPr>
                <w:rtl/>
              </w:rPr>
              <w:t xml:space="preserve"> 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بغرض الموافقة عليه (وفي هذه الحالة، تحديد أحد الخيارين</w:t>
            </w:r>
            <w:r w:rsidR="00F073A8">
              <w:rPr>
                <w:rFonts w:hint="cs"/>
                <w:rtl/>
              </w:rPr>
              <w:t xml:space="preserve"> </w:t>
            </w:r>
            <w:r w:rsidR="00F073A8" w:rsidRPr="008C3608">
              <w:rPr>
                <w:rFonts w:asciiTheme="minorHAnsi" w:hAnsiTheme="minorHAnsi" w:cstheme="minorHAnsi"/>
                <w:sz w:val="20"/>
              </w:rPr>
              <w:t>⃝</w:t>
            </w:r>
            <w:r w:rsidR="00161754" w:rsidRPr="00161754">
              <w:rPr>
                <w:rtl/>
              </w:rPr>
              <w:t>)</w:t>
            </w:r>
          </w:p>
          <w:p w14:paraId="5F2C9F11" w14:textId="2D4B320E" w:rsidR="00161754" w:rsidRPr="00161754" w:rsidRDefault="00FC2C04" w:rsidP="00CE5732">
            <w:pPr>
              <w:ind w:left="941" w:hanging="459"/>
            </w:pPr>
            <w:r w:rsidRPr="00FC2C04">
              <w:rPr>
                <w:rFonts w:asciiTheme="minorHAnsi" w:hAnsiTheme="minorHAnsi" w:cstheme="minorHAnsi"/>
                <w:sz w:val="20"/>
              </w:rPr>
              <w:t>⃝</w:t>
            </w:r>
            <w:r>
              <w:rPr>
                <w:rFonts w:asciiTheme="minorHAnsi" w:hAnsiTheme="minorHAnsi" w:cstheme="minorHAnsi"/>
                <w:sz w:val="20"/>
                <w:rtl/>
                <w:lang w:bidi="ar-EG"/>
              </w:rPr>
              <w:tab/>
            </w:r>
            <w:r w:rsidR="00161754" w:rsidRPr="00161754">
              <w:rPr>
                <w:rtl/>
              </w:rPr>
              <w:t>لا توجد تعليقات أو تغييرات مقترحة</w:t>
            </w:r>
          </w:p>
          <w:p w14:paraId="4DDF384D" w14:textId="12A1CC7A" w:rsidR="00161754" w:rsidRPr="00161754" w:rsidRDefault="00410E85" w:rsidP="00CE5732">
            <w:pPr>
              <w:ind w:left="941" w:hanging="459"/>
            </w:pPr>
            <w:r w:rsidRPr="00FC2C04">
              <w:rPr>
                <w:rFonts w:asciiTheme="minorHAnsi" w:hAnsiTheme="minorHAnsi" w:cstheme="minorHAnsi"/>
                <w:sz w:val="20"/>
              </w:rPr>
              <w:t>⃝</w:t>
            </w:r>
            <w:r>
              <w:rPr>
                <w:rFonts w:asciiTheme="minorHAnsi" w:hAnsiTheme="minorHAnsi" w:cstheme="minorHAnsi"/>
                <w:sz w:val="20"/>
                <w:rtl/>
              </w:rPr>
              <w:tab/>
            </w:r>
            <w:r w:rsidR="00161754" w:rsidRPr="00161754">
              <w:rPr>
                <w:rtl/>
              </w:rPr>
              <w:t>التعليقات والتغييرات المقترحة مرفَقة</w:t>
            </w:r>
          </w:p>
        </w:tc>
      </w:tr>
      <w:tr w:rsidR="008F1B58" w:rsidRPr="00161754" w14:paraId="47B1063D" w14:textId="77777777" w:rsidTr="008F1B58">
        <w:trPr>
          <w:trHeight w:val="357"/>
        </w:trPr>
        <w:tc>
          <w:tcPr>
            <w:tcW w:w="3422" w:type="dxa"/>
            <w:vMerge/>
            <w:shd w:val="clear" w:color="auto" w:fill="auto"/>
            <w:vAlign w:val="center"/>
          </w:tcPr>
          <w:p w14:paraId="496C16B6" w14:textId="77777777" w:rsidR="00161754" w:rsidRPr="0051118A" w:rsidRDefault="00161754" w:rsidP="0051118A">
            <w:pPr>
              <w:jc w:val="center"/>
              <w:rPr>
                <w:b/>
                <w:bCs/>
                <w:lang w:val="en-GB"/>
              </w:rPr>
            </w:pPr>
          </w:p>
        </w:tc>
        <w:tc>
          <w:tcPr>
            <w:tcW w:w="6207" w:type="dxa"/>
            <w:shd w:val="clear" w:color="auto" w:fill="auto"/>
            <w:vAlign w:val="center"/>
          </w:tcPr>
          <w:p w14:paraId="52B0120B" w14:textId="291B27A4" w:rsidR="00161754" w:rsidRPr="00161754" w:rsidRDefault="00A51135" w:rsidP="00FC2C04">
            <w:pPr>
              <w:ind w:left="461" w:hanging="461"/>
            </w:pPr>
            <w:r w:rsidRPr="00A51135">
              <w:rPr>
                <w:rFonts w:asciiTheme="minorHAnsi" w:hAnsiTheme="minorHAnsi" w:cstheme="minorHAnsi"/>
              </w:rPr>
              <w:fldChar w:fldCharType="begin">
                <w:ffData>
                  <w:name w:val="Check1"/>
                  <w:enabled/>
                  <w:calcOnExit w:val="0"/>
                  <w:checkBox>
                    <w:sizeAuto/>
                    <w:default w:val="0"/>
                  </w:checkBox>
                </w:ffData>
              </w:fldChar>
            </w:r>
            <w:r w:rsidRPr="00A51135">
              <w:rPr>
                <w:rFonts w:asciiTheme="minorHAnsi" w:hAnsiTheme="minorHAnsi" w:cstheme="minorHAnsi"/>
              </w:rPr>
              <w:instrText xml:space="preserve"> FORMCHECKBOX </w:instrText>
            </w:r>
            <w:r w:rsidRPr="00A51135">
              <w:rPr>
                <w:rFonts w:asciiTheme="minorHAnsi" w:hAnsiTheme="minorHAnsi" w:cstheme="minorHAnsi"/>
              </w:rPr>
            </w:r>
            <w:r w:rsidRPr="00A51135">
              <w:rPr>
                <w:rFonts w:asciiTheme="minorHAnsi" w:hAnsiTheme="minorHAnsi" w:cstheme="minorHAnsi"/>
              </w:rPr>
              <w:fldChar w:fldCharType="separate"/>
            </w:r>
            <w:r w:rsidRPr="00A51135">
              <w:rPr>
                <w:rFonts w:asciiTheme="minorHAnsi" w:hAnsiTheme="minorHAnsi" w:cstheme="minorHAnsi"/>
              </w:rPr>
              <w:fldChar w:fldCharType="end"/>
            </w:r>
            <w:r w:rsidR="00161754" w:rsidRPr="00161754">
              <w:rPr>
                <w:rtl/>
              </w:rPr>
              <w:tab/>
            </w:r>
            <w:r w:rsidR="00161754" w:rsidRPr="004A32E1">
              <w:rPr>
                <w:b/>
                <w:bCs/>
                <w:rtl/>
              </w:rPr>
              <w:t>لا تخول</w:t>
            </w:r>
            <w:r w:rsidR="00161754" w:rsidRPr="00161754">
              <w:rPr>
                <w:rtl/>
              </w:rPr>
              <w:t xml:space="preserve"> للجنة الدراسات 17 </w:t>
            </w:r>
            <w:r w:rsidR="007F5F69" w:rsidRPr="007F5F69">
              <w:rPr>
                <w:b/>
                <w:bCs/>
                <w:rtl/>
              </w:rPr>
              <w:t xml:space="preserve">سلطة </w:t>
            </w:r>
            <w:r w:rsidR="007F5F69" w:rsidRPr="00747ED2">
              <w:rPr>
                <w:rtl/>
              </w:rPr>
              <w:t>النظر</w:t>
            </w:r>
            <w:r w:rsidR="007F5F69" w:rsidRPr="00161754">
              <w:rPr>
                <w:rtl/>
              </w:rPr>
              <w:t xml:space="preserve"> </w:t>
            </w:r>
            <w:r w:rsidR="00161754" w:rsidRPr="00161754">
              <w:rPr>
                <w:rtl/>
              </w:rPr>
              <w:t>في هذا النص للموافقة عليه (مرفق طيه أسباب هذا الرأي وموجز للتغييرات الممكنة التي من شأنها أن تمكن من إحراز تقدم في العمل)</w:t>
            </w:r>
          </w:p>
        </w:tc>
      </w:tr>
    </w:tbl>
    <w:p w14:paraId="6D492E9F" w14:textId="77777777" w:rsidR="00161754" w:rsidRPr="00161754" w:rsidRDefault="00161754" w:rsidP="00747ED2">
      <w:pPr>
        <w:spacing w:before="240"/>
        <w:jc w:val="left"/>
      </w:pPr>
      <w:r w:rsidRPr="00161754">
        <w:rPr>
          <w:rtl/>
        </w:rPr>
        <w:t>وتفضلوا بقبول فائق التقدير والاحترام.</w:t>
      </w:r>
    </w:p>
    <w:p w14:paraId="2B8E6926" w14:textId="77777777" w:rsidR="00161754" w:rsidRPr="00747ED2" w:rsidRDefault="00161754" w:rsidP="00CF5BC6">
      <w:pPr>
        <w:rPr>
          <w:highlight w:val="green"/>
        </w:rPr>
      </w:pPr>
      <w:r w:rsidRPr="00747ED2">
        <w:rPr>
          <w:highlight w:val="green"/>
          <w:rtl/>
        </w:rPr>
        <w:t>[الاسم]</w:t>
      </w:r>
    </w:p>
    <w:p w14:paraId="11649320" w14:textId="77777777" w:rsidR="00161754" w:rsidRPr="00747ED2" w:rsidRDefault="00161754" w:rsidP="00CF5BC6">
      <w:pPr>
        <w:rPr>
          <w:highlight w:val="green"/>
        </w:rPr>
      </w:pPr>
      <w:r w:rsidRPr="00747ED2">
        <w:rPr>
          <w:highlight w:val="green"/>
          <w:rtl/>
        </w:rPr>
        <w:t>[الدور/اللقب الرسمي]</w:t>
      </w:r>
    </w:p>
    <w:p w14:paraId="45A62F3B" w14:textId="1E205176" w:rsidR="00596808" w:rsidRDefault="00161754" w:rsidP="00CF5BC6">
      <w:pPr>
        <w:rPr>
          <w:rtl/>
        </w:rPr>
      </w:pPr>
      <w:r w:rsidRPr="00747ED2">
        <w:rPr>
          <w:highlight w:val="green"/>
          <w:rtl/>
        </w:rPr>
        <w:t>إدارة [الدولة العضو]</w:t>
      </w:r>
    </w:p>
    <w:p w14:paraId="6AB3CAF0" w14:textId="77777777" w:rsidR="00CD01BF" w:rsidRPr="0039465C" w:rsidRDefault="00CD01BF" w:rsidP="00CD01BF">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CD01BF" w:rsidRPr="0039465C"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44EA" w14:textId="77777777" w:rsidR="007D34B4" w:rsidRDefault="007D34B4" w:rsidP="006C3242">
      <w:pPr>
        <w:spacing w:before="0" w:line="240" w:lineRule="auto"/>
      </w:pPr>
      <w:r>
        <w:separator/>
      </w:r>
    </w:p>
  </w:endnote>
  <w:endnote w:type="continuationSeparator" w:id="0">
    <w:p w14:paraId="33FD2423" w14:textId="77777777" w:rsidR="007D34B4" w:rsidRDefault="007D34B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6EF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5882" w14:textId="77777777" w:rsidR="007D34B4" w:rsidRDefault="007D34B4" w:rsidP="006C3242">
      <w:pPr>
        <w:spacing w:before="0" w:line="240" w:lineRule="auto"/>
      </w:pPr>
      <w:r>
        <w:separator/>
      </w:r>
    </w:p>
  </w:footnote>
  <w:footnote w:type="continuationSeparator" w:id="0">
    <w:p w14:paraId="4ED84110" w14:textId="77777777" w:rsidR="007D34B4" w:rsidRDefault="007D34B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20CC" w14:textId="554E76DC"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161754">
      <w:rPr>
        <w:sz w:val="20"/>
        <w:szCs w:val="20"/>
        <w:lang w:bidi="ar-EG"/>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757279">
    <w:abstractNumId w:val="9"/>
  </w:num>
  <w:num w:numId="2" w16cid:durableId="1735422432">
    <w:abstractNumId w:val="7"/>
  </w:num>
  <w:num w:numId="3" w16cid:durableId="680082161">
    <w:abstractNumId w:val="6"/>
  </w:num>
  <w:num w:numId="4" w16cid:durableId="517350498">
    <w:abstractNumId w:val="5"/>
  </w:num>
  <w:num w:numId="5" w16cid:durableId="1560094807">
    <w:abstractNumId w:val="4"/>
  </w:num>
  <w:num w:numId="6" w16cid:durableId="648022492">
    <w:abstractNumId w:val="8"/>
  </w:num>
  <w:num w:numId="7" w16cid:durableId="562252678">
    <w:abstractNumId w:val="3"/>
  </w:num>
  <w:num w:numId="8" w16cid:durableId="289239659">
    <w:abstractNumId w:val="2"/>
  </w:num>
  <w:num w:numId="9" w16cid:durableId="656765200">
    <w:abstractNumId w:val="1"/>
  </w:num>
  <w:num w:numId="10" w16cid:durableId="134688325">
    <w:abstractNumId w:val="0"/>
  </w:num>
  <w:num w:numId="11" w16cid:durableId="1926188926">
    <w:abstractNumId w:val="10"/>
  </w:num>
  <w:num w:numId="12" w16cid:durableId="1098451394">
    <w:abstractNumId w:val="11"/>
    <w:lvlOverride w:ilvl="0">
      <w:lvl w:ilvl="0" w:tplc="454C01C4">
        <w:start w:val="1"/>
        <w:numFmt w:val="decimal"/>
        <w:lvlText w:val="%1"/>
        <w:lvlJc w:val="left"/>
        <w:pPr>
          <w:ind w:left="3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64"/>
    <w:rsid w:val="00002A63"/>
    <w:rsid w:val="0006028F"/>
    <w:rsid w:val="0006468A"/>
    <w:rsid w:val="00090574"/>
    <w:rsid w:val="000C1C0E"/>
    <w:rsid w:val="000C3F20"/>
    <w:rsid w:val="000C548A"/>
    <w:rsid w:val="000E327F"/>
    <w:rsid w:val="000E7BFE"/>
    <w:rsid w:val="0013190B"/>
    <w:rsid w:val="00146FE2"/>
    <w:rsid w:val="00161754"/>
    <w:rsid w:val="00170D7E"/>
    <w:rsid w:val="0019084B"/>
    <w:rsid w:val="001A06C0"/>
    <w:rsid w:val="001C0169"/>
    <w:rsid w:val="001C07AD"/>
    <w:rsid w:val="001D1D50"/>
    <w:rsid w:val="001D3A62"/>
    <w:rsid w:val="001D6745"/>
    <w:rsid w:val="001E2788"/>
    <w:rsid w:val="001E446E"/>
    <w:rsid w:val="001E718F"/>
    <w:rsid w:val="00203D96"/>
    <w:rsid w:val="002154EE"/>
    <w:rsid w:val="002276D2"/>
    <w:rsid w:val="0023283D"/>
    <w:rsid w:val="0026373E"/>
    <w:rsid w:val="00271C43"/>
    <w:rsid w:val="00290728"/>
    <w:rsid w:val="00296AAB"/>
    <w:rsid w:val="002978F4"/>
    <w:rsid w:val="002B028D"/>
    <w:rsid w:val="002B4EF6"/>
    <w:rsid w:val="002E196B"/>
    <w:rsid w:val="002E6541"/>
    <w:rsid w:val="00314411"/>
    <w:rsid w:val="00334924"/>
    <w:rsid w:val="003409BC"/>
    <w:rsid w:val="003500A0"/>
    <w:rsid w:val="00357185"/>
    <w:rsid w:val="00370765"/>
    <w:rsid w:val="00373ADF"/>
    <w:rsid w:val="00383829"/>
    <w:rsid w:val="00396F72"/>
    <w:rsid w:val="003A3046"/>
    <w:rsid w:val="003C077B"/>
    <w:rsid w:val="003C3439"/>
    <w:rsid w:val="003C7EDF"/>
    <w:rsid w:val="003F4B29"/>
    <w:rsid w:val="00400EC6"/>
    <w:rsid w:val="00410E85"/>
    <w:rsid w:val="0042686F"/>
    <w:rsid w:val="004317D8"/>
    <w:rsid w:val="00431CA3"/>
    <w:rsid w:val="00434183"/>
    <w:rsid w:val="00443869"/>
    <w:rsid w:val="00447F32"/>
    <w:rsid w:val="00453F27"/>
    <w:rsid w:val="004A32E1"/>
    <w:rsid w:val="004A4E37"/>
    <w:rsid w:val="004D78CE"/>
    <w:rsid w:val="004E11DC"/>
    <w:rsid w:val="0050259D"/>
    <w:rsid w:val="0051118A"/>
    <w:rsid w:val="00514A09"/>
    <w:rsid w:val="00525DDD"/>
    <w:rsid w:val="005409AC"/>
    <w:rsid w:val="0055516A"/>
    <w:rsid w:val="005707FE"/>
    <w:rsid w:val="005731DD"/>
    <w:rsid w:val="00582E2B"/>
    <w:rsid w:val="0058491B"/>
    <w:rsid w:val="00592EA5"/>
    <w:rsid w:val="00595B52"/>
    <w:rsid w:val="00596808"/>
    <w:rsid w:val="005A3170"/>
    <w:rsid w:val="005A728A"/>
    <w:rsid w:val="005B3F3B"/>
    <w:rsid w:val="005B4E8C"/>
    <w:rsid w:val="006019C6"/>
    <w:rsid w:val="00607115"/>
    <w:rsid w:val="006240E0"/>
    <w:rsid w:val="006635B2"/>
    <w:rsid w:val="00677396"/>
    <w:rsid w:val="0069200F"/>
    <w:rsid w:val="006A65CB"/>
    <w:rsid w:val="006C1530"/>
    <w:rsid w:val="006C3242"/>
    <w:rsid w:val="006C7CC0"/>
    <w:rsid w:val="006E1BAD"/>
    <w:rsid w:val="006E5C92"/>
    <w:rsid w:val="006E609B"/>
    <w:rsid w:val="006E6264"/>
    <w:rsid w:val="006F0212"/>
    <w:rsid w:val="006F5C5E"/>
    <w:rsid w:val="006F63F7"/>
    <w:rsid w:val="00700CA2"/>
    <w:rsid w:val="007025C7"/>
    <w:rsid w:val="00706D7A"/>
    <w:rsid w:val="007139D8"/>
    <w:rsid w:val="00722F0D"/>
    <w:rsid w:val="00732142"/>
    <w:rsid w:val="007352D2"/>
    <w:rsid w:val="00735661"/>
    <w:rsid w:val="0074420E"/>
    <w:rsid w:val="00747ED2"/>
    <w:rsid w:val="0077253C"/>
    <w:rsid w:val="00783E26"/>
    <w:rsid w:val="0079744B"/>
    <w:rsid w:val="007A3495"/>
    <w:rsid w:val="007C3BC7"/>
    <w:rsid w:val="007C3BCD"/>
    <w:rsid w:val="007D34B4"/>
    <w:rsid w:val="007D4ACF"/>
    <w:rsid w:val="007F0787"/>
    <w:rsid w:val="007F5F69"/>
    <w:rsid w:val="00807031"/>
    <w:rsid w:val="00810B7B"/>
    <w:rsid w:val="00814625"/>
    <w:rsid w:val="0082358A"/>
    <w:rsid w:val="008235CD"/>
    <w:rsid w:val="00824247"/>
    <w:rsid w:val="008247DE"/>
    <w:rsid w:val="00826A56"/>
    <w:rsid w:val="00840B10"/>
    <w:rsid w:val="00845AA2"/>
    <w:rsid w:val="008513CB"/>
    <w:rsid w:val="00873469"/>
    <w:rsid w:val="00877F4B"/>
    <w:rsid w:val="00891703"/>
    <w:rsid w:val="008A332D"/>
    <w:rsid w:val="008A5048"/>
    <w:rsid w:val="008A7F84"/>
    <w:rsid w:val="008C0AE5"/>
    <w:rsid w:val="008C3608"/>
    <w:rsid w:val="008C7340"/>
    <w:rsid w:val="008F1B58"/>
    <w:rsid w:val="0091702E"/>
    <w:rsid w:val="00917825"/>
    <w:rsid w:val="00923B0C"/>
    <w:rsid w:val="00926F44"/>
    <w:rsid w:val="0093585D"/>
    <w:rsid w:val="00936410"/>
    <w:rsid w:val="00937B0E"/>
    <w:rsid w:val="0094021C"/>
    <w:rsid w:val="0094432F"/>
    <w:rsid w:val="00952F86"/>
    <w:rsid w:val="009641F9"/>
    <w:rsid w:val="00982B28"/>
    <w:rsid w:val="009A3D1D"/>
    <w:rsid w:val="009D2CF4"/>
    <w:rsid w:val="009D313F"/>
    <w:rsid w:val="00A47A5A"/>
    <w:rsid w:val="00A51135"/>
    <w:rsid w:val="00A62FF7"/>
    <w:rsid w:val="00A6683B"/>
    <w:rsid w:val="00A77C90"/>
    <w:rsid w:val="00A878D3"/>
    <w:rsid w:val="00A9156F"/>
    <w:rsid w:val="00A97F94"/>
    <w:rsid w:val="00AA43C0"/>
    <w:rsid w:val="00AA7EA2"/>
    <w:rsid w:val="00AB0BC9"/>
    <w:rsid w:val="00AF6B5C"/>
    <w:rsid w:val="00B03099"/>
    <w:rsid w:val="00B05BC8"/>
    <w:rsid w:val="00B12F66"/>
    <w:rsid w:val="00B40689"/>
    <w:rsid w:val="00B64B47"/>
    <w:rsid w:val="00B916A7"/>
    <w:rsid w:val="00BB0F08"/>
    <w:rsid w:val="00BD2B16"/>
    <w:rsid w:val="00BF6192"/>
    <w:rsid w:val="00C002DE"/>
    <w:rsid w:val="00C35D0C"/>
    <w:rsid w:val="00C4057D"/>
    <w:rsid w:val="00C53BF8"/>
    <w:rsid w:val="00C61864"/>
    <w:rsid w:val="00C66157"/>
    <w:rsid w:val="00C674FE"/>
    <w:rsid w:val="00C67501"/>
    <w:rsid w:val="00C75633"/>
    <w:rsid w:val="00C80EDC"/>
    <w:rsid w:val="00C91D85"/>
    <w:rsid w:val="00CD01BF"/>
    <w:rsid w:val="00CE1C08"/>
    <w:rsid w:val="00CE2EE1"/>
    <w:rsid w:val="00CE3349"/>
    <w:rsid w:val="00CE36E5"/>
    <w:rsid w:val="00CE5732"/>
    <w:rsid w:val="00CF27F5"/>
    <w:rsid w:val="00CF3FFD"/>
    <w:rsid w:val="00CF5BC6"/>
    <w:rsid w:val="00D10CCF"/>
    <w:rsid w:val="00D22846"/>
    <w:rsid w:val="00D517B2"/>
    <w:rsid w:val="00D76170"/>
    <w:rsid w:val="00D77D0F"/>
    <w:rsid w:val="00DA1CF0"/>
    <w:rsid w:val="00DC1E02"/>
    <w:rsid w:val="00DC24B4"/>
    <w:rsid w:val="00DC5FB0"/>
    <w:rsid w:val="00DD1EBB"/>
    <w:rsid w:val="00DE08DF"/>
    <w:rsid w:val="00DE7757"/>
    <w:rsid w:val="00DF16DC"/>
    <w:rsid w:val="00E01B7F"/>
    <w:rsid w:val="00E45211"/>
    <w:rsid w:val="00E473C5"/>
    <w:rsid w:val="00E544E9"/>
    <w:rsid w:val="00E84438"/>
    <w:rsid w:val="00E92863"/>
    <w:rsid w:val="00EB4EFD"/>
    <w:rsid w:val="00EB796D"/>
    <w:rsid w:val="00EE3028"/>
    <w:rsid w:val="00F05415"/>
    <w:rsid w:val="00F058DC"/>
    <w:rsid w:val="00F073A8"/>
    <w:rsid w:val="00F22F01"/>
    <w:rsid w:val="00F24FC4"/>
    <w:rsid w:val="00F2676C"/>
    <w:rsid w:val="00F52941"/>
    <w:rsid w:val="00F70EF9"/>
    <w:rsid w:val="00F84366"/>
    <w:rsid w:val="00F85089"/>
    <w:rsid w:val="00F85D97"/>
    <w:rsid w:val="00F974C5"/>
    <w:rsid w:val="00FA6F46"/>
    <w:rsid w:val="00FC2C0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E0349"/>
  <w15:chartTrackingRefBased/>
  <w15:docId w15:val="{F2E03B3B-E1C6-47C2-9253-BDF9E867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514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p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ar/ITU-T/ipr/Pages/default.aspx" TargetMode="External"/><Relationship Id="rId5" Type="http://schemas.openxmlformats.org/officeDocument/2006/relationships/webSettings" Target="webSettings.xml"/><Relationship Id="rId15" Type="http://schemas.openxmlformats.org/officeDocument/2006/relationships/hyperlink" Target="https://www.itu.int/md/meetingdoc.asp?lang=en&amp;parent=T25-SG17-R-0013" TargetMode="External"/><Relationship Id="rId10" Type="http://schemas.openxmlformats.org/officeDocument/2006/relationships/hyperlink" Target="https://www.itu.int/md/T25-SG17-COL-0004/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meetingdoc.asp?lang=en&amp;parent=T25-SG17-R-001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15</TotalTime>
  <Pages>9</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Braud, Olivia</cp:lastModifiedBy>
  <cp:revision>6</cp:revision>
  <cp:lastPrinted>2025-08-12T12:34:00Z</cp:lastPrinted>
  <dcterms:created xsi:type="dcterms:W3CDTF">2025-07-28T07:57:00Z</dcterms:created>
  <dcterms:modified xsi:type="dcterms:W3CDTF">2025-08-12T12:35:00Z</dcterms:modified>
</cp:coreProperties>
</file>