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9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436"/>
        <w:gridCol w:w="3466"/>
        <w:gridCol w:w="5331"/>
      </w:tblGrid>
      <w:tr w:rsidR="007B6316" w14:paraId="0B90F680" w14:textId="77777777" w:rsidTr="00EA12F7">
        <w:trPr>
          <w:cantSplit/>
          <w:trHeight w:val="340"/>
        </w:trPr>
        <w:tc>
          <w:tcPr>
            <w:tcW w:w="1492" w:type="dxa"/>
            <w:gridSpan w:val="2"/>
          </w:tcPr>
          <w:p w14:paraId="37ED10E8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B68D905" wp14:editId="305A8D4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1CAE70AC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B25288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6E3703" w:rsidRPr="00EA12F7" w14:paraId="787DCEB9" w14:textId="77777777" w:rsidTr="00EA12F7">
        <w:trPr>
          <w:cantSplit/>
          <w:trHeight w:val="594"/>
        </w:trPr>
        <w:tc>
          <w:tcPr>
            <w:tcW w:w="4958" w:type="dxa"/>
            <w:gridSpan w:val="3"/>
          </w:tcPr>
          <w:p w14:paraId="55CA296C" w14:textId="77777777" w:rsidR="006E3703" w:rsidRPr="00EA12F7" w:rsidRDefault="006E3703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31" w:type="dxa"/>
          </w:tcPr>
          <w:p w14:paraId="47A3F86A" w14:textId="5D035D3D" w:rsidR="006E3703" w:rsidRPr="00EA12F7" w:rsidRDefault="006E3703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Ginebra, 17 de abril de 2025</w:t>
            </w:r>
          </w:p>
        </w:tc>
      </w:tr>
      <w:tr w:rsidR="001350B9" w:rsidRPr="00EA12F7" w14:paraId="17544E42" w14:textId="77777777" w:rsidTr="00EA12F7">
        <w:trPr>
          <w:cantSplit/>
          <w:trHeight w:val="340"/>
        </w:trPr>
        <w:tc>
          <w:tcPr>
            <w:tcW w:w="1056" w:type="dxa"/>
          </w:tcPr>
          <w:p w14:paraId="0D7095B5" w14:textId="77777777" w:rsidR="001350B9" w:rsidRPr="00EA12F7" w:rsidRDefault="001350B9" w:rsidP="00EA12F7">
            <w:pPr>
              <w:tabs>
                <w:tab w:val="left" w:pos="4111"/>
              </w:tabs>
              <w:spacing w:before="10"/>
              <w:ind w:left="90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Ref.:</w:t>
            </w:r>
          </w:p>
          <w:p w14:paraId="332BF607" w14:textId="77777777" w:rsidR="001350B9" w:rsidRPr="00EA12F7" w:rsidRDefault="001350B9" w:rsidP="00EA12F7">
            <w:pPr>
              <w:tabs>
                <w:tab w:val="left" w:pos="4111"/>
              </w:tabs>
              <w:spacing w:before="10"/>
              <w:ind w:left="90"/>
              <w:rPr>
                <w:sz w:val="22"/>
                <w:szCs w:val="22"/>
              </w:rPr>
            </w:pPr>
          </w:p>
        </w:tc>
        <w:tc>
          <w:tcPr>
            <w:tcW w:w="3902" w:type="dxa"/>
            <w:gridSpan w:val="2"/>
          </w:tcPr>
          <w:p w14:paraId="388A4A01" w14:textId="6C51742B" w:rsidR="001350B9" w:rsidRPr="00EA12F7" w:rsidRDefault="001350B9" w:rsidP="007A3B6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EA12F7">
              <w:rPr>
                <w:b/>
                <w:sz w:val="22"/>
                <w:szCs w:val="22"/>
              </w:rPr>
              <w:t xml:space="preserve">Circular TSB </w:t>
            </w:r>
            <w:r w:rsidR="0026278E" w:rsidRPr="00EA12F7">
              <w:rPr>
                <w:b/>
                <w:sz w:val="22"/>
                <w:szCs w:val="22"/>
              </w:rPr>
              <w:t>46</w:t>
            </w:r>
          </w:p>
          <w:p w14:paraId="2C45CB93" w14:textId="651CE199" w:rsidR="001350B9" w:rsidRPr="00EA12F7" w:rsidRDefault="001350B9" w:rsidP="007A3B6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  <w:p w14:paraId="0C9F9D9F" w14:textId="77777777" w:rsidR="001350B9" w:rsidRPr="00EA12F7" w:rsidRDefault="001350B9" w:rsidP="007A3B6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5331" w:type="dxa"/>
            <w:vMerge w:val="restart"/>
          </w:tcPr>
          <w:p w14:paraId="626EA0B8" w14:textId="77777777" w:rsidR="001350B9" w:rsidRPr="00EA12F7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>A las Administraciones de los Estados Miembros de la Unión</w:t>
            </w:r>
          </w:p>
          <w:p w14:paraId="66CD0862" w14:textId="77777777" w:rsidR="007A3B68" w:rsidRPr="00EA12F7" w:rsidRDefault="007A3B68" w:rsidP="00363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>A los Miembros del Sector UIT</w:t>
            </w:r>
            <w:r w:rsidRPr="00EA12F7">
              <w:rPr>
                <w:sz w:val="22"/>
                <w:szCs w:val="22"/>
              </w:rPr>
              <w:noBreakHyphen/>
              <w:t>T;</w:t>
            </w:r>
          </w:p>
          <w:p w14:paraId="5226D5B7" w14:textId="29381010" w:rsidR="001350B9" w:rsidRPr="00EA12F7" w:rsidRDefault="001350B9" w:rsidP="00363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>A los Miembros del Sector UIT</w:t>
            </w:r>
            <w:r w:rsidRPr="00EA12F7">
              <w:rPr>
                <w:sz w:val="22"/>
                <w:szCs w:val="22"/>
              </w:rPr>
              <w:noBreakHyphen/>
              <w:t>T;</w:t>
            </w:r>
          </w:p>
          <w:p w14:paraId="36E1A167" w14:textId="77777777" w:rsidR="001350B9" w:rsidRPr="00EA12F7" w:rsidRDefault="001350B9" w:rsidP="00363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>A los Asociados del UIT</w:t>
            </w:r>
            <w:r w:rsidRPr="00EA12F7">
              <w:rPr>
                <w:sz w:val="22"/>
                <w:szCs w:val="22"/>
              </w:rPr>
              <w:noBreakHyphen/>
              <w:t>T;</w:t>
            </w:r>
          </w:p>
          <w:p w14:paraId="08F9B0AE" w14:textId="77777777" w:rsidR="001350B9" w:rsidRPr="00EA12F7" w:rsidRDefault="001350B9" w:rsidP="00363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>A las Instituciones Académicas del UIT-T;</w:t>
            </w:r>
          </w:p>
          <w:p w14:paraId="194F029A" w14:textId="0D44F0E8" w:rsidR="007A3B68" w:rsidRPr="00EA12F7" w:rsidRDefault="007A3B68" w:rsidP="00363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 w:val="22"/>
                <w:szCs w:val="22"/>
              </w:rPr>
            </w:pPr>
            <w:r w:rsidRPr="00EA12F7">
              <w:rPr>
                <w:b/>
                <w:bCs/>
                <w:sz w:val="22"/>
                <w:szCs w:val="22"/>
              </w:rPr>
              <w:t>Copia:</w:t>
            </w:r>
          </w:p>
          <w:p w14:paraId="6DFBC8E4" w14:textId="4C3B1763" w:rsidR="001350B9" w:rsidRPr="00EA12F7" w:rsidRDefault="001350B9" w:rsidP="007A3B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>A</w:t>
            </w:r>
            <w:r w:rsidR="007A3B68" w:rsidRPr="00EA12F7">
              <w:rPr>
                <w:sz w:val="22"/>
                <w:szCs w:val="22"/>
              </w:rPr>
              <w:t xml:space="preserve"> </w:t>
            </w:r>
            <w:r w:rsidRPr="00EA12F7">
              <w:rPr>
                <w:sz w:val="22"/>
                <w:szCs w:val="22"/>
              </w:rPr>
              <w:t>l</w:t>
            </w:r>
            <w:r w:rsidR="007A3B68" w:rsidRPr="00EA12F7">
              <w:rPr>
                <w:sz w:val="22"/>
                <w:szCs w:val="22"/>
              </w:rPr>
              <w:t>os</w:t>
            </w:r>
            <w:r w:rsidRPr="00EA12F7">
              <w:rPr>
                <w:sz w:val="22"/>
                <w:szCs w:val="22"/>
              </w:rPr>
              <w:t xml:space="preserve"> </w:t>
            </w:r>
            <w:proofErr w:type="gramStart"/>
            <w:r w:rsidRPr="00EA12F7">
              <w:rPr>
                <w:sz w:val="22"/>
                <w:szCs w:val="22"/>
              </w:rPr>
              <w:t>Presidente</w:t>
            </w:r>
            <w:r w:rsidR="007A3B68" w:rsidRPr="00EA12F7">
              <w:rPr>
                <w:sz w:val="22"/>
                <w:szCs w:val="22"/>
              </w:rPr>
              <w:t>s</w:t>
            </w:r>
            <w:proofErr w:type="gramEnd"/>
            <w:r w:rsidRPr="00EA12F7">
              <w:rPr>
                <w:sz w:val="22"/>
                <w:szCs w:val="22"/>
              </w:rPr>
              <w:t xml:space="preserve"> y </w:t>
            </w:r>
            <w:proofErr w:type="gramStart"/>
            <w:r w:rsidRPr="00EA12F7">
              <w:rPr>
                <w:sz w:val="22"/>
                <w:szCs w:val="22"/>
              </w:rPr>
              <w:t>Vicepresidentes</w:t>
            </w:r>
            <w:proofErr w:type="gramEnd"/>
            <w:r w:rsidRPr="00EA12F7">
              <w:rPr>
                <w:sz w:val="22"/>
                <w:szCs w:val="22"/>
              </w:rPr>
              <w:t xml:space="preserve"> de la</w:t>
            </w:r>
            <w:r w:rsidR="007A3B68" w:rsidRPr="00EA12F7">
              <w:rPr>
                <w:sz w:val="22"/>
                <w:szCs w:val="22"/>
              </w:rPr>
              <w:t>s</w:t>
            </w:r>
            <w:r w:rsidRPr="00EA12F7">
              <w:rPr>
                <w:sz w:val="22"/>
                <w:szCs w:val="22"/>
              </w:rPr>
              <w:br/>
              <w:t>Comisi</w:t>
            </w:r>
            <w:r w:rsidR="007A3B68" w:rsidRPr="00EA12F7">
              <w:rPr>
                <w:sz w:val="22"/>
                <w:szCs w:val="22"/>
              </w:rPr>
              <w:t>ones</w:t>
            </w:r>
            <w:r w:rsidRPr="00EA12F7">
              <w:rPr>
                <w:sz w:val="22"/>
                <w:szCs w:val="22"/>
              </w:rPr>
              <w:t xml:space="preserve"> de Estudio </w:t>
            </w:r>
            <w:r w:rsidR="007A3B68" w:rsidRPr="00EA12F7">
              <w:rPr>
                <w:sz w:val="22"/>
                <w:szCs w:val="22"/>
              </w:rPr>
              <w:t>del UIT-T</w:t>
            </w:r>
            <w:r w:rsidRPr="00EA12F7">
              <w:rPr>
                <w:sz w:val="22"/>
                <w:szCs w:val="22"/>
              </w:rPr>
              <w:t>;</w:t>
            </w:r>
          </w:p>
          <w:p w14:paraId="6F56D02E" w14:textId="77777777" w:rsidR="001350B9" w:rsidRPr="00EA12F7" w:rsidRDefault="001350B9" w:rsidP="007A3B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EA12F7">
              <w:rPr>
                <w:sz w:val="22"/>
                <w:szCs w:val="22"/>
              </w:rPr>
              <w:t>Directora</w:t>
            </w:r>
            <w:proofErr w:type="gramEnd"/>
            <w:r w:rsidRPr="00EA12F7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2C55095" w14:textId="77777777" w:rsidR="001350B9" w:rsidRPr="00EA12F7" w:rsidRDefault="001350B9" w:rsidP="007A3B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EA12F7">
              <w:rPr>
                <w:sz w:val="22"/>
                <w:szCs w:val="22"/>
              </w:rPr>
              <w:t>Director</w:t>
            </w:r>
            <w:proofErr w:type="gramEnd"/>
            <w:r w:rsidRPr="00EA12F7">
              <w:rPr>
                <w:sz w:val="22"/>
                <w:szCs w:val="22"/>
              </w:rPr>
              <w:t xml:space="preserve"> de la Oficina de Radiocomunicaciones</w:t>
            </w:r>
            <w:r w:rsidR="007A3B68" w:rsidRPr="00EA12F7">
              <w:rPr>
                <w:sz w:val="22"/>
                <w:szCs w:val="22"/>
              </w:rPr>
              <w:t>;</w:t>
            </w:r>
          </w:p>
          <w:p w14:paraId="707D7091" w14:textId="56242371" w:rsidR="007A3B68" w:rsidRPr="00EA12F7" w:rsidRDefault="007A3B68" w:rsidP="007A3B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-</w:t>
            </w:r>
            <w:r w:rsidRPr="00EA12F7">
              <w:rPr>
                <w:sz w:val="22"/>
                <w:szCs w:val="22"/>
              </w:rPr>
              <w:tab/>
              <w:t>A las Oficinas Regionales de la UIT</w:t>
            </w:r>
          </w:p>
        </w:tc>
      </w:tr>
      <w:tr w:rsidR="001350B9" w:rsidRPr="00EA12F7" w14:paraId="272B08A3" w14:textId="77777777" w:rsidTr="00EA12F7">
        <w:trPr>
          <w:cantSplit/>
        </w:trPr>
        <w:tc>
          <w:tcPr>
            <w:tcW w:w="1056" w:type="dxa"/>
          </w:tcPr>
          <w:p w14:paraId="184AFCE4" w14:textId="77777777" w:rsidR="001350B9" w:rsidRPr="00EA12F7" w:rsidRDefault="001350B9" w:rsidP="00EA12F7">
            <w:pPr>
              <w:tabs>
                <w:tab w:val="left" w:pos="4111"/>
              </w:tabs>
              <w:spacing w:before="10"/>
              <w:ind w:left="90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Tel.:</w:t>
            </w:r>
          </w:p>
        </w:tc>
        <w:tc>
          <w:tcPr>
            <w:tcW w:w="3902" w:type="dxa"/>
            <w:gridSpan w:val="2"/>
          </w:tcPr>
          <w:p w14:paraId="0FD4722D" w14:textId="279C116B" w:rsidR="001350B9" w:rsidRPr="00EA12F7" w:rsidRDefault="001350B9" w:rsidP="007A3B68">
            <w:pPr>
              <w:tabs>
                <w:tab w:val="left" w:pos="4111"/>
              </w:tabs>
              <w:spacing w:before="0"/>
              <w:rPr>
                <w:rStyle w:val="Hyperlink"/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+41 22 730</w:t>
            </w:r>
            <w:r w:rsidR="00363551" w:rsidRPr="00EA12F7">
              <w:rPr>
                <w:sz w:val="22"/>
                <w:szCs w:val="22"/>
              </w:rPr>
              <w:t xml:space="preserve"> 6301</w:t>
            </w:r>
          </w:p>
        </w:tc>
        <w:tc>
          <w:tcPr>
            <w:tcW w:w="5331" w:type="dxa"/>
            <w:vMerge/>
          </w:tcPr>
          <w:p w14:paraId="642CD66D" w14:textId="77777777" w:rsidR="001350B9" w:rsidRPr="00EA12F7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EA12F7" w14:paraId="2BF99A28" w14:textId="77777777" w:rsidTr="00EA12F7">
        <w:trPr>
          <w:cantSplit/>
        </w:trPr>
        <w:tc>
          <w:tcPr>
            <w:tcW w:w="1056" w:type="dxa"/>
          </w:tcPr>
          <w:p w14:paraId="38F7246A" w14:textId="77777777" w:rsidR="001350B9" w:rsidRPr="00EA12F7" w:rsidRDefault="001350B9" w:rsidP="00EA12F7">
            <w:pPr>
              <w:tabs>
                <w:tab w:val="left" w:pos="4111"/>
              </w:tabs>
              <w:spacing w:before="10"/>
              <w:ind w:left="90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Fax:</w:t>
            </w:r>
          </w:p>
        </w:tc>
        <w:tc>
          <w:tcPr>
            <w:tcW w:w="3902" w:type="dxa"/>
            <w:gridSpan w:val="2"/>
          </w:tcPr>
          <w:p w14:paraId="7C3CD01E" w14:textId="77777777" w:rsidR="001350B9" w:rsidRPr="00EA12F7" w:rsidRDefault="001350B9" w:rsidP="007A3B68">
            <w:pPr>
              <w:tabs>
                <w:tab w:val="left" w:pos="4111"/>
              </w:tabs>
              <w:spacing w:before="0"/>
              <w:rPr>
                <w:rStyle w:val="Hyperlink"/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+41 22 730 5853</w:t>
            </w:r>
          </w:p>
        </w:tc>
        <w:tc>
          <w:tcPr>
            <w:tcW w:w="5331" w:type="dxa"/>
            <w:vMerge/>
          </w:tcPr>
          <w:p w14:paraId="44091864" w14:textId="77777777" w:rsidR="001350B9" w:rsidRPr="00EA12F7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EA12F7" w14:paraId="76AB47D7" w14:textId="77777777" w:rsidTr="00EA12F7">
        <w:trPr>
          <w:cantSplit/>
          <w:trHeight w:val="2232"/>
        </w:trPr>
        <w:tc>
          <w:tcPr>
            <w:tcW w:w="1056" w:type="dxa"/>
          </w:tcPr>
          <w:p w14:paraId="219BC49A" w14:textId="77777777" w:rsidR="001350B9" w:rsidRPr="00EA12F7" w:rsidRDefault="001350B9" w:rsidP="00EA12F7">
            <w:pPr>
              <w:tabs>
                <w:tab w:val="left" w:pos="4111"/>
              </w:tabs>
              <w:spacing w:before="10"/>
              <w:ind w:left="90"/>
              <w:rPr>
                <w:sz w:val="22"/>
                <w:szCs w:val="22"/>
              </w:rPr>
            </w:pPr>
            <w:r w:rsidRPr="00EA12F7">
              <w:rPr>
                <w:sz w:val="22"/>
                <w:szCs w:val="22"/>
              </w:rPr>
              <w:t>Correo-e:</w:t>
            </w:r>
          </w:p>
        </w:tc>
        <w:tc>
          <w:tcPr>
            <w:tcW w:w="3902" w:type="dxa"/>
            <w:gridSpan w:val="2"/>
          </w:tcPr>
          <w:p w14:paraId="6FD21A24" w14:textId="5F8B6E60" w:rsidR="001350B9" w:rsidRPr="00EA12F7" w:rsidRDefault="00363551" w:rsidP="007A3B6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9" w:history="1">
              <w:r w:rsidRPr="00EA12F7">
                <w:rPr>
                  <w:rStyle w:val="Hyperlink"/>
                  <w:sz w:val="22"/>
                  <w:szCs w:val="22"/>
                </w:rPr>
                <w:t>tsbsg20@itu.int</w:t>
              </w:r>
            </w:hyperlink>
            <w:r w:rsidRPr="00EA12F7">
              <w:rPr>
                <w:sz w:val="22"/>
                <w:szCs w:val="22"/>
              </w:rPr>
              <w:t xml:space="preserve"> </w:t>
            </w:r>
            <w:r w:rsidR="001350B9" w:rsidRPr="00EA12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1" w:type="dxa"/>
            <w:vMerge/>
          </w:tcPr>
          <w:p w14:paraId="6A41BAE1" w14:textId="77777777" w:rsidR="001350B9" w:rsidRPr="00EA12F7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EA12F7" w14:paraId="7BD2BB31" w14:textId="77777777" w:rsidTr="00EA12F7">
        <w:trPr>
          <w:cantSplit/>
        </w:trPr>
        <w:tc>
          <w:tcPr>
            <w:tcW w:w="1056" w:type="dxa"/>
          </w:tcPr>
          <w:p w14:paraId="5E80E8E6" w14:textId="77777777" w:rsidR="007B6316" w:rsidRPr="00EA12F7" w:rsidRDefault="007B6316" w:rsidP="00EA12F7">
            <w:pPr>
              <w:tabs>
                <w:tab w:val="left" w:pos="4111"/>
              </w:tabs>
              <w:spacing w:before="10"/>
              <w:ind w:left="90"/>
              <w:rPr>
                <w:sz w:val="22"/>
                <w:szCs w:val="22"/>
              </w:rPr>
            </w:pPr>
            <w:r w:rsidRPr="00EA12F7">
              <w:rPr>
                <w:b/>
                <w:bCs/>
                <w:sz w:val="22"/>
                <w:szCs w:val="22"/>
              </w:rPr>
              <w:t>Asunto</w:t>
            </w:r>
            <w:r w:rsidRPr="00EA12F7">
              <w:rPr>
                <w:sz w:val="22"/>
                <w:szCs w:val="22"/>
              </w:rPr>
              <w:t>:</w:t>
            </w:r>
          </w:p>
        </w:tc>
        <w:tc>
          <w:tcPr>
            <w:tcW w:w="9233" w:type="dxa"/>
            <w:gridSpan w:val="3"/>
          </w:tcPr>
          <w:p w14:paraId="1273B425" w14:textId="3C384810" w:rsidR="007B6316" w:rsidRPr="00EA12F7" w:rsidRDefault="007A3B6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EA12F7">
              <w:rPr>
                <w:b/>
                <w:sz w:val="22"/>
                <w:szCs w:val="22"/>
              </w:rPr>
              <w:t>Foro “Conectados mediante el diseño: construir infraestructura digital inclusiva para ciudades preparadas para el futuro”, Ginebra (Suiza), 15 de septiembre de 2025</w:t>
            </w:r>
          </w:p>
        </w:tc>
      </w:tr>
    </w:tbl>
    <w:p w14:paraId="5E643924" w14:textId="7C551EE3" w:rsidR="00C34772" w:rsidRPr="00EA12F7" w:rsidRDefault="00C34772" w:rsidP="00EA12F7">
      <w:pPr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A12F7">
        <w:rPr>
          <w:sz w:val="22"/>
          <w:szCs w:val="22"/>
        </w:rPr>
        <w:t>Muy Señora mía/Muy Señor mío</w:t>
      </w:r>
      <w:r w:rsidR="00EA12F7">
        <w:rPr>
          <w:sz w:val="22"/>
          <w:szCs w:val="22"/>
        </w:rPr>
        <w:t>,</w:t>
      </w:r>
    </w:p>
    <w:p w14:paraId="760C7845" w14:textId="532B61AE" w:rsidR="007A3B68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bCs/>
          <w:sz w:val="22"/>
          <w:szCs w:val="22"/>
        </w:rPr>
        <w:t>1</w:t>
      </w:r>
      <w:r w:rsidRPr="00EA12F7">
        <w:rPr>
          <w:rFonts w:cs="Calibri"/>
          <w:sz w:val="22"/>
          <w:szCs w:val="22"/>
        </w:rPr>
        <w:tab/>
      </w:r>
      <w:proofErr w:type="gramStart"/>
      <w:r w:rsidRPr="00EA12F7">
        <w:rPr>
          <w:rFonts w:cs="Calibri"/>
          <w:sz w:val="22"/>
          <w:szCs w:val="22"/>
        </w:rPr>
        <w:t>Me</w:t>
      </w:r>
      <w:proofErr w:type="gramEnd"/>
      <w:r w:rsidRPr="00EA12F7">
        <w:rPr>
          <w:rFonts w:cs="Calibri"/>
          <w:sz w:val="22"/>
          <w:szCs w:val="22"/>
        </w:rPr>
        <w:t xml:space="preserve"> complace informarle de que la Unión Internacional de Telecomunicaciones (UIT) está organizando el </w:t>
      </w:r>
      <w:r w:rsidRPr="00EA12F7">
        <w:rPr>
          <w:rFonts w:cs="Calibri"/>
          <w:b/>
          <w:bCs/>
          <w:sz w:val="22"/>
          <w:szCs w:val="22"/>
        </w:rPr>
        <w:t>Foro “Conectados mediante el diseño: construir infraestructura digital inclusiva para ciudades preparadas para el futuro”</w:t>
      </w:r>
      <w:r w:rsidRPr="00EA12F7">
        <w:rPr>
          <w:rFonts w:cs="Calibri"/>
          <w:sz w:val="22"/>
          <w:szCs w:val="22"/>
        </w:rPr>
        <w:t xml:space="preserve">, que tendrá lugar el </w:t>
      </w:r>
      <w:r w:rsidRPr="00EA12F7">
        <w:rPr>
          <w:rFonts w:cs="Calibri"/>
          <w:b/>
          <w:bCs/>
          <w:sz w:val="22"/>
          <w:szCs w:val="22"/>
        </w:rPr>
        <w:t>15 de septiembre de 2025</w:t>
      </w:r>
      <w:r w:rsidRPr="00EA12F7">
        <w:rPr>
          <w:rFonts w:cs="Calibri"/>
          <w:sz w:val="22"/>
          <w:szCs w:val="22"/>
        </w:rPr>
        <w:t xml:space="preserve">, de 9:30 a 12:30 horas CEST, en la </w:t>
      </w:r>
      <w:r w:rsidRPr="00EA12F7">
        <w:rPr>
          <w:rFonts w:cs="Calibri"/>
          <w:b/>
          <w:bCs/>
          <w:sz w:val="22"/>
          <w:szCs w:val="22"/>
        </w:rPr>
        <w:t>sede de la UIT en Ginebra (Suiza)</w:t>
      </w:r>
      <w:r w:rsidRPr="00EA12F7">
        <w:rPr>
          <w:rFonts w:cs="Calibri"/>
          <w:sz w:val="22"/>
          <w:szCs w:val="22"/>
        </w:rPr>
        <w:t>.</w:t>
      </w:r>
    </w:p>
    <w:p w14:paraId="576EEE5E" w14:textId="272686E4" w:rsidR="007A3B68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2</w:t>
      </w:r>
      <w:r w:rsidRPr="00EA12F7">
        <w:rPr>
          <w:rFonts w:cs="Calibri"/>
          <w:sz w:val="22"/>
          <w:szCs w:val="22"/>
        </w:rPr>
        <w:tab/>
      </w:r>
      <w:proofErr w:type="gramStart"/>
      <w:r w:rsidRPr="00EA12F7">
        <w:rPr>
          <w:rFonts w:cs="Calibri"/>
          <w:sz w:val="22"/>
          <w:szCs w:val="22"/>
        </w:rPr>
        <w:t>El</w:t>
      </w:r>
      <w:proofErr w:type="gramEnd"/>
      <w:r w:rsidRPr="00EA12F7">
        <w:rPr>
          <w:rFonts w:cs="Calibri"/>
          <w:sz w:val="22"/>
          <w:szCs w:val="22"/>
        </w:rPr>
        <w:t xml:space="preserve"> Foro se celebrará con ocasión de la reunión de la Comisión de Estudio 20 del UIT-T (</w:t>
      </w:r>
      <w:r w:rsidRPr="00EA12F7">
        <w:rPr>
          <w:rFonts w:cs="Calibri"/>
          <w:i/>
          <w:iCs/>
          <w:sz w:val="22"/>
          <w:szCs w:val="22"/>
        </w:rPr>
        <w:t>Internet de las cosas, gemelos digitales y ciudades y comunidades inteligentes y sostenibles</w:t>
      </w:r>
      <w:r w:rsidRPr="00EA12F7">
        <w:rPr>
          <w:rFonts w:cs="Calibri"/>
          <w:sz w:val="22"/>
          <w:szCs w:val="22"/>
        </w:rPr>
        <w:t>), que tendrá lugar del 15 al 25 de septiembre de 2025, y de la reunión de la Actividad Conjunta de Coordinación sobre Internet de las cosas, gemelos digitales y ciudades y comunidades inteligentes y sostenibles. (</w:t>
      </w:r>
      <w:hyperlink r:id="rId10" w:history="1">
        <w:r w:rsidRPr="00EA12F7">
          <w:rPr>
            <w:rStyle w:val="Hyperlink"/>
            <w:rFonts w:cs="Calibri"/>
            <w:sz w:val="22"/>
            <w:szCs w:val="22"/>
          </w:rPr>
          <w:t xml:space="preserve">JCA-IoT, </w:t>
        </w:r>
        <w:r w:rsidR="00802849" w:rsidRPr="00EA12F7">
          <w:rPr>
            <w:rStyle w:val="Hyperlink"/>
            <w:rFonts w:cs="Calibri"/>
            <w:sz w:val="22"/>
            <w:szCs w:val="22"/>
          </w:rPr>
          <w:t>G</w:t>
        </w:r>
        <w:r w:rsidRPr="00EA12F7">
          <w:rPr>
            <w:rStyle w:val="Hyperlink"/>
            <w:rFonts w:cs="Calibri"/>
            <w:sz w:val="22"/>
            <w:szCs w:val="22"/>
          </w:rPr>
          <w:t xml:space="preserve">D </w:t>
        </w:r>
        <w:r w:rsidR="00EF5BAC" w:rsidRPr="00EA12F7">
          <w:rPr>
            <w:rStyle w:val="Hyperlink"/>
            <w:rFonts w:cs="Calibri"/>
            <w:sz w:val="22"/>
            <w:szCs w:val="22"/>
          </w:rPr>
          <w:t>y</w:t>
        </w:r>
        <w:r w:rsidRPr="00EA12F7">
          <w:rPr>
            <w:rStyle w:val="Hyperlink"/>
            <w:rFonts w:cs="Calibri"/>
            <w:sz w:val="22"/>
            <w:szCs w:val="22"/>
          </w:rPr>
          <w:t xml:space="preserve"> </w:t>
        </w:r>
        <w:r w:rsidR="00802849" w:rsidRPr="00EA12F7">
          <w:rPr>
            <w:rStyle w:val="Hyperlink"/>
            <w:rFonts w:cs="Calibri"/>
            <w:sz w:val="22"/>
            <w:szCs w:val="22"/>
          </w:rPr>
          <w:t>C</w:t>
        </w:r>
        <w:r w:rsidR="0026278E" w:rsidRPr="00EA12F7">
          <w:rPr>
            <w:rStyle w:val="Hyperlink"/>
            <w:rFonts w:cs="Calibri"/>
            <w:sz w:val="22"/>
            <w:szCs w:val="22"/>
          </w:rPr>
          <w:t>+</w:t>
        </w:r>
        <w:r w:rsidR="00802849" w:rsidRPr="00EA12F7">
          <w:rPr>
            <w:rStyle w:val="Hyperlink"/>
            <w:rFonts w:cs="Calibri"/>
            <w:sz w:val="22"/>
            <w:szCs w:val="22"/>
          </w:rPr>
          <w:t>C</w:t>
        </w:r>
        <w:r w:rsidR="0026278E" w:rsidRPr="00EA12F7">
          <w:rPr>
            <w:rStyle w:val="Hyperlink"/>
            <w:rFonts w:cs="Calibri"/>
            <w:sz w:val="22"/>
            <w:szCs w:val="22"/>
          </w:rPr>
          <w:t>IS</w:t>
        </w:r>
      </w:hyperlink>
      <w:r w:rsidRPr="00EA12F7">
        <w:rPr>
          <w:rFonts w:cs="Calibri"/>
          <w:sz w:val="22"/>
          <w:szCs w:val="22"/>
        </w:rPr>
        <w:t xml:space="preserve">), </w:t>
      </w:r>
      <w:r w:rsidR="00EF5BAC" w:rsidRPr="00EA12F7">
        <w:rPr>
          <w:rFonts w:cs="Calibri"/>
          <w:sz w:val="22"/>
          <w:szCs w:val="22"/>
        </w:rPr>
        <w:t xml:space="preserve">que tendrá lugar el </w:t>
      </w:r>
      <w:r w:rsidRPr="00EA12F7">
        <w:rPr>
          <w:rFonts w:cs="Calibri"/>
          <w:sz w:val="22"/>
          <w:szCs w:val="22"/>
        </w:rPr>
        <w:t xml:space="preserve">26 </w:t>
      </w:r>
      <w:r w:rsidR="00EF5BAC" w:rsidRPr="00EA12F7">
        <w:rPr>
          <w:rFonts w:cs="Calibri"/>
          <w:sz w:val="22"/>
          <w:szCs w:val="22"/>
        </w:rPr>
        <w:t xml:space="preserve">de septiembre de </w:t>
      </w:r>
      <w:r w:rsidRPr="00EA12F7">
        <w:rPr>
          <w:rFonts w:cs="Calibri"/>
          <w:sz w:val="22"/>
          <w:szCs w:val="22"/>
        </w:rPr>
        <w:t xml:space="preserve">2025. </w:t>
      </w:r>
    </w:p>
    <w:p w14:paraId="55BB7D5D" w14:textId="6A9929D0" w:rsidR="007A3B68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3</w:t>
      </w:r>
      <w:r w:rsidRPr="00EA12F7">
        <w:rPr>
          <w:rFonts w:cs="Calibri"/>
          <w:sz w:val="22"/>
          <w:szCs w:val="22"/>
        </w:rPr>
        <w:tab/>
      </w:r>
      <w:proofErr w:type="gramStart"/>
      <w:r w:rsidR="00EF5BAC" w:rsidRPr="00EA12F7">
        <w:rPr>
          <w:rFonts w:cs="Calibri"/>
          <w:sz w:val="22"/>
          <w:szCs w:val="22"/>
        </w:rPr>
        <w:t>El</w:t>
      </w:r>
      <w:proofErr w:type="gramEnd"/>
      <w:r w:rsidR="00EF5BAC" w:rsidRPr="00EA12F7">
        <w:rPr>
          <w:rFonts w:cs="Calibri"/>
          <w:sz w:val="22"/>
          <w:szCs w:val="22"/>
        </w:rPr>
        <w:t xml:space="preserve"> Foro reunirá a líderes mundiales, urbanistas innovadores y visionarios del mundo digital en un evento de alto nivel para analizar cómo la infraestructura pública digital (IPD) puede transformar las ciudades y las comunidades en espacios más inclusivos, resilientes y centrados en los ciudadanos.</w:t>
      </w:r>
    </w:p>
    <w:p w14:paraId="444E72C3" w14:textId="1307B632" w:rsidR="00EF5BAC" w:rsidRPr="00EA12F7" w:rsidRDefault="00EF5BAC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 xml:space="preserve">Este evento se centrará en estrategias adaptables para la identificación digital interoperable, los sistemas de pagos, el intercambio de datos y la gobernanza urbana inteligente, que permitan integrar </w:t>
      </w:r>
      <w:r w:rsidR="00CD14BC" w:rsidRPr="00EA12F7">
        <w:rPr>
          <w:rFonts w:cs="Calibri"/>
          <w:sz w:val="22"/>
          <w:szCs w:val="22"/>
        </w:rPr>
        <w:t xml:space="preserve">la política, la innovación </w:t>
      </w:r>
      <w:r w:rsidRPr="00EA12F7">
        <w:rPr>
          <w:rFonts w:cs="Calibri"/>
          <w:sz w:val="22"/>
          <w:szCs w:val="22"/>
        </w:rPr>
        <w:t>tecnológic</w:t>
      </w:r>
      <w:r w:rsidR="00CD14BC" w:rsidRPr="00EA12F7">
        <w:rPr>
          <w:rFonts w:cs="Calibri"/>
          <w:sz w:val="22"/>
          <w:szCs w:val="22"/>
        </w:rPr>
        <w:t>a</w:t>
      </w:r>
      <w:r w:rsidRPr="00EA12F7">
        <w:rPr>
          <w:rFonts w:cs="Calibri"/>
          <w:sz w:val="22"/>
          <w:szCs w:val="22"/>
        </w:rPr>
        <w:t xml:space="preserve"> y </w:t>
      </w:r>
      <w:r w:rsidR="00CD14BC" w:rsidRPr="00EA12F7">
        <w:rPr>
          <w:rFonts w:cs="Calibri"/>
          <w:sz w:val="22"/>
          <w:szCs w:val="22"/>
        </w:rPr>
        <w:t xml:space="preserve">el impacto </w:t>
      </w:r>
      <w:r w:rsidRPr="00EA12F7">
        <w:rPr>
          <w:rFonts w:cs="Calibri"/>
          <w:sz w:val="22"/>
          <w:szCs w:val="22"/>
        </w:rPr>
        <w:t xml:space="preserve">social. </w:t>
      </w:r>
    </w:p>
    <w:p w14:paraId="6ED77767" w14:textId="03064CB6" w:rsidR="007A3B68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4</w:t>
      </w:r>
      <w:r w:rsidRPr="00EA12F7">
        <w:rPr>
          <w:rFonts w:cs="Calibri"/>
          <w:sz w:val="22"/>
          <w:szCs w:val="22"/>
        </w:rPr>
        <w:tab/>
      </w:r>
      <w:proofErr w:type="gramStart"/>
      <w:r w:rsidR="00CD14BC" w:rsidRPr="00EA12F7">
        <w:rPr>
          <w:rFonts w:cs="Calibri"/>
          <w:sz w:val="22"/>
          <w:szCs w:val="22"/>
        </w:rPr>
        <w:t>El</w:t>
      </w:r>
      <w:proofErr w:type="gramEnd"/>
      <w:r w:rsidR="00CD14BC" w:rsidRPr="00EA12F7">
        <w:rPr>
          <w:rFonts w:cs="Calibri"/>
          <w:sz w:val="22"/>
          <w:szCs w:val="22"/>
        </w:rPr>
        <w:t xml:space="preserve"> Foro se celebrará en inglés y existirá la posibilidad de participar a distancia</w:t>
      </w:r>
      <w:r w:rsidRPr="00EA12F7">
        <w:rPr>
          <w:rFonts w:cs="Calibri"/>
          <w:sz w:val="22"/>
          <w:szCs w:val="22"/>
        </w:rPr>
        <w:t>.</w:t>
      </w:r>
    </w:p>
    <w:p w14:paraId="17AB6CE8" w14:textId="7C61164E" w:rsidR="00CD14BC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5</w:t>
      </w:r>
      <w:r w:rsidRPr="00EA12F7">
        <w:rPr>
          <w:rFonts w:cs="Calibri"/>
          <w:sz w:val="22"/>
          <w:szCs w:val="22"/>
        </w:rPr>
        <w:tab/>
      </w:r>
      <w:proofErr w:type="gramStart"/>
      <w:r w:rsidR="00CD14BC" w:rsidRPr="00EA12F7">
        <w:rPr>
          <w:rFonts w:cs="Calibri"/>
          <w:sz w:val="22"/>
          <w:szCs w:val="22"/>
        </w:rPr>
        <w:t>La</w:t>
      </w:r>
      <w:proofErr w:type="gramEnd"/>
      <w:r w:rsidR="00CD14BC" w:rsidRPr="00EA12F7">
        <w:rPr>
          <w:rFonts w:cs="Calibri"/>
          <w:sz w:val="22"/>
          <w:szCs w:val="22"/>
        </w:rPr>
        <w:t xml:space="preserve"> participación es gratuita y está abierta los Estados Miembros, Miembros de Sector, Asociados e Instituciones Académicas de la UIT, así como cualquier nacional de un Estado Miembro de la UIT que desee contribuir a los trabajos.</w:t>
      </w:r>
    </w:p>
    <w:p w14:paraId="0E81D861" w14:textId="79D52BA8" w:rsidR="007A3B68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6</w:t>
      </w:r>
      <w:r w:rsidRPr="00EA12F7">
        <w:rPr>
          <w:rFonts w:cs="Calibri"/>
          <w:sz w:val="22"/>
          <w:szCs w:val="22"/>
        </w:rPr>
        <w:tab/>
      </w:r>
      <w:proofErr w:type="gramStart"/>
      <w:r w:rsidR="00CD14BC" w:rsidRPr="00EA12F7">
        <w:rPr>
          <w:rFonts w:cs="Calibri"/>
          <w:sz w:val="22"/>
          <w:szCs w:val="22"/>
        </w:rPr>
        <w:t>Toda</w:t>
      </w:r>
      <w:proofErr w:type="gramEnd"/>
      <w:r w:rsidR="00CD14BC" w:rsidRPr="00EA12F7">
        <w:rPr>
          <w:rFonts w:cs="Calibri"/>
          <w:sz w:val="22"/>
          <w:szCs w:val="22"/>
        </w:rPr>
        <w:t xml:space="preserve"> la información pertinente relativa al evento (proyecto de programa, ponentes, enlace de inscripción y detalles sobre la conexión a distancia) estará disponible en la siguiente página web</w:t>
      </w:r>
      <w:r w:rsidRPr="00EA12F7">
        <w:rPr>
          <w:rFonts w:cs="Calibri"/>
          <w:sz w:val="22"/>
          <w:szCs w:val="22"/>
        </w:rPr>
        <w:t xml:space="preserve">: </w:t>
      </w:r>
      <w:hyperlink r:id="rId11" w:history="1">
        <w:r w:rsidRPr="00EA12F7">
          <w:rPr>
            <w:rStyle w:val="Hyperlink"/>
            <w:rFonts w:cs="Calibri"/>
            <w:sz w:val="22"/>
            <w:szCs w:val="22"/>
          </w:rPr>
          <w:t>https://www.itu.int/cities/building-inclusive-digital-infrastructure-for-cities/</w:t>
        </w:r>
      </w:hyperlink>
      <w:r w:rsidRPr="00EA12F7">
        <w:rPr>
          <w:rFonts w:cs="Calibri"/>
          <w:sz w:val="22"/>
          <w:szCs w:val="22"/>
        </w:rPr>
        <w:t>.</w:t>
      </w:r>
    </w:p>
    <w:p w14:paraId="2656B70A" w14:textId="0ED2A348" w:rsidR="007A3B68" w:rsidRPr="00EA12F7" w:rsidRDefault="00277C92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La página web del evento se irá actualizando a medida que se disponga de más información</w:t>
      </w:r>
      <w:r w:rsidR="007A3B68" w:rsidRPr="00EA12F7">
        <w:rPr>
          <w:rFonts w:cs="Calibri"/>
          <w:sz w:val="22"/>
          <w:szCs w:val="22"/>
        </w:rPr>
        <w:t xml:space="preserve">. </w:t>
      </w:r>
      <w:r w:rsidRPr="00EA12F7">
        <w:rPr>
          <w:rFonts w:cs="Calibri"/>
          <w:sz w:val="22"/>
          <w:szCs w:val="22"/>
        </w:rPr>
        <w:t>Se alienta a los participantes a consultar periódicamente la página oficial para mantenerse al corriente de las últimas novedades.</w:t>
      </w:r>
      <w:r w:rsidR="007A3B68" w:rsidRPr="00EA12F7">
        <w:rPr>
          <w:rFonts w:cs="Calibri"/>
          <w:sz w:val="22"/>
          <w:szCs w:val="22"/>
        </w:rPr>
        <w:t xml:space="preserve"> </w:t>
      </w:r>
    </w:p>
    <w:p w14:paraId="67B8BE24" w14:textId="2F07F98C" w:rsidR="007A3B68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lastRenderedPageBreak/>
        <w:t>7</w:t>
      </w:r>
      <w:r w:rsidRPr="00EA12F7">
        <w:rPr>
          <w:rFonts w:cs="Calibri"/>
          <w:sz w:val="22"/>
          <w:szCs w:val="22"/>
        </w:rPr>
        <w:tab/>
      </w:r>
      <w:proofErr w:type="gramStart"/>
      <w:r w:rsidR="00277C92" w:rsidRPr="00EA12F7">
        <w:rPr>
          <w:rFonts w:cs="Calibri"/>
          <w:sz w:val="22"/>
          <w:szCs w:val="22"/>
        </w:rPr>
        <w:t>Le</w:t>
      </w:r>
      <w:proofErr w:type="gramEnd"/>
      <w:r w:rsidR="00277C92" w:rsidRPr="00EA12F7">
        <w:rPr>
          <w:rFonts w:cs="Calibri"/>
          <w:sz w:val="22"/>
          <w:szCs w:val="22"/>
        </w:rPr>
        <w:t xml:space="preserve"> rogamos tenga presente que la inscripción es obligatoria y que podrá encontrar más información en este enlace</w:t>
      </w:r>
      <w:r w:rsidRPr="00EA12F7">
        <w:rPr>
          <w:rFonts w:cs="Calibri"/>
          <w:sz w:val="22"/>
          <w:szCs w:val="22"/>
        </w:rPr>
        <w:t xml:space="preserve">: </w:t>
      </w:r>
      <w:hyperlink r:id="rId12" w:history="1">
        <w:r w:rsidRPr="00EA12F7">
          <w:rPr>
            <w:rStyle w:val="Hyperlink"/>
            <w:rFonts w:cs="Calibri"/>
            <w:sz w:val="22"/>
            <w:szCs w:val="22"/>
          </w:rPr>
          <w:t>https://www.itu.int/cities/building-inclusive-digital-infrastructure-for-cities/</w:t>
        </w:r>
      </w:hyperlink>
      <w:r w:rsidRPr="00EA12F7">
        <w:rPr>
          <w:rFonts w:cs="Calibri"/>
          <w:sz w:val="22"/>
          <w:szCs w:val="22"/>
        </w:rPr>
        <w:t>.</w:t>
      </w:r>
    </w:p>
    <w:p w14:paraId="35635E2B" w14:textId="77DB6000" w:rsidR="007A3B68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8</w:t>
      </w:r>
      <w:r w:rsidRPr="00EA12F7">
        <w:rPr>
          <w:rFonts w:cs="Calibri"/>
          <w:sz w:val="22"/>
          <w:szCs w:val="22"/>
        </w:rPr>
        <w:tab/>
      </w:r>
      <w:proofErr w:type="gramStart"/>
      <w:r w:rsidR="00277C92" w:rsidRPr="00EA12F7">
        <w:rPr>
          <w:rFonts w:cs="Calibri"/>
          <w:b/>
          <w:bCs/>
          <w:sz w:val="22"/>
          <w:szCs w:val="22"/>
        </w:rPr>
        <w:t>Sírvase</w:t>
      </w:r>
      <w:proofErr w:type="gramEnd"/>
      <w:r w:rsidR="00277C92" w:rsidRPr="00EA12F7">
        <w:rPr>
          <w:rFonts w:cs="Calibri"/>
          <w:b/>
          <w:bCs/>
          <w:sz w:val="22"/>
          <w:szCs w:val="22"/>
        </w:rPr>
        <w:t xml:space="preserve"> tener en cuenta que las reuniones de la Comisión de Estudio 20 del UIT-T y de </w:t>
      </w:r>
      <w:r w:rsidR="00421906" w:rsidRPr="00EA12F7">
        <w:rPr>
          <w:rFonts w:cs="Calibri"/>
          <w:b/>
          <w:bCs/>
          <w:sz w:val="22"/>
          <w:szCs w:val="22"/>
        </w:rPr>
        <w:t xml:space="preserve">la </w:t>
      </w:r>
      <w:r w:rsidR="00277C92" w:rsidRPr="00EA12F7">
        <w:rPr>
          <w:rFonts w:cs="Calibri"/>
          <w:b/>
          <w:bCs/>
          <w:sz w:val="22"/>
          <w:szCs w:val="22"/>
        </w:rPr>
        <w:t xml:space="preserve">JCA-IoT, </w:t>
      </w:r>
      <w:r w:rsidR="0058247B" w:rsidRPr="00EA12F7">
        <w:rPr>
          <w:rFonts w:cs="Calibri"/>
          <w:b/>
          <w:bCs/>
          <w:sz w:val="22"/>
          <w:szCs w:val="22"/>
        </w:rPr>
        <w:t>G</w:t>
      </w:r>
      <w:r w:rsidR="00277C92" w:rsidRPr="00EA12F7">
        <w:rPr>
          <w:rFonts w:cs="Calibri"/>
          <w:b/>
          <w:bCs/>
          <w:sz w:val="22"/>
          <w:szCs w:val="22"/>
        </w:rPr>
        <w:t xml:space="preserve">D y </w:t>
      </w:r>
      <w:r w:rsidR="0058247B" w:rsidRPr="00EA12F7">
        <w:rPr>
          <w:rFonts w:cs="Calibri"/>
          <w:b/>
          <w:bCs/>
          <w:sz w:val="22"/>
          <w:szCs w:val="22"/>
        </w:rPr>
        <w:t>C+CIS</w:t>
      </w:r>
      <w:r w:rsidR="00277C92" w:rsidRPr="00EA12F7">
        <w:rPr>
          <w:rFonts w:cs="Calibri"/>
          <w:b/>
          <w:bCs/>
          <w:sz w:val="22"/>
          <w:szCs w:val="22"/>
        </w:rPr>
        <w:t xml:space="preserve"> está</w:t>
      </w:r>
      <w:r w:rsidR="00421906" w:rsidRPr="00EA12F7">
        <w:rPr>
          <w:rFonts w:cs="Calibri"/>
          <w:b/>
          <w:bCs/>
          <w:sz w:val="22"/>
          <w:szCs w:val="22"/>
        </w:rPr>
        <w:t>n</w:t>
      </w:r>
      <w:r w:rsidR="00277C92" w:rsidRPr="00EA12F7">
        <w:rPr>
          <w:rFonts w:cs="Calibri"/>
          <w:b/>
          <w:bCs/>
          <w:sz w:val="22"/>
          <w:szCs w:val="22"/>
        </w:rPr>
        <w:t xml:space="preserve"> sujeta</w:t>
      </w:r>
      <w:r w:rsidR="00421906" w:rsidRPr="00EA12F7">
        <w:rPr>
          <w:rFonts w:cs="Calibri"/>
          <w:b/>
          <w:bCs/>
          <w:sz w:val="22"/>
          <w:szCs w:val="22"/>
        </w:rPr>
        <w:t>s</w:t>
      </w:r>
      <w:r w:rsidR="00277C92" w:rsidRPr="00EA12F7">
        <w:rPr>
          <w:rFonts w:cs="Calibri"/>
          <w:b/>
          <w:bCs/>
          <w:sz w:val="22"/>
          <w:szCs w:val="22"/>
        </w:rPr>
        <w:t xml:space="preserve"> a </w:t>
      </w:r>
      <w:r w:rsidR="00421906" w:rsidRPr="00EA12F7">
        <w:rPr>
          <w:rFonts w:cs="Calibri"/>
          <w:b/>
          <w:bCs/>
          <w:sz w:val="22"/>
          <w:szCs w:val="22"/>
        </w:rPr>
        <w:t xml:space="preserve">diferentes </w:t>
      </w:r>
      <w:r w:rsidR="00277C92" w:rsidRPr="00EA12F7">
        <w:rPr>
          <w:rFonts w:cs="Calibri"/>
          <w:b/>
          <w:bCs/>
          <w:sz w:val="22"/>
          <w:szCs w:val="22"/>
        </w:rPr>
        <w:t xml:space="preserve">condiciones </w:t>
      </w:r>
      <w:r w:rsidR="00421906" w:rsidRPr="00EA12F7">
        <w:rPr>
          <w:rFonts w:cs="Calibri"/>
          <w:b/>
          <w:bCs/>
          <w:sz w:val="22"/>
          <w:szCs w:val="22"/>
        </w:rPr>
        <w:t>de participación</w:t>
      </w:r>
      <w:r w:rsidR="00277C92" w:rsidRPr="00EA12F7">
        <w:rPr>
          <w:rFonts w:cs="Calibri"/>
          <w:b/>
          <w:bCs/>
          <w:sz w:val="22"/>
          <w:szCs w:val="22"/>
        </w:rPr>
        <w:t xml:space="preserve">. </w:t>
      </w:r>
      <w:r w:rsidR="00277C92" w:rsidRPr="00EA12F7">
        <w:rPr>
          <w:rFonts w:cs="Calibri"/>
          <w:sz w:val="22"/>
          <w:szCs w:val="22"/>
        </w:rPr>
        <w:t>Para obtener información e inscribirse en estas reuniones, consulte los sitios web correspondientes:</w:t>
      </w:r>
      <w:r w:rsidRPr="00EA12F7">
        <w:rPr>
          <w:rFonts w:cs="Calibri"/>
          <w:sz w:val="22"/>
          <w:szCs w:val="22"/>
        </w:rPr>
        <w:t xml:space="preserve"> </w:t>
      </w:r>
      <w:hyperlink r:id="rId13" w:history="1">
        <w:r w:rsidR="00277C92" w:rsidRPr="00EA12F7">
          <w:rPr>
            <w:rStyle w:val="Hyperlink"/>
            <w:rFonts w:cs="Calibri"/>
            <w:sz w:val="22"/>
            <w:szCs w:val="22"/>
          </w:rPr>
          <w:t>Comisión de Estudio 20 del UIT-T</w:t>
        </w:r>
      </w:hyperlink>
      <w:r w:rsidRPr="00EA12F7">
        <w:rPr>
          <w:rFonts w:cs="Calibri"/>
          <w:sz w:val="22"/>
          <w:szCs w:val="22"/>
        </w:rPr>
        <w:t xml:space="preserve"> </w:t>
      </w:r>
      <w:r w:rsidR="00326AC4" w:rsidRPr="00EA12F7">
        <w:rPr>
          <w:rFonts w:cs="Calibri"/>
          <w:sz w:val="22"/>
          <w:szCs w:val="22"/>
        </w:rPr>
        <w:t>y</w:t>
      </w:r>
      <w:r w:rsidRPr="00EA12F7">
        <w:rPr>
          <w:rFonts w:cs="Calibri"/>
          <w:sz w:val="22"/>
          <w:szCs w:val="22"/>
        </w:rPr>
        <w:t xml:space="preserve"> </w:t>
      </w:r>
      <w:hyperlink r:id="rId14" w:history="1">
        <w:r w:rsidRPr="00EA12F7">
          <w:rPr>
            <w:rStyle w:val="Hyperlink"/>
            <w:rFonts w:cs="Calibri"/>
            <w:sz w:val="22"/>
            <w:szCs w:val="22"/>
          </w:rPr>
          <w:t xml:space="preserve">JCA-IoT, </w:t>
        </w:r>
        <w:r w:rsidR="0026278E" w:rsidRPr="00EA12F7">
          <w:rPr>
            <w:rStyle w:val="Hyperlink"/>
            <w:rFonts w:cs="Calibri"/>
            <w:sz w:val="22"/>
            <w:szCs w:val="22"/>
          </w:rPr>
          <w:t>G</w:t>
        </w:r>
        <w:r w:rsidRPr="00EA12F7">
          <w:rPr>
            <w:rStyle w:val="Hyperlink"/>
            <w:rFonts w:cs="Calibri"/>
            <w:sz w:val="22"/>
            <w:szCs w:val="22"/>
          </w:rPr>
          <w:t xml:space="preserve">D </w:t>
        </w:r>
        <w:r w:rsidR="0026278E" w:rsidRPr="00EA12F7">
          <w:rPr>
            <w:rStyle w:val="Hyperlink"/>
            <w:rFonts w:cs="Calibri"/>
            <w:sz w:val="22"/>
            <w:szCs w:val="22"/>
          </w:rPr>
          <w:t>y</w:t>
        </w:r>
        <w:r w:rsidRPr="00EA12F7">
          <w:rPr>
            <w:rStyle w:val="Hyperlink"/>
            <w:rFonts w:cs="Calibri"/>
            <w:sz w:val="22"/>
            <w:szCs w:val="22"/>
          </w:rPr>
          <w:t xml:space="preserve"> </w:t>
        </w:r>
        <w:r w:rsidR="0026278E" w:rsidRPr="00EA12F7">
          <w:rPr>
            <w:rStyle w:val="Hyperlink"/>
            <w:rFonts w:cs="Calibri"/>
            <w:sz w:val="22"/>
            <w:szCs w:val="22"/>
          </w:rPr>
          <w:t>C+CIS</w:t>
        </w:r>
      </w:hyperlink>
      <w:r w:rsidRPr="00EA12F7">
        <w:rPr>
          <w:rFonts w:cs="Calibri"/>
          <w:sz w:val="22"/>
          <w:szCs w:val="22"/>
        </w:rPr>
        <w:t xml:space="preserve">. </w:t>
      </w:r>
    </w:p>
    <w:p w14:paraId="40207176" w14:textId="4C20CCDB" w:rsidR="007A3B68" w:rsidRPr="00EA12F7" w:rsidRDefault="007A3B68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9</w:t>
      </w:r>
      <w:r w:rsidRPr="00EA12F7">
        <w:rPr>
          <w:rFonts w:cs="Calibri"/>
          <w:sz w:val="22"/>
          <w:szCs w:val="22"/>
        </w:rPr>
        <w:tab/>
      </w:r>
      <w:proofErr w:type="gramStart"/>
      <w:r w:rsidR="00277C92" w:rsidRPr="00EA12F7">
        <w:rPr>
          <w:rFonts w:cs="Calibri"/>
          <w:sz w:val="22"/>
          <w:szCs w:val="22"/>
        </w:rPr>
        <w:t>Recuerde</w:t>
      </w:r>
      <w:proofErr w:type="gramEnd"/>
      <w:r w:rsidR="00277C92" w:rsidRPr="00EA12F7">
        <w:rPr>
          <w:rFonts w:cs="Calibri"/>
          <w:sz w:val="22"/>
          <w:szCs w:val="22"/>
        </w:rPr>
        <w:t xml:space="preserve"> que los ciudadanos de algunos países necesitan obtener un visado para entrar y permanecer en Suiza</w:t>
      </w:r>
      <w:r w:rsidRPr="00EA12F7">
        <w:rPr>
          <w:rFonts w:cs="Calibri"/>
          <w:sz w:val="22"/>
          <w:szCs w:val="22"/>
        </w:rPr>
        <w:t xml:space="preserve">. </w:t>
      </w:r>
      <w:r w:rsidR="00277C92" w:rsidRPr="00EA12F7">
        <w:rPr>
          <w:rFonts w:cs="Calibri"/>
          <w:sz w:val="22"/>
          <w:szCs w:val="22"/>
        </w:rPr>
        <w:t>El visado debe solicitarse y obtenerse en la oficina (embajada o consulado) que representa a Suiza en su país o, en su defecto, en la más próxima a su país de partida</w:t>
      </w:r>
      <w:r w:rsidRPr="00EA12F7">
        <w:rPr>
          <w:rFonts w:cs="Calibri"/>
          <w:sz w:val="22"/>
          <w:szCs w:val="22"/>
        </w:rPr>
        <w:t xml:space="preserve">. </w:t>
      </w:r>
      <w:r w:rsidR="00277C92" w:rsidRPr="00EA12F7">
        <w:rPr>
          <w:rFonts w:cs="Calibri"/>
          <w:sz w:val="22"/>
          <w:szCs w:val="22"/>
        </w:rPr>
        <w:t>La tramitación y aprobación de visados puede llevar algún tiempo, por lo que se recomienda consultar directamente con la representación competente y presentar la solicitud con suficiente antelación.</w:t>
      </w:r>
    </w:p>
    <w:p w14:paraId="37AD8D8A" w14:textId="549732A6" w:rsidR="007A3B68" w:rsidRPr="00EA12F7" w:rsidRDefault="00277C92" w:rsidP="007A3B68">
      <w:pPr>
        <w:rPr>
          <w:rFonts w:cs="Calibri"/>
          <w:sz w:val="22"/>
          <w:szCs w:val="22"/>
        </w:rPr>
      </w:pPr>
      <w:r w:rsidRPr="00EA12F7">
        <w:rPr>
          <w:rFonts w:cs="Calibri"/>
          <w:sz w:val="22"/>
          <w:szCs w:val="22"/>
        </w:rPr>
        <w:t>En la sección "</w:t>
      </w:r>
      <w:r w:rsidRPr="00EA12F7">
        <w:rPr>
          <w:rFonts w:cs="Calibri"/>
          <w:b/>
          <w:bCs/>
          <w:sz w:val="22"/>
          <w:szCs w:val="22"/>
        </w:rPr>
        <w:t>Información práctica</w:t>
      </w:r>
      <w:r w:rsidRPr="00EA12F7">
        <w:rPr>
          <w:rFonts w:cs="Calibri"/>
          <w:sz w:val="22"/>
          <w:szCs w:val="22"/>
        </w:rPr>
        <w:t>" de la página web del evento encontrará información adicional sobre los requisitos para la obtención del visado, el alojamiento en hoteles, el transporte, etc.</w:t>
      </w:r>
    </w:p>
    <w:p w14:paraId="11D544E4" w14:textId="77777777" w:rsidR="007B6316" w:rsidRPr="00EA12F7" w:rsidRDefault="007B6316" w:rsidP="007B6316">
      <w:pPr>
        <w:rPr>
          <w:sz w:val="22"/>
          <w:szCs w:val="22"/>
        </w:rPr>
      </w:pPr>
      <w:r w:rsidRPr="00EA12F7">
        <w:rPr>
          <w:sz w:val="22"/>
          <w:szCs w:val="22"/>
        </w:rPr>
        <w:t>Atentamente,</w:t>
      </w:r>
    </w:p>
    <w:p w14:paraId="235FC1FB" w14:textId="22FA6840" w:rsidR="007B6316" w:rsidRPr="00EA12F7" w:rsidRDefault="00325ECC" w:rsidP="00EA12F7">
      <w:pPr>
        <w:spacing w:before="720"/>
        <w:rPr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335016F5" wp14:editId="7B7E2AB3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825500" cy="330200"/>
            <wp:effectExtent l="0" t="0" r="0" b="0"/>
            <wp:wrapNone/>
            <wp:docPr id="39779498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94985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EA12F7">
        <w:rPr>
          <w:rFonts w:cstheme="minorHAnsi"/>
          <w:sz w:val="22"/>
          <w:szCs w:val="22"/>
          <w:lang w:val="es-ES"/>
        </w:rPr>
        <w:t>Seizo Onoe</w:t>
      </w:r>
      <w:r w:rsidR="007B6316" w:rsidRPr="00EA12F7">
        <w:rPr>
          <w:sz w:val="22"/>
          <w:szCs w:val="22"/>
        </w:rPr>
        <w:br/>
      </w:r>
      <w:proofErr w:type="gramStart"/>
      <w:r w:rsidR="007B6316" w:rsidRPr="00EA12F7">
        <w:rPr>
          <w:sz w:val="22"/>
          <w:szCs w:val="22"/>
        </w:rPr>
        <w:t>Director</w:t>
      </w:r>
      <w:proofErr w:type="gramEnd"/>
      <w:r w:rsidR="007B6316" w:rsidRPr="00EA12F7">
        <w:rPr>
          <w:sz w:val="22"/>
          <w:szCs w:val="22"/>
        </w:rPr>
        <w:t xml:space="preserve"> de la Oficina de </w:t>
      </w:r>
      <w:r w:rsidR="007B6316" w:rsidRPr="00EA12F7">
        <w:rPr>
          <w:sz w:val="22"/>
          <w:szCs w:val="22"/>
        </w:rPr>
        <w:br/>
        <w:t>Normalización de las Telecomunicaciones</w:t>
      </w:r>
    </w:p>
    <w:p w14:paraId="2BA17095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CD64" w14:textId="77777777" w:rsidR="00025F23" w:rsidRDefault="00025F23">
      <w:r>
        <w:separator/>
      </w:r>
    </w:p>
  </w:endnote>
  <w:endnote w:type="continuationSeparator" w:id="0">
    <w:p w14:paraId="48B2C273" w14:textId="77777777" w:rsidR="00025F23" w:rsidRDefault="000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9011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57D0" w14:textId="77777777" w:rsidR="00025F23" w:rsidRDefault="00025F23">
      <w:r>
        <w:t>____________________</w:t>
      </w:r>
    </w:p>
  </w:footnote>
  <w:footnote w:type="continuationSeparator" w:id="0">
    <w:p w14:paraId="46E7E390" w14:textId="77777777" w:rsidR="00025F23" w:rsidRDefault="000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A70D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68"/>
    <w:rsid w:val="00002529"/>
    <w:rsid w:val="00025F23"/>
    <w:rsid w:val="00085662"/>
    <w:rsid w:val="00086DAC"/>
    <w:rsid w:val="000C382F"/>
    <w:rsid w:val="001173CC"/>
    <w:rsid w:val="001350B9"/>
    <w:rsid w:val="00136B3B"/>
    <w:rsid w:val="0014464D"/>
    <w:rsid w:val="001A54CC"/>
    <w:rsid w:val="001D77B0"/>
    <w:rsid w:val="00257FB4"/>
    <w:rsid w:val="0026278E"/>
    <w:rsid w:val="00277C92"/>
    <w:rsid w:val="002914FC"/>
    <w:rsid w:val="00296323"/>
    <w:rsid w:val="002E496E"/>
    <w:rsid w:val="00303D62"/>
    <w:rsid w:val="00325ECC"/>
    <w:rsid w:val="00326AC4"/>
    <w:rsid w:val="00335367"/>
    <w:rsid w:val="00363551"/>
    <w:rsid w:val="00370C2D"/>
    <w:rsid w:val="003D1E8D"/>
    <w:rsid w:val="003D673B"/>
    <w:rsid w:val="003F2855"/>
    <w:rsid w:val="00401C20"/>
    <w:rsid w:val="00421906"/>
    <w:rsid w:val="0043493E"/>
    <w:rsid w:val="004A7957"/>
    <w:rsid w:val="004C4144"/>
    <w:rsid w:val="004C623D"/>
    <w:rsid w:val="0055719E"/>
    <w:rsid w:val="0058247B"/>
    <w:rsid w:val="006969B4"/>
    <w:rsid w:val="006E3703"/>
    <w:rsid w:val="006E4F7B"/>
    <w:rsid w:val="00781E2A"/>
    <w:rsid w:val="007933A2"/>
    <w:rsid w:val="007A3B68"/>
    <w:rsid w:val="007B6316"/>
    <w:rsid w:val="007D21E7"/>
    <w:rsid w:val="00802849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D14BC"/>
    <w:rsid w:val="00D54642"/>
    <w:rsid w:val="00D834E7"/>
    <w:rsid w:val="00DD77C9"/>
    <w:rsid w:val="00DF3538"/>
    <w:rsid w:val="00E21A72"/>
    <w:rsid w:val="00E839B0"/>
    <w:rsid w:val="00E92C09"/>
    <w:rsid w:val="00EA12F7"/>
    <w:rsid w:val="00EF5BAC"/>
    <w:rsid w:val="00F14380"/>
    <w:rsid w:val="00F56DFE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1FE07"/>
  <w15:docId w15:val="{DDCFA35C-26A3-E540-9720-3E30A2C6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cities/building-inclusive-digital-infrastructure-for-cit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cities/building-inclusive-digital-infrastructure-for-citi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jca/iot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jca/iot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4764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11</cp:revision>
  <cp:lastPrinted>2025-05-09T10:08:00Z</cp:lastPrinted>
  <dcterms:created xsi:type="dcterms:W3CDTF">2025-04-17T15:59:00Z</dcterms:created>
  <dcterms:modified xsi:type="dcterms:W3CDTF">2025-05-09T10:09:00Z</dcterms:modified>
</cp:coreProperties>
</file>