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341"/>
        <w:gridCol w:w="5109"/>
      </w:tblGrid>
      <w:tr w:rsidR="00EF6A23" w:rsidRPr="007776B9" w14:paraId="3FDAE1F3" w14:textId="77777777" w:rsidTr="003F083D">
        <w:trPr>
          <w:cantSplit/>
        </w:trPr>
        <w:tc>
          <w:tcPr>
            <w:tcW w:w="0" w:type="auto"/>
            <w:vAlign w:val="center"/>
          </w:tcPr>
          <w:p w14:paraId="3DE42CAA" w14:textId="77777777" w:rsidR="00EF6A23" w:rsidRPr="007776B9" w:rsidRDefault="00EF6A23" w:rsidP="00D14F31">
            <w:pPr>
              <w:tabs>
                <w:tab w:val="right" w:pos="8732"/>
              </w:tabs>
              <w:spacing w:before="0"/>
              <w:rPr>
                <w:b/>
                <w:bCs/>
                <w:iCs/>
                <w:color w:val="FFFFFF"/>
                <w:sz w:val="30"/>
                <w:szCs w:val="30"/>
              </w:rPr>
            </w:pPr>
            <w:r w:rsidRPr="007776B9">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7776B9" w:rsidRDefault="00EF6A23" w:rsidP="00EF6A23">
            <w:pPr>
              <w:spacing w:before="0"/>
              <w:rPr>
                <w:rFonts w:cs="Times New Roman Bold"/>
                <w:b/>
                <w:bCs/>
                <w:iCs/>
                <w:smallCaps/>
                <w:sz w:val="34"/>
                <w:szCs w:val="34"/>
              </w:rPr>
            </w:pPr>
            <w:r w:rsidRPr="007776B9">
              <w:rPr>
                <w:rFonts w:cs="Times New Roman Bold"/>
                <w:b/>
                <w:bCs/>
                <w:iCs/>
                <w:smallCaps/>
                <w:sz w:val="34"/>
                <w:szCs w:val="34"/>
              </w:rPr>
              <w:t>Union internationale des télécommunications</w:t>
            </w:r>
          </w:p>
          <w:p w14:paraId="089E66D0" w14:textId="77777777" w:rsidR="00EF6A23" w:rsidRPr="007776B9" w:rsidRDefault="00EF6A23" w:rsidP="00EF6A23">
            <w:pPr>
              <w:spacing w:before="0"/>
              <w:rPr>
                <w:color w:val="FFFFFF"/>
                <w:sz w:val="26"/>
                <w:szCs w:val="26"/>
              </w:rPr>
            </w:pPr>
            <w:r w:rsidRPr="007776B9">
              <w:rPr>
                <w:rFonts w:cs="Times New Roman Bold"/>
                <w:b/>
                <w:bCs/>
                <w:iCs/>
                <w:smallCaps/>
                <w:sz w:val="28"/>
                <w:szCs w:val="28"/>
              </w:rPr>
              <w:t>B</w:t>
            </w:r>
            <w:r w:rsidRPr="007776B9">
              <w:rPr>
                <w:b/>
                <w:bCs/>
                <w:iCs/>
                <w:smallCaps/>
                <w:sz w:val="28"/>
                <w:szCs w:val="28"/>
              </w:rPr>
              <w:t>ureau de la Normalisation des Télécommunications</w:t>
            </w:r>
          </w:p>
        </w:tc>
      </w:tr>
      <w:tr w:rsidR="00036F4F" w:rsidRPr="006E51BB" w14:paraId="18B25741" w14:textId="77777777" w:rsidTr="00307FB4">
        <w:trPr>
          <w:cantSplit/>
        </w:trPr>
        <w:tc>
          <w:tcPr>
            <w:tcW w:w="0" w:type="auto"/>
          </w:tcPr>
          <w:p w14:paraId="4B1AFD72" w14:textId="77777777" w:rsidR="00036F4F" w:rsidRPr="006E51BB" w:rsidRDefault="00036F4F" w:rsidP="00A5280F">
            <w:pPr>
              <w:tabs>
                <w:tab w:val="left" w:pos="4111"/>
              </w:tabs>
              <w:spacing w:before="10"/>
              <w:ind w:left="57"/>
              <w:rPr>
                <w:rFonts w:cstheme="minorHAnsi"/>
                <w:sz w:val="22"/>
                <w:szCs w:val="22"/>
              </w:rPr>
            </w:pPr>
          </w:p>
        </w:tc>
        <w:tc>
          <w:tcPr>
            <w:tcW w:w="3399" w:type="dxa"/>
          </w:tcPr>
          <w:p w14:paraId="6579D3E8" w14:textId="77777777" w:rsidR="00036F4F" w:rsidRPr="006E51BB" w:rsidRDefault="00036F4F" w:rsidP="00A5280F">
            <w:pPr>
              <w:tabs>
                <w:tab w:val="left" w:pos="4111"/>
              </w:tabs>
              <w:spacing w:before="10"/>
              <w:ind w:left="57"/>
              <w:rPr>
                <w:rFonts w:cstheme="minorHAnsi"/>
                <w:b/>
                <w:sz w:val="22"/>
                <w:szCs w:val="22"/>
              </w:rPr>
            </w:pPr>
          </w:p>
        </w:tc>
        <w:tc>
          <w:tcPr>
            <w:tcW w:w="5051" w:type="dxa"/>
          </w:tcPr>
          <w:p w14:paraId="0DC34ECA" w14:textId="014EF327" w:rsidR="00036F4F" w:rsidRPr="006E51BB"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6E51BB">
              <w:rPr>
                <w:rFonts w:cstheme="minorHAnsi"/>
                <w:sz w:val="22"/>
                <w:szCs w:val="22"/>
              </w:rPr>
              <w:t>Genève, le</w:t>
            </w:r>
            <w:r w:rsidR="004419E9" w:rsidRPr="006E51BB">
              <w:rPr>
                <w:rFonts w:cstheme="minorHAnsi"/>
                <w:sz w:val="22"/>
                <w:szCs w:val="22"/>
              </w:rPr>
              <w:t xml:space="preserve"> </w:t>
            </w:r>
            <w:r w:rsidR="00AA2F44" w:rsidRPr="006E51BB">
              <w:rPr>
                <w:rFonts w:cstheme="minorHAnsi"/>
                <w:color w:val="000000"/>
                <w:sz w:val="22"/>
                <w:szCs w:val="22"/>
              </w:rPr>
              <w:t>17 avril 2025</w:t>
            </w:r>
          </w:p>
        </w:tc>
      </w:tr>
      <w:tr w:rsidR="00445B68" w:rsidRPr="006E51BB" w14:paraId="16CDDFEF" w14:textId="77777777" w:rsidTr="00307FB4">
        <w:trPr>
          <w:cantSplit/>
          <w:trHeight w:val="340"/>
        </w:trPr>
        <w:tc>
          <w:tcPr>
            <w:tcW w:w="0" w:type="auto"/>
          </w:tcPr>
          <w:p w14:paraId="3EFF375D" w14:textId="58556577" w:rsidR="00445B68" w:rsidRPr="006E51BB" w:rsidRDefault="00445B68" w:rsidP="00307FB4">
            <w:pPr>
              <w:tabs>
                <w:tab w:val="left" w:pos="4111"/>
              </w:tabs>
              <w:spacing w:before="10"/>
              <w:ind w:left="57"/>
              <w:rPr>
                <w:rFonts w:cstheme="minorHAnsi"/>
                <w:b/>
                <w:bCs/>
                <w:sz w:val="22"/>
                <w:szCs w:val="22"/>
              </w:rPr>
            </w:pPr>
            <w:proofErr w:type="gramStart"/>
            <w:r w:rsidRPr="006E51BB">
              <w:rPr>
                <w:rFonts w:cstheme="minorHAnsi"/>
                <w:b/>
                <w:bCs/>
                <w:sz w:val="22"/>
                <w:szCs w:val="22"/>
              </w:rPr>
              <w:t>Réf.:</w:t>
            </w:r>
            <w:proofErr w:type="gramEnd"/>
          </w:p>
        </w:tc>
        <w:tc>
          <w:tcPr>
            <w:tcW w:w="3399" w:type="dxa"/>
          </w:tcPr>
          <w:p w14:paraId="577F6DA2" w14:textId="2BAF3F46" w:rsidR="00445B68" w:rsidRPr="006E51BB" w:rsidRDefault="00445B68" w:rsidP="00307FB4">
            <w:pPr>
              <w:tabs>
                <w:tab w:val="left" w:pos="4111"/>
              </w:tabs>
              <w:spacing w:before="10"/>
              <w:ind w:left="57"/>
              <w:rPr>
                <w:rFonts w:cstheme="minorHAnsi"/>
                <w:b/>
                <w:sz w:val="22"/>
                <w:szCs w:val="22"/>
              </w:rPr>
            </w:pPr>
            <w:r w:rsidRPr="006E51BB">
              <w:rPr>
                <w:rFonts w:cstheme="minorHAnsi"/>
                <w:b/>
                <w:sz w:val="22"/>
                <w:szCs w:val="22"/>
              </w:rPr>
              <w:t xml:space="preserve">Circulaire TSB </w:t>
            </w:r>
            <w:r w:rsidR="00AA2F44" w:rsidRPr="006E51BB">
              <w:rPr>
                <w:rFonts w:cstheme="minorHAnsi"/>
                <w:b/>
                <w:sz w:val="22"/>
                <w:szCs w:val="22"/>
              </w:rPr>
              <w:t>46</w:t>
            </w:r>
          </w:p>
        </w:tc>
        <w:tc>
          <w:tcPr>
            <w:tcW w:w="5051" w:type="dxa"/>
            <w:vMerge w:val="restart"/>
          </w:tcPr>
          <w:p w14:paraId="35271D8E" w14:textId="25865E6A" w:rsidR="00307FB4" w:rsidRPr="006E51BB" w:rsidRDefault="00307FB4" w:rsidP="00307FB4">
            <w:pPr>
              <w:tabs>
                <w:tab w:val="left" w:pos="4111"/>
              </w:tabs>
              <w:spacing w:before="0"/>
              <w:ind w:left="426" w:hanging="426"/>
              <w:rPr>
                <w:rFonts w:cstheme="minorHAnsi"/>
                <w:sz w:val="22"/>
                <w:szCs w:val="22"/>
              </w:rPr>
            </w:pPr>
            <w:bookmarkStart w:id="0" w:name="Addressee_F"/>
            <w:bookmarkEnd w:id="0"/>
            <w:r w:rsidRPr="006E51BB">
              <w:rPr>
                <w:rFonts w:cstheme="minorHAnsi"/>
                <w:sz w:val="22"/>
                <w:szCs w:val="22"/>
              </w:rPr>
              <w:t>–</w:t>
            </w:r>
            <w:r w:rsidRPr="006E51BB">
              <w:rPr>
                <w:rFonts w:cstheme="minorHAnsi"/>
                <w:sz w:val="22"/>
                <w:szCs w:val="22"/>
              </w:rPr>
              <w:tab/>
            </w:r>
            <w:r w:rsidR="00AA2F44" w:rsidRPr="006E51BB">
              <w:rPr>
                <w:rFonts w:cstheme="minorHAnsi"/>
                <w:color w:val="000000"/>
                <w:sz w:val="22"/>
                <w:szCs w:val="22"/>
              </w:rPr>
              <w:t xml:space="preserve">Aux Administrations des États Membres de </w:t>
            </w:r>
            <w:proofErr w:type="gramStart"/>
            <w:r w:rsidR="00AA2F44" w:rsidRPr="006E51BB">
              <w:rPr>
                <w:rFonts w:cstheme="minorHAnsi"/>
                <w:color w:val="000000"/>
                <w:sz w:val="22"/>
                <w:szCs w:val="22"/>
              </w:rPr>
              <w:t>l'Union</w:t>
            </w:r>
            <w:r w:rsidRPr="006E51BB">
              <w:rPr>
                <w:rFonts w:cstheme="minorHAnsi"/>
                <w:sz w:val="22"/>
                <w:szCs w:val="22"/>
              </w:rPr>
              <w:t>;</w:t>
            </w:r>
            <w:proofErr w:type="gramEnd"/>
          </w:p>
          <w:p w14:paraId="324D84BF" w14:textId="71442E8D" w:rsidR="00AA2F44" w:rsidRPr="006E51BB" w:rsidRDefault="00AA2F44" w:rsidP="00307FB4">
            <w:pPr>
              <w:tabs>
                <w:tab w:val="left" w:pos="4111"/>
              </w:tabs>
              <w:spacing w:before="0"/>
              <w:ind w:left="426" w:hanging="426"/>
              <w:rPr>
                <w:rFonts w:cstheme="minorHAnsi"/>
                <w:sz w:val="22"/>
                <w:szCs w:val="22"/>
              </w:rPr>
            </w:pPr>
            <w:r w:rsidRPr="006E51BB">
              <w:rPr>
                <w:rFonts w:cstheme="minorHAnsi"/>
                <w:sz w:val="22"/>
                <w:szCs w:val="22"/>
              </w:rPr>
              <w:t>–</w:t>
            </w:r>
            <w:r w:rsidRPr="006E51BB">
              <w:rPr>
                <w:rFonts w:cstheme="minorHAnsi"/>
                <w:sz w:val="22"/>
                <w:szCs w:val="22"/>
              </w:rPr>
              <w:tab/>
            </w:r>
            <w:r w:rsidRPr="006E51BB">
              <w:rPr>
                <w:rFonts w:cstheme="minorHAnsi"/>
                <w:color w:val="000000"/>
                <w:sz w:val="22"/>
                <w:szCs w:val="22"/>
              </w:rPr>
              <w:t>À l'État de Palestine (Rés. 99 (Rév. Dubaï, 2018))</w:t>
            </w:r>
          </w:p>
          <w:p w14:paraId="38A5A6AE" w14:textId="69E9A7A9" w:rsidR="00307FB4" w:rsidRPr="006E51BB" w:rsidRDefault="00307FB4" w:rsidP="00307FB4">
            <w:pPr>
              <w:tabs>
                <w:tab w:val="left" w:pos="4111"/>
              </w:tabs>
              <w:spacing w:before="0"/>
              <w:ind w:left="426" w:hanging="426"/>
              <w:rPr>
                <w:rFonts w:cstheme="minorHAnsi"/>
                <w:sz w:val="22"/>
                <w:szCs w:val="22"/>
              </w:rPr>
            </w:pPr>
            <w:r w:rsidRPr="006E51BB">
              <w:rPr>
                <w:rFonts w:cstheme="minorHAnsi"/>
                <w:sz w:val="22"/>
                <w:szCs w:val="22"/>
              </w:rPr>
              <w:t>–</w:t>
            </w:r>
            <w:r w:rsidRPr="006E51BB">
              <w:rPr>
                <w:rFonts w:cstheme="minorHAnsi"/>
                <w:sz w:val="22"/>
                <w:szCs w:val="22"/>
              </w:rPr>
              <w:tab/>
            </w:r>
            <w:r w:rsidR="00AA2F44" w:rsidRPr="006E51BB">
              <w:rPr>
                <w:rFonts w:cstheme="minorHAnsi"/>
                <w:color w:val="000000"/>
                <w:sz w:val="22"/>
                <w:szCs w:val="22"/>
              </w:rPr>
              <w:t>Aux Membres du Secteur de l'UIT-</w:t>
            </w:r>
            <w:proofErr w:type="gramStart"/>
            <w:r w:rsidR="00AA2F44" w:rsidRPr="006E51BB">
              <w:rPr>
                <w:rFonts w:cstheme="minorHAnsi"/>
                <w:color w:val="000000"/>
                <w:sz w:val="22"/>
                <w:szCs w:val="22"/>
              </w:rPr>
              <w:t>T</w:t>
            </w:r>
            <w:r w:rsidRPr="006E51BB">
              <w:rPr>
                <w:rFonts w:cstheme="minorHAnsi"/>
                <w:sz w:val="22"/>
                <w:szCs w:val="22"/>
              </w:rPr>
              <w:t>;</w:t>
            </w:r>
            <w:proofErr w:type="gramEnd"/>
          </w:p>
          <w:p w14:paraId="45F82FBC" w14:textId="2B18FF44" w:rsidR="00307FB4" w:rsidRPr="006E51BB" w:rsidRDefault="00307FB4" w:rsidP="00307FB4">
            <w:pPr>
              <w:tabs>
                <w:tab w:val="left" w:pos="4111"/>
              </w:tabs>
              <w:spacing w:before="0"/>
              <w:ind w:left="426" w:hanging="426"/>
              <w:rPr>
                <w:rFonts w:cstheme="minorHAnsi"/>
                <w:sz w:val="22"/>
                <w:szCs w:val="22"/>
              </w:rPr>
            </w:pPr>
            <w:r w:rsidRPr="006E51BB">
              <w:rPr>
                <w:rFonts w:cstheme="minorHAnsi"/>
                <w:sz w:val="22"/>
                <w:szCs w:val="22"/>
              </w:rPr>
              <w:t>–</w:t>
            </w:r>
            <w:r w:rsidRPr="006E51BB">
              <w:rPr>
                <w:rFonts w:cstheme="minorHAnsi"/>
                <w:sz w:val="22"/>
                <w:szCs w:val="22"/>
              </w:rPr>
              <w:tab/>
            </w:r>
            <w:r w:rsidR="00AA2F44" w:rsidRPr="006E51BB">
              <w:rPr>
                <w:rFonts w:cstheme="minorHAnsi"/>
                <w:color w:val="000000"/>
                <w:sz w:val="22"/>
                <w:szCs w:val="22"/>
              </w:rPr>
              <w:t>Aux Associés de l'UIT-</w:t>
            </w:r>
            <w:proofErr w:type="gramStart"/>
            <w:r w:rsidR="00AA2F44" w:rsidRPr="006E51BB">
              <w:rPr>
                <w:rFonts w:cstheme="minorHAnsi"/>
                <w:color w:val="000000"/>
                <w:sz w:val="22"/>
                <w:szCs w:val="22"/>
              </w:rPr>
              <w:t>T</w:t>
            </w:r>
            <w:r w:rsidRPr="006E51BB">
              <w:rPr>
                <w:rFonts w:cstheme="minorHAnsi"/>
                <w:sz w:val="22"/>
                <w:szCs w:val="22"/>
              </w:rPr>
              <w:t>;</w:t>
            </w:r>
            <w:proofErr w:type="gramEnd"/>
          </w:p>
          <w:p w14:paraId="461460AE" w14:textId="36536691" w:rsidR="00445B68" w:rsidRPr="006E51BB" w:rsidRDefault="00307FB4" w:rsidP="00307FB4">
            <w:pPr>
              <w:tabs>
                <w:tab w:val="left" w:pos="4111"/>
              </w:tabs>
              <w:spacing w:before="0"/>
              <w:ind w:left="426" w:hanging="426"/>
              <w:rPr>
                <w:rFonts w:cstheme="minorHAnsi"/>
                <w:sz w:val="22"/>
                <w:szCs w:val="22"/>
              </w:rPr>
            </w:pPr>
            <w:r w:rsidRPr="006E51BB">
              <w:rPr>
                <w:rFonts w:cstheme="minorHAnsi"/>
                <w:sz w:val="22"/>
                <w:szCs w:val="22"/>
              </w:rPr>
              <w:t>–</w:t>
            </w:r>
            <w:r w:rsidRPr="006E51BB">
              <w:rPr>
                <w:rFonts w:cstheme="minorHAnsi"/>
                <w:sz w:val="22"/>
                <w:szCs w:val="22"/>
              </w:rPr>
              <w:tab/>
            </w:r>
            <w:r w:rsidR="00AA2F44" w:rsidRPr="006E51BB">
              <w:rPr>
                <w:rFonts w:cstheme="minorHAnsi"/>
                <w:color w:val="000000"/>
                <w:sz w:val="22"/>
                <w:szCs w:val="22"/>
              </w:rPr>
              <w:t>Aux établissements universitaires participant aux travaux de l'UIT</w:t>
            </w:r>
          </w:p>
        </w:tc>
      </w:tr>
      <w:tr w:rsidR="00AA2F44" w:rsidRPr="006E51BB" w14:paraId="06A3F0E7" w14:textId="77777777" w:rsidTr="00307FB4">
        <w:trPr>
          <w:cantSplit/>
          <w:trHeight w:val="340"/>
        </w:trPr>
        <w:tc>
          <w:tcPr>
            <w:tcW w:w="0" w:type="auto"/>
          </w:tcPr>
          <w:p w14:paraId="5CF43A7B" w14:textId="46647D2D" w:rsidR="00AA2F44" w:rsidRPr="006E51BB" w:rsidRDefault="00AA2F44" w:rsidP="00AA2F44">
            <w:pPr>
              <w:tabs>
                <w:tab w:val="left" w:pos="4111"/>
              </w:tabs>
              <w:spacing w:before="10"/>
              <w:ind w:left="57"/>
              <w:rPr>
                <w:rFonts w:cstheme="minorHAnsi"/>
                <w:b/>
                <w:bCs/>
                <w:sz w:val="22"/>
                <w:szCs w:val="22"/>
              </w:rPr>
            </w:pPr>
            <w:proofErr w:type="gramStart"/>
            <w:r w:rsidRPr="006E51BB">
              <w:rPr>
                <w:rFonts w:cstheme="minorHAnsi"/>
                <w:b/>
                <w:bCs/>
                <w:sz w:val="22"/>
                <w:szCs w:val="22"/>
              </w:rPr>
              <w:t>Tél.:</w:t>
            </w:r>
            <w:proofErr w:type="gramEnd"/>
          </w:p>
        </w:tc>
        <w:tc>
          <w:tcPr>
            <w:tcW w:w="3399" w:type="dxa"/>
          </w:tcPr>
          <w:p w14:paraId="2074781F" w14:textId="73831400" w:rsidR="00AA2F44" w:rsidRPr="006E51BB" w:rsidRDefault="00AA2F44" w:rsidP="00AA2F44">
            <w:pPr>
              <w:tabs>
                <w:tab w:val="left" w:pos="4111"/>
              </w:tabs>
              <w:spacing w:before="10"/>
              <w:ind w:left="57"/>
              <w:rPr>
                <w:rFonts w:cstheme="minorHAnsi"/>
                <w:b/>
                <w:sz w:val="22"/>
                <w:szCs w:val="22"/>
              </w:rPr>
            </w:pPr>
            <w:r w:rsidRPr="006E51BB">
              <w:rPr>
                <w:rFonts w:cstheme="minorHAnsi"/>
                <w:sz w:val="22"/>
                <w:szCs w:val="22"/>
              </w:rPr>
              <w:t>+41 22 730 6301</w:t>
            </w:r>
          </w:p>
        </w:tc>
        <w:tc>
          <w:tcPr>
            <w:tcW w:w="5051" w:type="dxa"/>
            <w:vMerge/>
          </w:tcPr>
          <w:p w14:paraId="2F310545" w14:textId="77777777" w:rsidR="00AA2F44" w:rsidRPr="006E51BB" w:rsidRDefault="00AA2F44" w:rsidP="00AA2F44">
            <w:pPr>
              <w:tabs>
                <w:tab w:val="clear" w:pos="794"/>
                <w:tab w:val="clear" w:pos="1191"/>
                <w:tab w:val="clear" w:pos="1588"/>
                <w:tab w:val="clear" w:pos="1985"/>
                <w:tab w:val="left" w:pos="284"/>
              </w:tabs>
              <w:spacing w:before="0"/>
              <w:ind w:left="284" w:hanging="227"/>
              <w:rPr>
                <w:rFonts w:cstheme="minorHAnsi"/>
                <w:sz w:val="22"/>
                <w:szCs w:val="22"/>
              </w:rPr>
            </w:pPr>
          </w:p>
        </w:tc>
      </w:tr>
      <w:tr w:rsidR="00AA2F44" w:rsidRPr="006E51BB" w14:paraId="724FD23E" w14:textId="77777777" w:rsidTr="00307FB4">
        <w:trPr>
          <w:cantSplit/>
        </w:trPr>
        <w:tc>
          <w:tcPr>
            <w:tcW w:w="0" w:type="auto"/>
          </w:tcPr>
          <w:p w14:paraId="73149CCD" w14:textId="147E2A5D" w:rsidR="00AA2F44" w:rsidRPr="006E51BB" w:rsidRDefault="00AA2F44" w:rsidP="00AA2F44">
            <w:pPr>
              <w:tabs>
                <w:tab w:val="left" w:pos="4111"/>
              </w:tabs>
              <w:spacing w:before="10"/>
              <w:ind w:left="57"/>
              <w:rPr>
                <w:rFonts w:cstheme="minorHAnsi"/>
                <w:b/>
                <w:bCs/>
                <w:sz w:val="22"/>
                <w:szCs w:val="22"/>
              </w:rPr>
            </w:pPr>
            <w:proofErr w:type="gramStart"/>
            <w:r w:rsidRPr="006E51BB">
              <w:rPr>
                <w:rFonts w:cstheme="minorHAnsi"/>
                <w:b/>
                <w:bCs/>
                <w:sz w:val="22"/>
                <w:szCs w:val="22"/>
              </w:rPr>
              <w:t>Télécopie:</w:t>
            </w:r>
            <w:proofErr w:type="gramEnd"/>
          </w:p>
        </w:tc>
        <w:tc>
          <w:tcPr>
            <w:tcW w:w="3399" w:type="dxa"/>
          </w:tcPr>
          <w:p w14:paraId="78D06186" w14:textId="489393AF" w:rsidR="00AA2F44" w:rsidRPr="006E51BB" w:rsidRDefault="00AA2F44" w:rsidP="00AA2F44">
            <w:pPr>
              <w:tabs>
                <w:tab w:val="left" w:pos="4111"/>
              </w:tabs>
              <w:spacing w:before="0"/>
              <w:ind w:left="57"/>
              <w:rPr>
                <w:rFonts w:cstheme="minorHAnsi"/>
                <w:sz w:val="22"/>
                <w:szCs w:val="22"/>
              </w:rPr>
            </w:pPr>
            <w:r w:rsidRPr="006E51BB">
              <w:rPr>
                <w:rFonts w:cstheme="minorHAnsi"/>
                <w:sz w:val="22"/>
                <w:szCs w:val="22"/>
              </w:rPr>
              <w:t>+41 22 730 5853</w:t>
            </w:r>
          </w:p>
        </w:tc>
        <w:tc>
          <w:tcPr>
            <w:tcW w:w="5051" w:type="dxa"/>
            <w:vMerge/>
          </w:tcPr>
          <w:p w14:paraId="6D3A5806" w14:textId="77777777" w:rsidR="00AA2F44" w:rsidRPr="006E51BB" w:rsidRDefault="00AA2F44" w:rsidP="00AA2F44">
            <w:pPr>
              <w:tabs>
                <w:tab w:val="left" w:pos="226"/>
                <w:tab w:val="left" w:pos="4111"/>
              </w:tabs>
              <w:spacing w:before="0"/>
              <w:ind w:left="226" w:hanging="226"/>
              <w:rPr>
                <w:rFonts w:cstheme="minorHAnsi"/>
                <w:b/>
                <w:sz w:val="22"/>
                <w:szCs w:val="22"/>
              </w:rPr>
            </w:pPr>
          </w:p>
        </w:tc>
      </w:tr>
      <w:tr w:rsidR="00AA2F44" w:rsidRPr="006E51BB" w14:paraId="030F9AE5" w14:textId="77777777" w:rsidTr="00E75269">
        <w:trPr>
          <w:cantSplit/>
          <w:trHeight w:val="586"/>
        </w:trPr>
        <w:tc>
          <w:tcPr>
            <w:tcW w:w="0" w:type="auto"/>
            <w:vMerge w:val="restart"/>
          </w:tcPr>
          <w:p w14:paraId="7B417C4C" w14:textId="729DBFED" w:rsidR="00AA2F44" w:rsidRPr="006E51BB" w:rsidRDefault="00AA2F44" w:rsidP="00AA2F44">
            <w:pPr>
              <w:tabs>
                <w:tab w:val="left" w:pos="4111"/>
              </w:tabs>
              <w:spacing w:before="10"/>
              <w:ind w:left="57"/>
              <w:rPr>
                <w:rFonts w:cstheme="minorHAnsi"/>
                <w:b/>
                <w:bCs/>
                <w:sz w:val="22"/>
                <w:szCs w:val="22"/>
              </w:rPr>
            </w:pPr>
            <w:proofErr w:type="gramStart"/>
            <w:r w:rsidRPr="006E51BB">
              <w:rPr>
                <w:rFonts w:cstheme="minorHAnsi"/>
                <w:b/>
                <w:bCs/>
                <w:sz w:val="22"/>
                <w:szCs w:val="22"/>
              </w:rPr>
              <w:t>Courriel:</w:t>
            </w:r>
            <w:proofErr w:type="gramEnd"/>
          </w:p>
        </w:tc>
        <w:tc>
          <w:tcPr>
            <w:tcW w:w="3399" w:type="dxa"/>
            <w:vMerge w:val="restart"/>
          </w:tcPr>
          <w:p w14:paraId="1A4A5F7B" w14:textId="75B1AB85" w:rsidR="00AA2F44" w:rsidRPr="006E51BB" w:rsidRDefault="00AA2F44" w:rsidP="00AA2F44">
            <w:pPr>
              <w:tabs>
                <w:tab w:val="left" w:pos="4111"/>
              </w:tabs>
              <w:spacing w:before="0"/>
              <w:ind w:left="57"/>
              <w:rPr>
                <w:rStyle w:val="Hyperlink"/>
                <w:rFonts w:cstheme="minorHAnsi"/>
                <w:sz w:val="22"/>
                <w:szCs w:val="22"/>
              </w:rPr>
            </w:pPr>
            <w:hyperlink r:id="rId9" w:history="1">
              <w:r w:rsidRPr="006E51BB">
                <w:rPr>
                  <w:rStyle w:val="Hyperlink"/>
                  <w:rFonts w:cstheme="minorHAnsi"/>
                  <w:sz w:val="22"/>
                  <w:szCs w:val="22"/>
                </w:rPr>
                <w:t>tsbsg20@itu.int</w:t>
              </w:r>
            </w:hyperlink>
          </w:p>
        </w:tc>
        <w:tc>
          <w:tcPr>
            <w:tcW w:w="5051" w:type="dxa"/>
            <w:vMerge/>
          </w:tcPr>
          <w:p w14:paraId="323DAC81" w14:textId="77777777" w:rsidR="00AA2F44" w:rsidRPr="006E51BB" w:rsidRDefault="00AA2F44" w:rsidP="00AA2F44">
            <w:pPr>
              <w:tabs>
                <w:tab w:val="left" w:pos="226"/>
                <w:tab w:val="left" w:pos="4111"/>
              </w:tabs>
              <w:spacing w:before="0"/>
              <w:ind w:left="226" w:hanging="226"/>
              <w:rPr>
                <w:rFonts w:cstheme="minorHAnsi"/>
                <w:b/>
                <w:sz w:val="22"/>
                <w:szCs w:val="22"/>
              </w:rPr>
            </w:pPr>
          </w:p>
        </w:tc>
      </w:tr>
      <w:tr w:rsidR="00AA2F44" w:rsidRPr="006E51BB" w14:paraId="640FB6B9" w14:textId="77777777" w:rsidTr="00307FB4">
        <w:trPr>
          <w:cantSplit/>
        </w:trPr>
        <w:tc>
          <w:tcPr>
            <w:tcW w:w="0" w:type="auto"/>
            <w:vMerge/>
          </w:tcPr>
          <w:p w14:paraId="15527369" w14:textId="3C1AFE62" w:rsidR="00AA2F44" w:rsidRPr="006E51BB" w:rsidRDefault="00AA2F44" w:rsidP="00AA2F44">
            <w:pPr>
              <w:tabs>
                <w:tab w:val="left" w:pos="4111"/>
              </w:tabs>
              <w:spacing w:before="10"/>
              <w:ind w:left="57"/>
              <w:rPr>
                <w:rFonts w:cstheme="minorHAnsi"/>
                <w:b/>
                <w:bCs/>
                <w:sz w:val="22"/>
                <w:szCs w:val="22"/>
              </w:rPr>
            </w:pPr>
          </w:p>
        </w:tc>
        <w:tc>
          <w:tcPr>
            <w:tcW w:w="3399" w:type="dxa"/>
            <w:vMerge/>
          </w:tcPr>
          <w:p w14:paraId="172249CE" w14:textId="5B2CFABE" w:rsidR="00AA2F44" w:rsidRPr="006E51BB" w:rsidRDefault="00AA2F44" w:rsidP="00AA2F44">
            <w:pPr>
              <w:tabs>
                <w:tab w:val="left" w:pos="4111"/>
              </w:tabs>
              <w:spacing w:before="0"/>
              <w:ind w:left="57"/>
              <w:rPr>
                <w:rFonts w:cstheme="minorHAnsi"/>
                <w:sz w:val="22"/>
                <w:szCs w:val="22"/>
              </w:rPr>
            </w:pPr>
          </w:p>
        </w:tc>
        <w:tc>
          <w:tcPr>
            <w:tcW w:w="5051" w:type="dxa"/>
          </w:tcPr>
          <w:p w14:paraId="55E5D357" w14:textId="77777777" w:rsidR="00AA2F44" w:rsidRPr="006E51BB" w:rsidRDefault="00AA2F44" w:rsidP="00AA2F44">
            <w:pPr>
              <w:tabs>
                <w:tab w:val="clear" w:pos="794"/>
                <w:tab w:val="left" w:pos="226"/>
                <w:tab w:val="left" w:pos="4111"/>
              </w:tabs>
              <w:spacing w:before="0"/>
              <w:ind w:left="226" w:hanging="226"/>
              <w:rPr>
                <w:rFonts w:cstheme="minorHAnsi"/>
                <w:b/>
                <w:bCs/>
                <w:sz w:val="22"/>
                <w:szCs w:val="22"/>
              </w:rPr>
            </w:pPr>
            <w:proofErr w:type="gramStart"/>
            <w:r w:rsidRPr="006E51BB">
              <w:rPr>
                <w:rFonts w:cstheme="minorHAnsi"/>
                <w:b/>
                <w:bCs/>
                <w:sz w:val="22"/>
                <w:szCs w:val="22"/>
              </w:rPr>
              <w:t>Copie:</w:t>
            </w:r>
            <w:proofErr w:type="gramEnd"/>
          </w:p>
          <w:p w14:paraId="6CE98CB1" w14:textId="180EF5F7" w:rsidR="00AA2F44" w:rsidRPr="006E51BB" w:rsidRDefault="00AA2F44" w:rsidP="00AA2F44">
            <w:pPr>
              <w:tabs>
                <w:tab w:val="clear" w:pos="794"/>
                <w:tab w:val="left" w:pos="4111"/>
              </w:tabs>
              <w:spacing w:before="0"/>
              <w:ind w:left="426" w:hanging="426"/>
              <w:rPr>
                <w:rFonts w:cstheme="minorHAnsi"/>
                <w:sz w:val="22"/>
                <w:szCs w:val="22"/>
              </w:rPr>
            </w:pPr>
            <w:r w:rsidRPr="006E51BB">
              <w:rPr>
                <w:rFonts w:cstheme="minorHAnsi"/>
                <w:sz w:val="22"/>
                <w:szCs w:val="22"/>
              </w:rPr>
              <w:t>–</w:t>
            </w:r>
            <w:r w:rsidRPr="006E51BB">
              <w:rPr>
                <w:rFonts w:cstheme="minorHAnsi"/>
                <w:sz w:val="22"/>
                <w:szCs w:val="22"/>
              </w:rPr>
              <w:tab/>
              <w:t xml:space="preserve">Aux Présidents et Vice-Présidents des commissions d'études </w:t>
            </w:r>
            <w:r w:rsidRPr="006E51BB">
              <w:rPr>
                <w:rFonts w:cstheme="minorHAnsi"/>
                <w:color w:val="000000"/>
                <w:sz w:val="22"/>
                <w:szCs w:val="22"/>
              </w:rPr>
              <w:t>de l'UIT-</w:t>
            </w:r>
            <w:proofErr w:type="gramStart"/>
            <w:r w:rsidRPr="006E51BB">
              <w:rPr>
                <w:rFonts w:cstheme="minorHAnsi"/>
                <w:color w:val="000000"/>
                <w:sz w:val="22"/>
                <w:szCs w:val="22"/>
              </w:rPr>
              <w:t>T</w:t>
            </w:r>
            <w:r w:rsidRPr="006E51BB">
              <w:rPr>
                <w:rFonts w:cstheme="minorHAnsi"/>
                <w:sz w:val="22"/>
                <w:szCs w:val="22"/>
              </w:rPr>
              <w:t>;</w:t>
            </w:r>
            <w:proofErr w:type="gramEnd"/>
          </w:p>
          <w:p w14:paraId="56C75C35" w14:textId="1A09D40C" w:rsidR="00AA2F44" w:rsidRPr="006E51BB" w:rsidRDefault="00AA2F44" w:rsidP="00AA2F44">
            <w:pPr>
              <w:tabs>
                <w:tab w:val="clear" w:pos="794"/>
                <w:tab w:val="left" w:pos="4111"/>
              </w:tabs>
              <w:spacing w:before="0"/>
              <w:ind w:left="426" w:hanging="426"/>
              <w:rPr>
                <w:rFonts w:cstheme="minorHAnsi"/>
                <w:sz w:val="22"/>
                <w:szCs w:val="22"/>
              </w:rPr>
            </w:pPr>
            <w:r w:rsidRPr="006E51BB">
              <w:rPr>
                <w:rFonts w:cstheme="minorHAnsi"/>
                <w:sz w:val="22"/>
                <w:szCs w:val="22"/>
              </w:rPr>
              <w:t>–</w:t>
            </w:r>
            <w:r w:rsidRPr="006E51BB">
              <w:rPr>
                <w:rFonts w:cstheme="minorHAnsi"/>
                <w:sz w:val="22"/>
                <w:szCs w:val="22"/>
              </w:rPr>
              <w:tab/>
              <w:t xml:space="preserve">Au Directeur du Bureau de développement des </w:t>
            </w:r>
            <w:proofErr w:type="gramStart"/>
            <w:r w:rsidRPr="006E51BB">
              <w:rPr>
                <w:rFonts w:cstheme="minorHAnsi"/>
                <w:sz w:val="22"/>
                <w:szCs w:val="22"/>
              </w:rPr>
              <w:t>télécommunications;</w:t>
            </w:r>
            <w:proofErr w:type="gramEnd"/>
          </w:p>
          <w:p w14:paraId="3A3118C9" w14:textId="77777777" w:rsidR="00AA2F44" w:rsidRPr="006E51BB" w:rsidRDefault="00AA2F44" w:rsidP="00AA2F44">
            <w:pPr>
              <w:tabs>
                <w:tab w:val="clear" w:pos="794"/>
                <w:tab w:val="left" w:pos="4111"/>
              </w:tabs>
              <w:spacing w:before="0"/>
              <w:ind w:left="426" w:hanging="426"/>
              <w:rPr>
                <w:rFonts w:cstheme="minorHAnsi"/>
                <w:sz w:val="22"/>
                <w:szCs w:val="22"/>
              </w:rPr>
            </w:pPr>
            <w:r w:rsidRPr="006E51BB">
              <w:rPr>
                <w:rFonts w:cstheme="minorHAnsi"/>
                <w:sz w:val="22"/>
                <w:szCs w:val="22"/>
              </w:rPr>
              <w:t>–</w:t>
            </w:r>
            <w:r w:rsidRPr="006E51BB">
              <w:rPr>
                <w:rFonts w:cstheme="minorHAnsi"/>
                <w:sz w:val="22"/>
                <w:szCs w:val="22"/>
              </w:rPr>
              <w:tab/>
              <w:t xml:space="preserve">Au Directeur du Bureau des </w:t>
            </w:r>
            <w:proofErr w:type="gramStart"/>
            <w:r w:rsidRPr="006E51BB">
              <w:rPr>
                <w:rFonts w:cstheme="minorHAnsi"/>
                <w:sz w:val="22"/>
                <w:szCs w:val="22"/>
              </w:rPr>
              <w:t>radiocommunications;</w:t>
            </w:r>
            <w:proofErr w:type="gramEnd"/>
          </w:p>
          <w:p w14:paraId="19762254" w14:textId="16B0EF11" w:rsidR="00AA2F44" w:rsidRPr="006E51BB" w:rsidRDefault="00AA2F44" w:rsidP="00AA2F44">
            <w:pPr>
              <w:tabs>
                <w:tab w:val="clear" w:pos="794"/>
                <w:tab w:val="left" w:pos="4111"/>
              </w:tabs>
              <w:spacing w:before="0"/>
              <w:ind w:left="426" w:hanging="426"/>
              <w:rPr>
                <w:rFonts w:cstheme="minorHAnsi"/>
                <w:sz w:val="22"/>
                <w:szCs w:val="22"/>
              </w:rPr>
            </w:pPr>
            <w:r w:rsidRPr="006E51BB">
              <w:rPr>
                <w:rFonts w:cstheme="minorHAnsi"/>
                <w:sz w:val="22"/>
                <w:szCs w:val="22"/>
              </w:rPr>
              <w:t>–</w:t>
            </w:r>
            <w:r w:rsidRPr="006E51BB">
              <w:rPr>
                <w:rFonts w:cstheme="minorHAnsi"/>
                <w:sz w:val="22"/>
                <w:szCs w:val="22"/>
              </w:rPr>
              <w:tab/>
            </w:r>
            <w:r w:rsidRPr="006E51BB">
              <w:rPr>
                <w:rFonts w:cstheme="minorHAnsi"/>
                <w:color w:val="000000"/>
                <w:sz w:val="22"/>
                <w:szCs w:val="22"/>
              </w:rPr>
              <w:t>Aux Bureaux régionaux de l'UIT</w:t>
            </w:r>
          </w:p>
        </w:tc>
      </w:tr>
      <w:tr w:rsidR="00AA2F44" w:rsidRPr="006E51BB" w14:paraId="5435C04A" w14:textId="77777777" w:rsidTr="00C41B89">
        <w:trPr>
          <w:cantSplit/>
          <w:trHeight w:val="397"/>
        </w:trPr>
        <w:tc>
          <w:tcPr>
            <w:tcW w:w="0" w:type="auto"/>
          </w:tcPr>
          <w:p w14:paraId="2A0B9B4F" w14:textId="77777777" w:rsidR="00AA2F44" w:rsidRPr="006E51BB" w:rsidRDefault="00AA2F44" w:rsidP="00AA2F44">
            <w:pPr>
              <w:tabs>
                <w:tab w:val="left" w:pos="4111"/>
              </w:tabs>
              <w:ind w:left="57"/>
              <w:rPr>
                <w:rFonts w:cstheme="minorHAnsi"/>
                <w:b/>
                <w:bCs/>
                <w:sz w:val="22"/>
                <w:szCs w:val="22"/>
              </w:rPr>
            </w:pPr>
            <w:proofErr w:type="gramStart"/>
            <w:r w:rsidRPr="006E51BB">
              <w:rPr>
                <w:rFonts w:cstheme="minorHAnsi"/>
                <w:b/>
                <w:bCs/>
                <w:sz w:val="22"/>
                <w:szCs w:val="22"/>
              </w:rPr>
              <w:t>Objet:</w:t>
            </w:r>
            <w:proofErr w:type="gramEnd"/>
          </w:p>
        </w:tc>
        <w:tc>
          <w:tcPr>
            <w:tcW w:w="0" w:type="auto"/>
            <w:gridSpan w:val="2"/>
          </w:tcPr>
          <w:p w14:paraId="1A51EE75" w14:textId="71B03A35" w:rsidR="00AA2F44" w:rsidRPr="006E51BB" w:rsidRDefault="00AA2F44" w:rsidP="00AA2F44">
            <w:pPr>
              <w:tabs>
                <w:tab w:val="left" w:pos="4111"/>
              </w:tabs>
              <w:spacing w:after="120"/>
              <w:ind w:left="57"/>
              <w:rPr>
                <w:rFonts w:cstheme="minorHAnsi"/>
                <w:b/>
                <w:bCs/>
                <w:sz w:val="22"/>
                <w:szCs w:val="22"/>
              </w:rPr>
            </w:pPr>
            <w:r w:rsidRPr="006E51BB">
              <w:rPr>
                <w:rFonts w:cstheme="minorHAnsi"/>
                <w:b/>
                <w:bCs/>
                <w:color w:val="000000"/>
                <w:sz w:val="22"/>
                <w:szCs w:val="22"/>
              </w:rPr>
              <w:t xml:space="preserve">Forum sur "La connectivité dès la </w:t>
            </w:r>
            <w:proofErr w:type="gramStart"/>
            <w:r w:rsidRPr="006E51BB">
              <w:rPr>
                <w:rFonts w:cstheme="minorHAnsi"/>
                <w:b/>
                <w:bCs/>
                <w:color w:val="000000"/>
                <w:sz w:val="22"/>
                <w:szCs w:val="22"/>
              </w:rPr>
              <w:t>conception:</w:t>
            </w:r>
            <w:proofErr w:type="gramEnd"/>
            <w:r w:rsidRPr="006E51BB">
              <w:rPr>
                <w:rFonts w:cstheme="minorHAnsi"/>
                <w:b/>
                <w:bCs/>
                <w:color w:val="000000"/>
                <w:sz w:val="22"/>
                <w:szCs w:val="22"/>
              </w:rPr>
              <w:t xml:space="preserve"> construire une infrastructure numérique inclusive pour des villes à l'épreuve du futur" (Genève (Suisse), 15 septembre 2025)</w:t>
            </w:r>
          </w:p>
        </w:tc>
      </w:tr>
    </w:tbl>
    <w:p w14:paraId="2D1EC328" w14:textId="77777777" w:rsidR="00517A03" w:rsidRPr="006E51BB" w:rsidRDefault="00517A03" w:rsidP="006E51BB">
      <w:pPr>
        <w:pStyle w:val="Normalaftertitle"/>
        <w:spacing w:before="120"/>
        <w:rPr>
          <w:rFonts w:cstheme="minorHAnsi"/>
          <w:sz w:val="22"/>
          <w:szCs w:val="22"/>
        </w:rPr>
      </w:pPr>
      <w:bookmarkStart w:id="1" w:name="StartTyping_F"/>
      <w:bookmarkEnd w:id="1"/>
      <w:r w:rsidRPr="006E51BB">
        <w:rPr>
          <w:rFonts w:cstheme="minorHAnsi"/>
          <w:sz w:val="22"/>
          <w:szCs w:val="22"/>
        </w:rPr>
        <w:t>Madame, Monsieur,</w:t>
      </w:r>
    </w:p>
    <w:p w14:paraId="30FB262B" w14:textId="7EB53518" w:rsidR="00AA2F44" w:rsidRPr="006E51BB" w:rsidRDefault="00AA2F44" w:rsidP="00AA2F44">
      <w:pPr>
        <w:rPr>
          <w:rFonts w:cstheme="minorHAnsi"/>
          <w:bCs/>
          <w:sz w:val="22"/>
          <w:szCs w:val="22"/>
        </w:rPr>
      </w:pPr>
      <w:r w:rsidRPr="006E51BB">
        <w:rPr>
          <w:rFonts w:cstheme="minorHAnsi"/>
          <w:bCs/>
          <w:sz w:val="22"/>
          <w:szCs w:val="22"/>
        </w:rPr>
        <w:t>1</w:t>
      </w:r>
      <w:r w:rsidRPr="006E51BB">
        <w:rPr>
          <w:rFonts w:cstheme="minorHAnsi"/>
          <w:bCs/>
          <w:sz w:val="22"/>
          <w:szCs w:val="22"/>
        </w:rPr>
        <w:tab/>
        <w:t xml:space="preserve">J'ai l'honneur de vous informer que l'Union internationale des télécommunications (UIT) organise un </w:t>
      </w:r>
      <w:r w:rsidRPr="006E51BB">
        <w:rPr>
          <w:rFonts w:cstheme="minorHAnsi"/>
          <w:b/>
          <w:bCs/>
          <w:sz w:val="22"/>
          <w:szCs w:val="22"/>
        </w:rPr>
        <w:t xml:space="preserve">Forum sur "La connectivité dès la </w:t>
      </w:r>
      <w:proofErr w:type="gramStart"/>
      <w:r w:rsidRPr="006E51BB">
        <w:rPr>
          <w:rFonts w:cstheme="minorHAnsi"/>
          <w:b/>
          <w:bCs/>
          <w:sz w:val="22"/>
          <w:szCs w:val="22"/>
        </w:rPr>
        <w:t>conception:</w:t>
      </w:r>
      <w:proofErr w:type="gramEnd"/>
      <w:r w:rsidRPr="006E51BB">
        <w:rPr>
          <w:rFonts w:cstheme="minorHAnsi"/>
          <w:b/>
          <w:bCs/>
          <w:sz w:val="22"/>
          <w:szCs w:val="22"/>
        </w:rPr>
        <w:t xml:space="preserve"> construire une infrastructure numérique inclusive pour des villes à l'épreuve du futur"</w:t>
      </w:r>
      <w:r w:rsidRPr="006E51BB">
        <w:rPr>
          <w:rFonts w:cstheme="minorHAnsi"/>
          <w:bCs/>
          <w:sz w:val="22"/>
          <w:szCs w:val="22"/>
        </w:rPr>
        <w:t xml:space="preserve">, qui aura lieu le </w:t>
      </w:r>
      <w:r w:rsidRPr="006E51BB">
        <w:rPr>
          <w:rFonts w:cstheme="minorHAnsi"/>
          <w:b/>
          <w:bCs/>
          <w:sz w:val="22"/>
          <w:szCs w:val="22"/>
        </w:rPr>
        <w:t xml:space="preserve">15 septembre 2025 </w:t>
      </w:r>
      <w:r w:rsidRPr="006E51BB">
        <w:rPr>
          <w:rFonts w:cstheme="minorHAnsi"/>
          <w:bCs/>
          <w:sz w:val="22"/>
          <w:szCs w:val="22"/>
        </w:rPr>
        <w:t>de 9</w:t>
      </w:r>
      <w:r w:rsidR="004D43D5" w:rsidRPr="006E51BB">
        <w:rPr>
          <w:rFonts w:cstheme="minorHAnsi"/>
          <w:bCs/>
          <w:sz w:val="22"/>
          <w:szCs w:val="22"/>
        </w:rPr>
        <w:t> </w:t>
      </w:r>
      <w:r w:rsidRPr="006E51BB">
        <w:rPr>
          <w:rFonts w:cstheme="minorHAnsi"/>
          <w:bCs/>
          <w:sz w:val="22"/>
          <w:szCs w:val="22"/>
        </w:rPr>
        <w:t xml:space="preserve">h 30 à 12 h 30 (CEST) au </w:t>
      </w:r>
      <w:r w:rsidRPr="006E51BB">
        <w:rPr>
          <w:rFonts w:cstheme="minorHAnsi"/>
          <w:b/>
          <w:bCs/>
          <w:sz w:val="22"/>
          <w:szCs w:val="22"/>
        </w:rPr>
        <w:t>siège de l'UIT à Genève (Suisse)</w:t>
      </w:r>
      <w:r w:rsidRPr="006E51BB">
        <w:rPr>
          <w:rFonts w:cstheme="minorHAnsi"/>
          <w:bCs/>
          <w:sz w:val="22"/>
          <w:szCs w:val="22"/>
        </w:rPr>
        <w:t>.</w:t>
      </w:r>
    </w:p>
    <w:p w14:paraId="2DF41FAE" w14:textId="77F60AB6" w:rsidR="00AA2F44" w:rsidRPr="006E51BB" w:rsidRDefault="00AA2F44" w:rsidP="00AA2F44">
      <w:pPr>
        <w:rPr>
          <w:rFonts w:cstheme="minorHAnsi"/>
          <w:bCs/>
          <w:sz w:val="22"/>
          <w:szCs w:val="22"/>
        </w:rPr>
      </w:pPr>
      <w:r w:rsidRPr="006E51BB">
        <w:rPr>
          <w:rFonts w:cstheme="minorHAnsi"/>
          <w:bCs/>
          <w:sz w:val="22"/>
          <w:szCs w:val="22"/>
        </w:rPr>
        <w:t>2</w:t>
      </w:r>
      <w:r w:rsidRPr="006E51BB">
        <w:rPr>
          <w:rFonts w:cstheme="minorHAnsi"/>
          <w:bCs/>
          <w:sz w:val="22"/>
          <w:szCs w:val="22"/>
        </w:rPr>
        <w:tab/>
        <w:t>Le Forum se tiendra en parallèle de la réunion de la Commission d</w:t>
      </w:r>
      <w:r w:rsidR="004D43D5" w:rsidRPr="006E51BB">
        <w:rPr>
          <w:rFonts w:cstheme="minorHAnsi"/>
          <w:bCs/>
          <w:sz w:val="22"/>
          <w:szCs w:val="22"/>
        </w:rPr>
        <w:t>'</w:t>
      </w:r>
      <w:r w:rsidRPr="006E51BB">
        <w:rPr>
          <w:rFonts w:cstheme="minorHAnsi"/>
          <w:bCs/>
          <w:sz w:val="22"/>
          <w:szCs w:val="22"/>
        </w:rPr>
        <w:t>études 20 de l</w:t>
      </w:r>
      <w:r w:rsidR="004D43D5" w:rsidRPr="006E51BB">
        <w:rPr>
          <w:rFonts w:cstheme="minorHAnsi"/>
          <w:bCs/>
          <w:sz w:val="22"/>
          <w:szCs w:val="22"/>
        </w:rPr>
        <w:t>'</w:t>
      </w:r>
      <w:r w:rsidRPr="006E51BB">
        <w:rPr>
          <w:rFonts w:cstheme="minorHAnsi"/>
          <w:bCs/>
          <w:sz w:val="22"/>
          <w:szCs w:val="22"/>
        </w:rPr>
        <w:t>UIT-T (</w:t>
      </w:r>
      <w:r w:rsidRPr="006E51BB">
        <w:rPr>
          <w:rFonts w:cstheme="minorHAnsi"/>
          <w:bCs/>
          <w:i/>
          <w:iCs/>
          <w:sz w:val="22"/>
          <w:szCs w:val="22"/>
        </w:rPr>
        <w:t>Internet des objets, jumeaux numériques et villes et communautés intelligentes et durables</w:t>
      </w:r>
      <w:r w:rsidRPr="006E51BB">
        <w:rPr>
          <w:rFonts w:cstheme="minorHAnsi"/>
          <w:bCs/>
          <w:sz w:val="22"/>
          <w:szCs w:val="22"/>
        </w:rPr>
        <w:t>), qui aura lieu du 15 au 25 septembre 2025, et de la réunion de l</w:t>
      </w:r>
      <w:r w:rsidR="004D43D5" w:rsidRPr="006E51BB">
        <w:rPr>
          <w:rFonts w:cstheme="minorHAnsi"/>
          <w:bCs/>
          <w:sz w:val="22"/>
          <w:szCs w:val="22"/>
        </w:rPr>
        <w:t>'</w:t>
      </w:r>
      <w:r w:rsidRPr="006E51BB">
        <w:rPr>
          <w:rFonts w:cstheme="minorHAnsi"/>
          <w:bCs/>
          <w:sz w:val="22"/>
          <w:szCs w:val="22"/>
        </w:rPr>
        <w:t>Activité conjointe de coordination sur l</w:t>
      </w:r>
      <w:r w:rsidR="004D43D5" w:rsidRPr="006E51BB">
        <w:rPr>
          <w:rFonts w:cstheme="minorHAnsi"/>
          <w:bCs/>
          <w:sz w:val="22"/>
          <w:szCs w:val="22"/>
        </w:rPr>
        <w:t>'</w:t>
      </w:r>
      <w:r w:rsidRPr="006E51BB">
        <w:rPr>
          <w:rFonts w:cstheme="minorHAnsi"/>
          <w:bCs/>
          <w:sz w:val="22"/>
          <w:szCs w:val="22"/>
        </w:rPr>
        <w:t>Internet des objets, les jumeaux numériques et les villes et communautés intelligentes et durables (</w:t>
      </w:r>
      <w:hyperlink r:id="rId10" w:anchor="/fr" w:history="1">
        <w:r w:rsidRPr="006E51BB">
          <w:rPr>
            <w:rStyle w:val="Hyperlink"/>
            <w:rFonts w:cstheme="minorHAnsi"/>
            <w:bCs/>
            <w:sz w:val="22"/>
            <w:szCs w:val="22"/>
          </w:rPr>
          <w:t>JCA-IoT, DT et SSC&amp;C</w:t>
        </w:r>
      </w:hyperlink>
      <w:r w:rsidRPr="006E51BB">
        <w:rPr>
          <w:rFonts w:cstheme="minorHAnsi"/>
          <w:bCs/>
          <w:sz w:val="22"/>
          <w:szCs w:val="22"/>
        </w:rPr>
        <w:t>), qui aura lieu le 26 septembre 2025.</w:t>
      </w:r>
    </w:p>
    <w:p w14:paraId="09702ACF" w14:textId="77777777" w:rsidR="00AA2F44" w:rsidRPr="006E51BB" w:rsidRDefault="00AA2F44" w:rsidP="00AA2F44">
      <w:pPr>
        <w:rPr>
          <w:rFonts w:cstheme="minorHAnsi"/>
          <w:bCs/>
          <w:sz w:val="22"/>
          <w:szCs w:val="22"/>
        </w:rPr>
      </w:pPr>
      <w:r w:rsidRPr="006E51BB">
        <w:rPr>
          <w:rFonts w:cstheme="minorHAnsi"/>
          <w:bCs/>
          <w:sz w:val="22"/>
          <w:szCs w:val="22"/>
        </w:rPr>
        <w:t>3</w:t>
      </w:r>
      <w:r w:rsidRPr="006E51BB">
        <w:rPr>
          <w:rFonts w:cstheme="minorHAnsi"/>
          <w:bCs/>
          <w:sz w:val="22"/>
          <w:szCs w:val="22"/>
        </w:rPr>
        <w:tab/>
        <w:t>Le Forum réunira des dirigeants, des innovateurs de l'aménagement urbain et des visionnaires du numérique dans le cadre d'une manifestation de haut niveau consacrée aux transformations que les infrastructures publiques numériques peuvent amener dans les villes et les communautés pour en faire des espaces plus inclusifs, résilients et centrés sur les citoyens.</w:t>
      </w:r>
    </w:p>
    <w:p w14:paraId="2F26FD73" w14:textId="5E9BB515" w:rsidR="00AA2F44" w:rsidRPr="006E51BB" w:rsidRDefault="00AA2F44" w:rsidP="00AA2F44">
      <w:pPr>
        <w:rPr>
          <w:rFonts w:cstheme="minorHAnsi"/>
          <w:bCs/>
          <w:sz w:val="22"/>
          <w:szCs w:val="22"/>
        </w:rPr>
      </w:pPr>
      <w:r w:rsidRPr="006E51BB">
        <w:rPr>
          <w:rFonts w:cstheme="minorHAnsi"/>
          <w:bCs/>
          <w:sz w:val="22"/>
          <w:szCs w:val="22"/>
        </w:rPr>
        <w:t>Cette manifestation sera l'occasion de mettre en lumière des approches modulables en matière d'identités numériques interopérables, de paiements, de partage des données et de gouvernance urbaine intelligente, et permettra de faire le lien entre les politiques, les technologies et les retombées sociales.</w:t>
      </w:r>
    </w:p>
    <w:p w14:paraId="05D5EBBD" w14:textId="77777777" w:rsidR="00AA2F44" w:rsidRPr="006E51BB" w:rsidRDefault="00AA2F44" w:rsidP="00AA2F44">
      <w:pPr>
        <w:rPr>
          <w:rFonts w:cstheme="minorHAnsi"/>
          <w:bCs/>
          <w:sz w:val="22"/>
          <w:szCs w:val="22"/>
        </w:rPr>
      </w:pPr>
      <w:r w:rsidRPr="006E51BB">
        <w:rPr>
          <w:rFonts w:cstheme="minorHAnsi"/>
          <w:bCs/>
          <w:sz w:val="22"/>
          <w:szCs w:val="22"/>
        </w:rPr>
        <w:t>4</w:t>
      </w:r>
      <w:r w:rsidRPr="006E51BB">
        <w:rPr>
          <w:rFonts w:cstheme="minorHAnsi"/>
          <w:bCs/>
          <w:sz w:val="22"/>
          <w:szCs w:val="22"/>
        </w:rPr>
        <w:tab/>
        <w:t>La réunion se déroulera en anglais uniquement et il sera possible d'y participer à distance.</w:t>
      </w:r>
    </w:p>
    <w:p w14:paraId="7AC165A8" w14:textId="15183214" w:rsidR="00AA2F44" w:rsidRPr="006E51BB" w:rsidRDefault="00AA2F44" w:rsidP="00AA2F44">
      <w:pPr>
        <w:rPr>
          <w:rFonts w:cstheme="minorHAnsi"/>
          <w:bCs/>
          <w:sz w:val="22"/>
          <w:szCs w:val="22"/>
        </w:rPr>
      </w:pPr>
      <w:r w:rsidRPr="006E51BB">
        <w:rPr>
          <w:rFonts w:cstheme="minorHAnsi"/>
          <w:bCs/>
          <w:sz w:val="22"/>
          <w:szCs w:val="22"/>
        </w:rPr>
        <w:t>5</w:t>
      </w:r>
      <w:r w:rsidRPr="006E51BB">
        <w:rPr>
          <w:rFonts w:cstheme="minorHAnsi"/>
          <w:bCs/>
          <w:sz w:val="22"/>
          <w:szCs w:val="22"/>
        </w:rPr>
        <w:tab/>
        <w:t>La participation est gratuite et ouverte aux États Membres, aux Membres de Secteur et aux Associés de l'UIT, aux établissements universitaires participant aux travaux de l'UIT ainsi qu'à toute personne issue d'un pays membre de l'UIT qui souhaite contribuer aux travaux.</w:t>
      </w:r>
    </w:p>
    <w:p w14:paraId="6865E07B" w14:textId="5ACC26FC" w:rsidR="00AA2F44" w:rsidRPr="006E51BB" w:rsidRDefault="00AA2F44" w:rsidP="00AA2F44">
      <w:pPr>
        <w:rPr>
          <w:rFonts w:cstheme="minorHAnsi"/>
          <w:bCs/>
          <w:sz w:val="22"/>
          <w:szCs w:val="22"/>
        </w:rPr>
      </w:pPr>
      <w:r w:rsidRPr="006E51BB">
        <w:rPr>
          <w:rFonts w:cstheme="minorHAnsi"/>
          <w:bCs/>
          <w:sz w:val="22"/>
          <w:szCs w:val="22"/>
        </w:rPr>
        <w:t>6</w:t>
      </w:r>
      <w:r w:rsidRPr="006E51BB">
        <w:rPr>
          <w:rFonts w:cstheme="minorHAnsi"/>
          <w:bCs/>
          <w:sz w:val="22"/>
          <w:szCs w:val="22"/>
        </w:rPr>
        <w:tab/>
        <w:t>Toutes les informations utiles (projet de programme, intervenants, lien pour l</w:t>
      </w:r>
      <w:r w:rsidR="004D43D5" w:rsidRPr="006E51BB">
        <w:rPr>
          <w:rFonts w:cstheme="minorHAnsi"/>
          <w:bCs/>
          <w:sz w:val="22"/>
          <w:szCs w:val="22"/>
        </w:rPr>
        <w:t>'</w:t>
      </w:r>
      <w:r w:rsidRPr="006E51BB">
        <w:rPr>
          <w:rFonts w:cstheme="minorHAnsi"/>
          <w:bCs/>
          <w:sz w:val="22"/>
          <w:szCs w:val="22"/>
        </w:rPr>
        <w:t>inscription, modalités de connexion à distance) seront publiées sur le site web de la manifestation, à l</w:t>
      </w:r>
      <w:r w:rsidR="004D43D5" w:rsidRPr="006E51BB">
        <w:rPr>
          <w:rFonts w:cstheme="minorHAnsi"/>
          <w:bCs/>
          <w:sz w:val="22"/>
          <w:szCs w:val="22"/>
        </w:rPr>
        <w:t>'</w:t>
      </w:r>
      <w:r w:rsidRPr="006E51BB">
        <w:rPr>
          <w:rFonts w:cstheme="minorHAnsi"/>
          <w:bCs/>
          <w:sz w:val="22"/>
          <w:szCs w:val="22"/>
        </w:rPr>
        <w:t xml:space="preserve">adresse </w:t>
      </w:r>
      <w:proofErr w:type="gramStart"/>
      <w:r w:rsidR="00B712B3" w:rsidRPr="006E51BB">
        <w:rPr>
          <w:rFonts w:cstheme="minorHAnsi"/>
          <w:bCs/>
          <w:sz w:val="22"/>
          <w:szCs w:val="22"/>
        </w:rPr>
        <w:t>suivante:</w:t>
      </w:r>
      <w:proofErr w:type="gramEnd"/>
      <w:r w:rsidR="00B712B3" w:rsidRPr="006E51BB">
        <w:rPr>
          <w:rFonts w:cstheme="minorHAnsi"/>
          <w:bCs/>
          <w:sz w:val="22"/>
          <w:szCs w:val="22"/>
        </w:rPr>
        <w:t xml:space="preserve"> </w:t>
      </w:r>
      <w:hyperlink r:id="rId11" w:history="1">
        <w:r w:rsidR="00B712B3" w:rsidRPr="006E51BB">
          <w:rPr>
            <w:rStyle w:val="Hyperlink"/>
            <w:rFonts w:cstheme="minorHAnsi"/>
            <w:sz w:val="22"/>
            <w:szCs w:val="22"/>
          </w:rPr>
          <w:t>https://www.itu.int/cities/building-inclusive-digital-infrastructure-for-cities/</w:t>
        </w:r>
      </w:hyperlink>
      <w:r w:rsidRPr="006E51BB">
        <w:rPr>
          <w:rFonts w:cstheme="minorHAnsi"/>
          <w:bCs/>
          <w:sz w:val="22"/>
          <w:szCs w:val="22"/>
        </w:rPr>
        <w:t>.</w:t>
      </w:r>
    </w:p>
    <w:p w14:paraId="2761B1AA" w14:textId="46227DD8" w:rsidR="00AA2F44" w:rsidRPr="006E51BB" w:rsidRDefault="00AA2F44" w:rsidP="00AA2F44">
      <w:pPr>
        <w:rPr>
          <w:rFonts w:cstheme="minorHAnsi"/>
          <w:bCs/>
          <w:sz w:val="22"/>
          <w:szCs w:val="22"/>
        </w:rPr>
      </w:pPr>
      <w:r w:rsidRPr="006E51BB">
        <w:rPr>
          <w:rFonts w:cstheme="minorHAnsi"/>
          <w:bCs/>
          <w:sz w:val="22"/>
          <w:szCs w:val="22"/>
        </w:rPr>
        <w:t>Ce site web sera actualisé à mesure que parviendront des informations nouvelles ou modifiées. Les participants sont priés de consulter régulièrement le site pour prendre connaissance des informations les plus récentes.</w:t>
      </w:r>
    </w:p>
    <w:p w14:paraId="69E99E92" w14:textId="2CF0CC9D" w:rsidR="00AA2F44" w:rsidRPr="006E51BB" w:rsidRDefault="00AA2F44" w:rsidP="00AA2F44">
      <w:pPr>
        <w:rPr>
          <w:rFonts w:cstheme="minorHAnsi"/>
          <w:bCs/>
          <w:sz w:val="22"/>
          <w:szCs w:val="22"/>
        </w:rPr>
      </w:pPr>
      <w:r w:rsidRPr="006E51BB">
        <w:rPr>
          <w:rFonts w:cstheme="minorHAnsi"/>
          <w:bCs/>
          <w:sz w:val="22"/>
          <w:szCs w:val="22"/>
        </w:rPr>
        <w:lastRenderedPageBreak/>
        <w:t>7</w:t>
      </w:r>
      <w:r w:rsidRPr="006E51BB">
        <w:rPr>
          <w:rFonts w:cstheme="minorHAnsi"/>
          <w:bCs/>
          <w:sz w:val="22"/>
          <w:szCs w:val="22"/>
        </w:rPr>
        <w:tab/>
        <w:t>Veuillez noter que l</w:t>
      </w:r>
      <w:r w:rsidR="004D43D5" w:rsidRPr="006E51BB">
        <w:rPr>
          <w:rFonts w:cstheme="minorHAnsi"/>
          <w:bCs/>
          <w:sz w:val="22"/>
          <w:szCs w:val="22"/>
        </w:rPr>
        <w:t>'</w:t>
      </w:r>
      <w:r w:rsidRPr="006E51BB">
        <w:rPr>
          <w:rFonts w:cstheme="minorHAnsi"/>
          <w:bCs/>
          <w:sz w:val="22"/>
          <w:szCs w:val="22"/>
        </w:rPr>
        <w:t>inscription est obligatoire et que de plus amples informations seront mises à disposition à l</w:t>
      </w:r>
      <w:r w:rsidR="004D43D5" w:rsidRPr="006E51BB">
        <w:rPr>
          <w:rFonts w:cstheme="minorHAnsi"/>
          <w:bCs/>
          <w:sz w:val="22"/>
          <w:szCs w:val="22"/>
        </w:rPr>
        <w:t>'</w:t>
      </w:r>
      <w:r w:rsidRPr="006E51BB">
        <w:rPr>
          <w:rFonts w:cstheme="minorHAnsi"/>
          <w:bCs/>
          <w:sz w:val="22"/>
          <w:szCs w:val="22"/>
        </w:rPr>
        <w:t xml:space="preserve">adresse </w:t>
      </w:r>
      <w:proofErr w:type="gramStart"/>
      <w:r w:rsidRPr="006E51BB">
        <w:rPr>
          <w:rFonts w:cstheme="minorHAnsi"/>
          <w:bCs/>
          <w:sz w:val="22"/>
          <w:szCs w:val="22"/>
        </w:rPr>
        <w:t>suivante:</w:t>
      </w:r>
      <w:proofErr w:type="gramEnd"/>
      <w:r w:rsidRPr="006E51BB">
        <w:rPr>
          <w:rFonts w:cstheme="minorHAnsi"/>
          <w:bCs/>
          <w:sz w:val="22"/>
          <w:szCs w:val="22"/>
        </w:rPr>
        <w:t xml:space="preserve"> </w:t>
      </w:r>
      <w:hyperlink r:id="rId12" w:history="1">
        <w:r w:rsidR="00B712B3" w:rsidRPr="006E51BB">
          <w:rPr>
            <w:rStyle w:val="Hyperlink"/>
            <w:rFonts w:cstheme="minorHAnsi"/>
            <w:sz w:val="22"/>
            <w:szCs w:val="22"/>
          </w:rPr>
          <w:t>https://www.itu.int/cities/building-inclusive-digital-infrastructure-for-cities/</w:t>
        </w:r>
      </w:hyperlink>
      <w:r w:rsidRPr="006E51BB">
        <w:rPr>
          <w:rFonts w:cstheme="minorHAnsi"/>
          <w:bCs/>
          <w:sz w:val="22"/>
          <w:szCs w:val="22"/>
        </w:rPr>
        <w:t>.</w:t>
      </w:r>
    </w:p>
    <w:p w14:paraId="427542BF" w14:textId="3C76DE0D" w:rsidR="00AA2F44" w:rsidRPr="006E51BB" w:rsidRDefault="00AA2F44" w:rsidP="00AA2F44">
      <w:pPr>
        <w:rPr>
          <w:rFonts w:cstheme="minorHAnsi"/>
          <w:bCs/>
          <w:sz w:val="22"/>
          <w:szCs w:val="22"/>
        </w:rPr>
      </w:pPr>
      <w:r w:rsidRPr="006E51BB">
        <w:rPr>
          <w:rFonts w:cstheme="minorHAnsi"/>
          <w:bCs/>
          <w:sz w:val="22"/>
          <w:szCs w:val="22"/>
        </w:rPr>
        <w:t>8</w:t>
      </w:r>
      <w:r w:rsidRPr="006E51BB">
        <w:rPr>
          <w:rFonts w:cstheme="minorHAnsi"/>
          <w:bCs/>
          <w:sz w:val="22"/>
          <w:szCs w:val="22"/>
        </w:rPr>
        <w:tab/>
      </w:r>
      <w:r w:rsidRPr="006E51BB">
        <w:rPr>
          <w:rFonts w:cstheme="minorHAnsi"/>
          <w:b/>
          <w:bCs/>
          <w:sz w:val="22"/>
          <w:szCs w:val="22"/>
        </w:rPr>
        <w:t>Veuillez noter que des conditions différentes s</w:t>
      </w:r>
      <w:r w:rsidR="004D43D5" w:rsidRPr="006E51BB">
        <w:rPr>
          <w:rFonts w:cstheme="minorHAnsi"/>
          <w:b/>
          <w:bCs/>
          <w:sz w:val="22"/>
          <w:szCs w:val="22"/>
        </w:rPr>
        <w:t>'</w:t>
      </w:r>
      <w:r w:rsidRPr="006E51BB">
        <w:rPr>
          <w:rFonts w:cstheme="minorHAnsi"/>
          <w:b/>
          <w:bCs/>
          <w:sz w:val="22"/>
          <w:szCs w:val="22"/>
        </w:rPr>
        <w:t>appliquent à la participation aux réunions de la Commission d</w:t>
      </w:r>
      <w:r w:rsidR="004D43D5" w:rsidRPr="006E51BB">
        <w:rPr>
          <w:rFonts w:cstheme="minorHAnsi"/>
          <w:b/>
          <w:bCs/>
          <w:sz w:val="22"/>
          <w:szCs w:val="22"/>
        </w:rPr>
        <w:t>'</w:t>
      </w:r>
      <w:r w:rsidRPr="006E51BB">
        <w:rPr>
          <w:rFonts w:cstheme="minorHAnsi"/>
          <w:b/>
          <w:bCs/>
          <w:sz w:val="22"/>
          <w:szCs w:val="22"/>
        </w:rPr>
        <w:t>études 20 de l</w:t>
      </w:r>
      <w:r w:rsidR="004D43D5" w:rsidRPr="006E51BB">
        <w:rPr>
          <w:rFonts w:cstheme="minorHAnsi"/>
          <w:b/>
          <w:bCs/>
          <w:sz w:val="22"/>
          <w:szCs w:val="22"/>
        </w:rPr>
        <w:t>'</w:t>
      </w:r>
      <w:r w:rsidRPr="006E51BB">
        <w:rPr>
          <w:rFonts w:cstheme="minorHAnsi"/>
          <w:b/>
          <w:bCs/>
          <w:sz w:val="22"/>
          <w:szCs w:val="22"/>
        </w:rPr>
        <w:t>UIT-T et de la JCA-IoT, DT et SSC&amp;C</w:t>
      </w:r>
      <w:r w:rsidRPr="006E51BB">
        <w:rPr>
          <w:rFonts w:cstheme="minorHAnsi"/>
          <w:bCs/>
          <w:sz w:val="22"/>
          <w:szCs w:val="22"/>
        </w:rPr>
        <w:t>. Pour plus d</w:t>
      </w:r>
      <w:r w:rsidR="004D43D5" w:rsidRPr="006E51BB">
        <w:rPr>
          <w:rFonts w:cstheme="minorHAnsi"/>
          <w:bCs/>
          <w:sz w:val="22"/>
          <w:szCs w:val="22"/>
        </w:rPr>
        <w:t>'</w:t>
      </w:r>
      <w:r w:rsidRPr="006E51BB">
        <w:rPr>
          <w:rFonts w:cstheme="minorHAnsi"/>
          <w:bCs/>
          <w:sz w:val="22"/>
          <w:szCs w:val="22"/>
        </w:rPr>
        <w:t xml:space="preserve">informations et pour vous inscrire à ces réunions, consultez les sites web respectifs de la </w:t>
      </w:r>
      <w:hyperlink r:id="rId13" w:anchor="/fr" w:history="1">
        <w:r w:rsidRPr="006E51BB">
          <w:rPr>
            <w:rStyle w:val="Hyperlink"/>
            <w:rFonts w:cstheme="minorHAnsi"/>
            <w:bCs/>
            <w:sz w:val="22"/>
            <w:szCs w:val="22"/>
          </w:rPr>
          <w:t>Commission d</w:t>
        </w:r>
        <w:r w:rsidR="004D43D5" w:rsidRPr="006E51BB">
          <w:rPr>
            <w:rStyle w:val="Hyperlink"/>
            <w:rFonts w:cstheme="minorHAnsi"/>
            <w:bCs/>
            <w:sz w:val="22"/>
            <w:szCs w:val="22"/>
          </w:rPr>
          <w:t>'</w:t>
        </w:r>
        <w:r w:rsidRPr="006E51BB">
          <w:rPr>
            <w:rStyle w:val="Hyperlink"/>
            <w:rFonts w:cstheme="minorHAnsi"/>
            <w:bCs/>
            <w:sz w:val="22"/>
            <w:szCs w:val="22"/>
          </w:rPr>
          <w:t>études 20 de l</w:t>
        </w:r>
        <w:r w:rsidR="004D43D5" w:rsidRPr="006E51BB">
          <w:rPr>
            <w:rStyle w:val="Hyperlink"/>
            <w:rFonts w:cstheme="minorHAnsi"/>
            <w:bCs/>
            <w:sz w:val="22"/>
            <w:szCs w:val="22"/>
          </w:rPr>
          <w:t>'</w:t>
        </w:r>
        <w:r w:rsidRPr="006E51BB">
          <w:rPr>
            <w:rStyle w:val="Hyperlink"/>
            <w:rFonts w:cstheme="minorHAnsi"/>
            <w:bCs/>
            <w:sz w:val="22"/>
            <w:szCs w:val="22"/>
          </w:rPr>
          <w:t>UIT-T</w:t>
        </w:r>
      </w:hyperlink>
      <w:r w:rsidRPr="006E51BB">
        <w:rPr>
          <w:rFonts w:cstheme="minorHAnsi"/>
          <w:bCs/>
          <w:sz w:val="22"/>
          <w:szCs w:val="22"/>
        </w:rPr>
        <w:t xml:space="preserve"> et de la </w:t>
      </w:r>
      <w:hyperlink r:id="rId14" w:anchor="/fr" w:history="1">
        <w:r w:rsidRPr="006E51BB">
          <w:rPr>
            <w:rStyle w:val="Hyperlink"/>
            <w:rFonts w:cstheme="minorHAnsi"/>
            <w:bCs/>
            <w:sz w:val="22"/>
            <w:szCs w:val="22"/>
          </w:rPr>
          <w:t>JCA-IoT, DT et SSC&amp;C</w:t>
        </w:r>
      </w:hyperlink>
      <w:r w:rsidRPr="006E51BB">
        <w:rPr>
          <w:rFonts w:cstheme="minorHAnsi"/>
          <w:bCs/>
          <w:sz w:val="22"/>
          <w:szCs w:val="22"/>
        </w:rPr>
        <w:t>.</w:t>
      </w:r>
    </w:p>
    <w:p w14:paraId="278E6EF5" w14:textId="77777777" w:rsidR="00AA2F44" w:rsidRPr="006E51BB" w:rsidRDefault="00AA2F44" w:rsidP="00AA2F44">
      <w:pPr>
        <w:rPr>
          <w:rFonts w:cstheme="minorHAnsi"/>
          <w:bCs/>
          <w:sz w:val="22"/>
          <w:szCs w:val="22"/>
        </w:rPr>
      </w:pPr>
      <w:r w:rsidRPr="006E51BB">
        <w:rPr>
          <w:rFonts w:cstheme="minorHAnsi"/>
          <w:bCs/>
          <w:sz w:val="22"/>
          <w:szCs w:val="22"/>
        </w:rPr>
        <w:t>9</w:t>
      </w:r>
      <w:r w:rsidRPr="006E51BB">
        <w:rPr>
          <w:rFonts w:cstheme="minorHAnsi"/>
          <w:bCs/>
          <w:sz w:val="22"/>
          <w:szCs w:val="22"/>
        </w:rPr>
        <w:tab/>
        <w:t>Nous vous rappelons que, pour les ressortissants de certains pays, l'entrée et le séjour en Suisse, quelle qu'en soit la durée, sont soumis à l'obtention d'un visa. Ce visa doit être obtenu auprès de la représentation de la Suisse (ambassade ou consulat) dans votre pays ou, à défaut, dans le pays le plus proche de votre pays de départ. Étant donné que le traitement des demandes de visa et la délivrance des visas peuvent prendre un certain temps, nous vous suggérons de vous renseigner directement auprès de la représentation concernée et de formuler votre demande au plus tôt.</w:t>
      </w:r>
      <w:bookmarkStart w:id="2" w:name="_Int_4QcYIpaL"/>
      <w:bookmarkEnd w:id="2"/>
    </w:p>
    <w:p w14:paraId="46F2C3C2" w14:textId="1E43711E" w:rsidR="00307FB4" w:rsidRPr="006E51BB" w:rsidRDefault="00AA2F44" w:rsidP="00AA2F44">
      <w:pPr>
        <w:rPr>
          <w:rFonts w:cstheme="minorHAnsi"/>
          <w:bCs/>
          <w:sz w:val="22"/>
          <w:szCs w:val="22"/>
        </w:rPr>
      </w:pPr>
      <w:r w:rsidRPr="006E51BB">
        <w:rPr>
          <w:rFonts w:cstheme="minorHAnsi"/>
          <w:bCs/>
          <w:sz w:val="22"/>
          <w:szCs w:val="22"/>
        </w:rPr>
        <w:t>Des renseignements supplémentaires concernant les formalités de visa, les hôtels et les transports sont disponibles sur la page web de la manifestation, sous la rubrique "</w:t>
      </w:r>
      <w:r w:rsidRPr="006E51BB">
        <w:rPr>
          <w:rFonts w:cstheme="minorHAnsi"/>
          <w:b/>
          <w:sz w:val="22"/>
          <w:szCs w:val="22"/>
        </w:rPr>
        <w:t>Informations pratiques</w:t>
      </w:r>
      <w:r w:rsidRPr="006E51BB">
        <w:rPr>
          <w:rFonts w:cstheme="minorHAnsi"/>
          <w:bCs/>
          <w:sz w:val="22"/>
          <w:szCs w:val="22"/>
        </w:rPr>
        <w:t>".</w:t>
      </w:r>
    </w:p>
    <w:p w14:paraId="6A4CD67F" w14:textId="77777777" w:rsidR="00307FB4" w:rsidRPr="006E51BB" w:rsidRDefault="00307FB4" w:rsidP="00307FB4">
      <w:pPr>
        <w:rPr>
          <w:rFonts w:cstheme="minorHAnsi"/>
          <w:bCs/>
          <w:sz w:val="22"/>
          <w:szCs w:val="22"/>
        </w:rPr>
      </w:pPr>
      <w:r w:rsidRPr="006E51BB">
        <w:rPr>
          <w:rFonts w:cstheme="minorHAnsi"/>
          <w:bCs/>
          <w:sz w:val="22"/>
          <w:szCs w:val="22"/>
        </w:rPr>
        <w:t>Veuillez agréer, Madame, Monsieur, l'assurance de ma considération distinguée.</w:t>
      </w:r>
    </w:p>
    <w:p w14:paraId="558FB742" w14:textId="06C60A85" w:rsidR="002937DB" w:rsidRPr="006E51BB" w:rsidRDefault="00E17DF6" w:rsidP="006E51BB">
      <w:pPr>
        <w:spacing w:before="840"/>
        <w:rPr>
          <w:rFonts w:cstheme="minorHAnsi"/>
          <w:bCs/>
          <w:sz w:val="22"/>
          <w:szCs w:val="22"/>
        </w:rPr>
      </w:pPr>
      <w:r>
        <w:rPr>
          <w:rFonts w:cstheme="minorHAnsi"/>
          <w:bCs/>
          <w:noProof/>
          <w:sz w:val="22"/>
          <w:szCs w:val="22"/>
        </w:rPr>
        <w:drawing>
          <wp:anchor distT="0" distB="0" distL="114300" distR="114300" simplePos="0" relativeHeight="251658240" behindDoc="1" locked="0" layoutInCell="1" allowOverlap="1" wp14:anchorId="768E5207" wp14:editId="4B541CA8">
            <wp:simplePos x="0" y="0"/>
            <wp:positionH relativeFrom="margin">
              <wp:align>left</wp:align>
            </wp:positionH>
            <wp:positionV relativeFrom="paragraph">
              <wp:posOffset>104140</wp:posOffset>
            </wp:positionV>
            <wp:extent cx="692186" cy="330217"/>
            <wp:effectExtent l="0" t="0" r="0" b="0"/>
            <wp:wrapNone/>
            <wp:docPr id="1872331313"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331313" name="Picture 1" descr="A black text on a white background&#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307FB4" w:rsidRPr="006E51BB">
        <w:rPr>
          <w:rFonts w:cstheme="minorHAnsi"/>
          <w:bCs/>
          <w:sz w:val="22"/>
          <w:szCs w:val="22"/>
        </w:rPr>
        <w:t>Seizo Onoe</w:t>
      </w:r>
      <w:r w:rsidR="00B60868" w:rsidRPr="006E51BB">
        <w:rPr>
          <w:rFonts w:cstheme="minorHAnsi"/>
          <w:bCs/>
          <w:sz w:val="22"/>
          <w:szCs w:val="22"/>
        </w:rPr>
        <w:br/>
      </w:r>
      <w:r w:rsidR="00307FB4" w:rsidRPr="006E51BB">
        <w:rPr>
          <w:rFonts w:cstheme="minorHAnsi"/>
          <w:bCs/>
          <w:sz w:val="22"/>
          <w:szCs w:val="22"/>
        </w:rPr>
        <w:t>Directeur du Bureau de la normalisation</w:t>
      </w:r>
      <w:r w:rsidR="00B60868" w:rsidRPr="006E51BB">
        <w:rPr>
          <w:rFonts w:cstheme="minorHAnsi"/>
          <w:bCs/>
          <w:sz w:val="22"/>
          <w:szCs w:val="22"/>
        </w:rPr>
        <w:br/>
      </w:r>
      <w:r w:rsidR="00307FB4" w:rsidRPr="006E51BB">
        <w:rPr>
          <w:rFonts w:cstheme="minorHAnsi"/>
          <w:bCs/>
          <w:sz w:val="22"/>
          <w:szCs w:val="22"/>
        </w:rPr>
        <w:t>des télécommunications</w:t>
      </w:r>
    </w:p>
    <w:sectPr w:rsidR="002937DB" w:rsidRPr="006E51BB"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5E39659A"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28DE9ECF" w:rsidR="00697BC1" w:rsidRPr="00697BC1" w:rsidRDefault="00E17DF6"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AA2F44">
      <w:rPr>
        <w:noProof/>
        <w:sz w:val="18"/>
        <w:szCs w:val="16"/>
      </w:rPr>
      <w:t>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32465"/>
    <w:rsid w:val="00167472"/>
    <w:rsid w:val="00167F92"/>
    <w:rsid w:val="00173738"/>
    <w:rsid w:val="001B79A3"/>
    <w:rsid w:val="002152A3"/>
    <w:rsid w:val="0023667A"/>
    <w:rsid w:val="002937DB"/>
    <w:rsid w:val="002C382F"/>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3FFB"/>
    <w:rsid w:val="00445B68"/>
    <w:rsid w:val="0048088B"/>
    <w:rsid w:val="004977C9"/>
    <w:rsid w:val="004B732E"/>
    <w:rsid w:val="004D43D5"/>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B55E4"/>
    <w:rsid w:val="006C5A91"/>
    <w:rsid w:val="006E51BB"/>
    <w:rsid w:val="006F52F7"/>
    <w:rsid w:val="00716BBC"/>
    <w:rsid w:val="007321BC"/>
    <w:rsid w:val="00760063"/>
    <w:rsid w:val="00775E4B"/>
    <w:rsid w:val="007776B9"/>
    <w:rsid w:val="0079553B"/>
    <w:rsid w:val="00795679"/>
    <w:rsid w:val="007A40FE"/>
    <w:rsid w:val="007D715F"/>
    <w:rsid w:val="00810105"/>
    <w:rsid w:val="008157E0"/>
    <w:rsid w:val="00850477"/>
    <w:rsid w:val="00854E1D"/>
    <w:rsid w:val="00887FA6"/>
    <w:rsid w:val="008C4397"/>
    <w:rsid w:val="008C465A"/>
    <w:rsid w:val="008F2C9B"/>
    <w:rsid w:val="00923CD6"/>
    <w:rsid w:val="00935AA8"/>
    <w:rsid w:val="0095736A"/>
    <w:rsid w:val="00971C9A"/>
    <w:rsid w:val="0097594A"/>
    <w:rsid w:val="009D51FA"/>
    <w:rsid w:val="009F1E23"/>
    <w:rsid w:val="00A15179"/>
    <w:rsid w:val="00A51537"/>
    <w:rsid w:val="00A5280F"/>
    <w:rsid w:val="00A5645A"/>
    <w:rsid w:val="00A60FC1"/>
    <w:rsid w:val="00A97C37"/>
    <w:rsid w:val="00AA131B"/>
    <w:rsid w:val="00AA2F44"/>
    <w:rsid w:val="00AC37B5"/>
    <w:rsid w:val="00AD752F"/>
    <w:rsid w:val="00AF08A4"/>
    <w:rsid w:val="00AF0D7D"/>
    <w:rsid w:val="00B27B41"/>
    <w:rsid w:val="00B42659"/>
    <w:rsid w:val="00B46F2D"/>
    <w:rsid w:val="00B60868"/>
    <w:rsid w:val="00B712B3"/>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17DF6"/>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하이퍼링크21,超??级链Ú,fL????,fL?级,超??级链,超?级链Ú,’´?级链,’´????,’´??级链Ú,’´??级,超?级链ïÈ,õ±?级链,õ±链ïÈ1,õ±???"/>
    <w:uiPriority w:val="99"/>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Tabletext0">
    <w:name w:val="Table_text"/>
    <w:basedOn w:val="Normal"/>
    <w:rsid w:val="00AA2F4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25-2028/20/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cities/building-inclusive-digital-infrastructure-for-cit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cities/building-inclusive-digital-infrastructure-for-citie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en/ITU-T/jca/iot/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en/ITU-T/jca/iot/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18</TotalTime>
  <Pages>2</Pages>
  <Words>686</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5183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9</cp:revision>
  <cp:lastPrinted>2025-05-09T10:11:00Z</cp:lastPrinted>
  <dcterms:created xsi:type="dcterms:W3CDTF">2025-04-24T09:52:00Z</dcterms:created>
  <dcterms:modified xsi:type="dcterms:W3CDTF">2025-05-09T10:11:00Z</dcterms:modified>
</cp:coreProperties>
</file>