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04" w:type="dxa"/>
        <w:tblInd w:w="-90" w:type="dxa"/>
        <w:tblLayout w:type="fixed"/>
        <w:tblCellMar>
          <w:left w:w="0" w:type="dxa"/>
          <w:right w:w="0" w:type="dxa"/>
        </w:tblCellMar>
        <w:tblLook w:val="0000" w:firstRow="0" w:lastRow="0" w:firstColumn="0" w:lastColumn="0" w:noHBand="0" w:noVBand="0"/>
      </w:tblPr>
      <w:tblGrid>
        <w:gridCol w:w="1260"/>
        <w:gridCol w:w="3715"/>
        <w:gridCol w:w="5329"/>
      </w:tblGrid>
      <w:tr w:rsidR="007B6316" w:rsidRPr="00A924C5" w14:paraId="5A68CDC1" w14:textId="77777777" w:rsidTr="00424D9E">
        <w:trPr>
          <w:cantSplit/>
          <w:trHeight w:val="340"/>
        </w:trPr>
        <w:tc>
          <w:tcPr>
            <w:tcW w:w="1260" w:type="dxa"/>
          </w:tcPr>
          <w:p w14:paraId="3A82E1D6" w14:textId="77777777" w:rsidR="007B6316" w:rsidRPr="00A924C5" w:rsidRDefault="007B6316" w:rsidP="00303D62">
            <w:pPr>
              <w:tabs>
                <w:tab w:val="left" w:pos="4111"/>
              </w:tabs>
              <w:spacing w:before="10"/>
              <w:ind w:left="57"/>
              <w:rPr>
                <w:sz w:val="22"/>
              </w:rPr>
            </w:pPr>
            <w:r w:rsidRPr="00A924C5">
              <w:rPr>
                <w:noProof/>
                <w:lang w:eastAsia="zh-CN"/>
              </w:rPr>
              <w:drawing>
                <wp:inline distT="0" distB="0" distL="0" distR="0" wp14:anchorId="2EB71944" wp14:editId="4151143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9044" w:type="dxa"/>
            <w:gridSpan w:val="2"/>
            <w:vAlign w:val="center"/>
          </w:tcPr>
          <w:p w14:paraId="4A1EAD74" w14:textId="77777777" w:rsidR="007B6316" w:rsidRPr="00A924C5" w:rsidRDefault="007B6316" w:rsidP="007B6316">
            <w:pPr>
              <w:spacing w:before="0"/>
              <w:rPr>
                <w:rFonts w:cs="Times New Roman Bold"/>
                <w:b/>
                <w:bCs/>
                <w:smallCaps/>
                <w:sz w:val="26"/>
                <w:szCs w:val="26"/>
              </w:rPr>
            </w:pPr>
            <w:r w:rsidRPr="00A924C5">
              <w:rPr>
                <w:rFonts w:cs="Times New Roman Bold"/>
                <w:b/>
                <w:bCs/>
                <w:smallCaps/>
                <w:sz w:val="36"/>
                <w:szCs w:val="36"/>
              </w:rPr>
              <w:t>Unión Internacional de Telecomunicaciones</w:t>
            </w:r>
          </w:p>
          <w:p w14:paraId="15F10566" w14:textId="77777777" w:rsidR="007B6316" w:rsidRPr="00A924C5" w:rsidRDefault="007B6316" w:rsidP="007B6316">
            <w:pPr>
              <w:spacing w:before="0"/>
            </w:pPr>
            <w:r w:rsidRPr="00A924C5">
              <w:rPr>
                <w:rFonts w:cs="Times New Roman Bold"/>
                <w:b/>
                <w:bCs/>
                <w:smallCaps/>
                <w:sz w:val="28"/>
                <w:szCs w:val="28"/>
              </w:rPr>
              <w:t>Oficina</w:t>
            </w:r>
            <w:r w:rsidRPr="00A924C5">
              <w:rPr>
                <w:rFonts w:cs="Times New Roman Bold"/>
                <w:b/>
                <w:bCs/>
                <w:iCs/>
                <w:smallCaps/>
                <w:sz w:val="22"/>
                <w:szCs w:val="22"/>
              </w:rPr>
              <w:t xml:space="preserve"> </w:t>
            </w:r>
            <w:r w:rsidRPr="00A924C5">
              <w:rPr>
                <w:rFonts w:cs="Times New Roman Bold"/>
                <w:b/>
                <w:bCs/>
                <w:iCs/>
                <w:smallCaps/>
                <w:sz w:val="28"/>
                <w:szCs w:val="28"/>
              </w:rPr>
              <w:t>de Normalización de las Telecomunicaciones</w:t>
            </w:r>
          </w:p>
        </w:tc>
      </w:tr>
      <w:tr w:rsidR="007B6316" w:rsidRPr="00424D9E" w14:paraId="63786473" w14:textId="77777777" w:rsidTr="00424D9E">
        <w:trPr>
          <w:cantSplit/>
          <w:trHeight w:val="594"/>
        </w:trPr>
        <w:tc>
          <w:tcPr>
            <w:tcW w:w="1260" w:type="dxa"/>
          </w:tcPr>
          <w:p w14:paraId="01AA4BB2" w14:textId="77777777" w:rsidR="007B6316" w:rsidRPr="00424D9E" w:rsidRDefault="007B6316" w:rsidP="00303D62">
            <w:pPr>
              <w:tabs>
                <w:tab w:val="left" w:pos="4111"/>
              </w:tabs>
              <w:spacing w:before="10"/>
              <w:ind w:left="57"/>
              <w:rPr>
                <w:rFonts w:cstheme="minorHAnsi"/>
                <w:b/>
                <w:bCs/>
                <w:sz w:val="22"/>
                <w:szCs w:val="22"/>
              </w:rPr>
            </w:pPr>
          </w:p>
        </w:tc>
        <w:tc>
          <w:tcPr>
            <w:tcW w:w="3715" w:type="dxa"/>
          </w:tcPr>
          <w:p w14:paraId="7D269253" w14:textId="77777777" w:rsidR="007B6316" w:rsidRPr="00424D9E" w:rsidRDefault="007B6316" w:rsidP="00303D62">
            <w:pPr>
              <w:tabs>
                <w:tab w:val="left" w:pos="4111"/>
              </w:tabs>
              <w:spacing w:before="0"/>
              <w:ind w:left="57"/>
              <w:rPr>
                <w:rFonts w:cstheme="minorHAnsi"/>
                <w:b/>
                <w:sz w:val="22"/>
                <w:szCs w:val="22"/>
              </w:rPr>
            </w:pPr>
          </w:p>
        </w:tc>
        <w:tc>
          <w:tcPr>
            <w:tcW w:w="5329" w:type="dxa"/>
          </w:tcPr>
          <w:p w14:paraId="4BC86FDE" w14:textId="792CCB12" w:rsidR="007B6316" w:rsidRPr="00424D9E" w:rsidRDefault="007B6316" w:rsidP="007B6316">
            <w:pPr>
              <w:tabs>
                <w:tab w:val="clear" w:pos="794"/>
                <w:tab w:val="clear" w:pos="1191"/>
                <w:tab w:val="clear" w:pos="1588"/>
                <w:tab w:val="clear" w:pos="1985"/>
                <w:tab w:val="left" w:pos="284"/>
              </w:tabs>
              <w:spacing w:after="120"/>
              <w:ind w:left="284" w:hanging="227"/>
              <w:rPr>
                <w:rFonts w:cstheme="minorHAnsi"/>
                <w:sz w:val="22"/>
                <w:szCs w:val="22"/>
              </w:rPr>
            </w:pPr>
            <w:r w:rsidRPr="00424D9E">
              <w:rPr>
                <w:rFonts w:cstheme="minorHAnsi"/>
                <w:sz w:val="22"/>
                <w:szCs w:val="22"/>
              </w:rPr>
              <w:t>Ginebra,</w:t>
            </w:r>
            <w:r w:rsidR="002E3FB7" w:rsidRPr="00424D9E">
              <w:rPr>
                <w:rFonts w:cstheme="minorHAnsi"/>
                <w:sz w:val="22"/>
                <w:szCs w:val="22"/>
              </w:rPr>
              <w:t xml:space="preserve"> 15 de abril de 2025</w:t>
            </w:r>
          </w:p>
        </w:tc>
      </w:tr>
      <w:tr w:rsidR="001350B9" w:rsidRPr="00424D9E" w14:paraId="0389F8E0" w14:textId="77777777" w:rsidTr="00424D9E">
        <w:trPr>
          <w:cantSplit/>
          <w:trHeight w:val="340"/>
        </w:trPr>
        <w:tc>
          <w:tcPr>
            <w:tcW w:w="1260" w:type="dxa"/>
          </w:tcPr>
          <w:p w14:paraId="1CB27096" w14:textId="77777777" w:rsidR="001350B9" w:rsidRPr="00424D9E" w:rsidRDefault="001350B9" w:rsidP="00424D9E">
            <w:pPr>
              <w:tabs>
                <w:tab w:val="left" w:pos="4111"/>
              </w:tabs>
              <w:spacing w:before="10"/>
              <w:ind w:left="90"/>
              <w:rPr>
                <w:rFonts w:cstheme="minorHAnsi"/>
                <w:sz w:val="22"/>
                <w:szCs w:val="22"/>
              </w:rPr>
            </w:pPr>
            <w:r w:rsidRPr="00424D9E">
              <w:rPr>
                <w:rFonts w:cstheme="minorHAnsi"/>
                <w:b/>
                <w:bCs/>
                <w:sz w:val="22"/>
                <w:szCs w:val="22"/>
              </w:rPr>
              <w:t>Ref</w:t>
            </w:r>
            <w:r w:rsidRPr="00424D9E">
              <w:rPr>
                <w:rFonts w:cstheme="minorHAnsi"/>
                <w:sz w:val="22"/>
                <w:szCs w:val="22"/>
              </w:rPr>
              <w:t>.:</w:t>
            </w:r>
          </w:p>
          <w:p w14:paraId="0495F80C" w14:textId="77777777" w:rsidR="001350B9" w:rsidRPr="00424D9E" w:rsidRDefault="001350B9" w:rsidP="00424D9E">
            <w:pPr>
              <w:tabs>
                <w:tab w:val="left" w:pos="4111"/>
              </w:tabs>
              <w:spacing w:before="10"/>
              <w:ind w:left="90"/>
              <w:rPr>
                <w:rFonts w:cstheme="minorHAnsi"/>
                <w:sz w:val="22"/>
                <w:szCs w:val="22"/>
              </w:rPr>
            </w:pPr>
          </w:p>
        </w:tc>
        <w:tc>
          <w:tcPr>
            <w:tcW w:w="3715" w:type="dxa"/>
          </w:tcPr>
          <w:p w14:paraId="085997C4" w14:textId="280C25EA" w:rsidR="001350B9" w:rsidRPr="00424D9E" w:rsidRDefault="001350B9" w:rsidP="00303D62">
            <w:pPr>
              <w:tabs>
                <w:tab w:val="left" w:pos="4111"/>
              </w:tabs>
              <w:spacing w:before="0"/>
              <w:ind w:left="57"/>
              <w:rPr>
                <w:rFonts w:cstheme="minorHAnsi"/>
                <w:b/>
                <w:sz w:val="22"/>
                <w:szCs w:val="22"/>
              </w:rPr>
            </w:pPr>
            <w:r w:rsidRPr="00424D9E">
              <w:rPr>
                <w:rFonts w:cstheme="minorHAnsi"/>
                <w:b/>
                <w:sz w:val="22"/>
                <w:szCs w:val="22"/>
              </w:rPr>
              <w:t xml:space="preserve">Circular TSB </w:t>
            </w:r>
            <w:r w:rsidR="002E3FB7" w:rsidRPr="00424D9E">
              <w:rPr>
                <w:rFonts w:cstheme="minorHAnsi"/>
                <w:b/>
                <w:sz w:val="22"/>
                <w:szCs w:val="22"/>
              </w:rPr>
              <w:t>44</w:t>
            </w:r>
          </w:p>
          <w:p w14:paraId="11A95802" w14:textId="77777777" w:rsidR="001350B9" w:rsidRPr="00424D9E" w:rsidRDefault="001350B9" w:rsidP="002E3FB7">
            <w:pPr>
              <w:tabs>
                <w:tab w:val="left" w:pos="4111"/>
              </w:tabs>
              <w:spacing w:before="0"/>
              <w:ind w:left="57"/>
              <w:rPr>
                <w:rFonts w:cstheme="minorHAnsi"/>
                <w:sz w:val="22"/>
                <w:szCs w:val="22"/>
              </w:rPr>
            </w:pPr>
          </w:p>
        </w:tc>
        <w:tc>
          <w:tcPr>
            <w:tcW w:w="5329" w:type="dxa"/>
            <w:vMerge w:val="restart"/>
          </w:tcPr>
          <w:p w14:paraId="28A21294" w14:textId="1D63C95D" w:rsidR="001350B9" w:rsidRPr="00424D9E" w:rsidRDefault="002E3FB7" w:rsidP="00424D9E">
            <w:pPr>
              <w:tabs>
                <w:tab w:val="clear" w:pos="794"/>
                <w:tab w:val="left" w:pos="502"/>
                <w:tab w:val="left" w:pos="4111"/>
              </w:tabs>
              <w:spacing w:before="0" w:after="20"/>
              <w:ind w:left="363" w:hanging="284"/>
              <w:rPr>
                <w:rFonts w:cstheme="minorHAnsi"/>
                <w:sz w:val="22"/>
                <w:szCs w:val="22"/>
              </w:rPr>
            </w:pPr>
            <w:bookmarkStart w:id="0" w:name="Addressee_S"/>
            <w:bookmarkEnd w:id="0"/>
            <w:r w:rsidRPr="00424D9E">
              <w:rPr>
                <w:rFonts w:cstheme="minorHAnsi"/>
                <w:sz w:val="22"/>
                <w:szCs w:val="22"/>
              </w:rPr>
              <w:t>–</w:t>
            </w:r>
            <w:r w:rsidRPr="00424D9E">
              <w:rPr>
                <w:rFonts w:cstheme="minorHAnsi"/>
                <w:sz w:val="22"/>
                <w:szCs w:val="22"/>
              </w:rPr>
              <w:tab/>
            </w:r>
            <w:r w:rsidR="001350B9" w:rsidRPr="00424D9E">
              <w:rPr>
                <w:rFonts w:cstheme="minorHAnsi"/>
                <w:sz w:val="22"/>
                <w:szCs w:val="22"/>
              </w:rPr>
              <w:t>A las Administraciones de los Estados Miembros de la Unión</w:t>
            </w:r>
            <w:r w:rsidR="00424D9E">
              <w:rPr>
                <w:rFonts w:cstheme="minorHAnsi"/>
                <w:sz w:val="22"/>
                <w:szCs w:val="22"/>
              </w:rPr>
              <w:t>;</w:t>
            </w:r>
          </w:p>
          <w:p w14:paraId="7C5145A2" w14:textId="1830A677" w:rsidR="002E3FB7" w:rsidRPr="00424D9E" w:rsidRDefault="002E3FB7" w:rsidP="00424D9E">
            <w:pPr>
              <w:tabs>
                <w:tab w:val="clear" w:pos="794"/>
                <w:tab w:val="left" w:pos="502"/>
                <w:tab w:val="left" w:pos="4111"/>
              </w:tabs>
              <w:spacing w:before="0" w:after="20"/>
              <w:ind w:left="363" w:hanging="284"/>
              <w:rPr>
                <w:rFonts w:cstheme="minorHAnsi"/>
                <w:sz w:val="22"/>
                <w:szCs w:val="22"/>
              </w:rPr>
            </w:pPr>
            <w:r w:rsidRPr="00424D9E">
              <w:rPr>
                <w:rFonts w:cstheme="minorHAnsi"/>
                <w:sz w:val="22"/>
                <w:szCs w:val="22"/>
              </w:rPr>
              <w:t>–</w:t>
            </w:r>
            <w:r w:rsidRPr="00424D9E">
              <w:rPr>
                <w:rFonts w:cstheme="minorHAnsi"/>
                <w:sz w:val="22"/>
                <w:szCs w:val="22"/>
              </w:rPr>
              <w:tab/>
              <w:t>Al Estado de Palestina Resolución 99</w:t>
            </w:r>
            <w:r w:rsidR="006D0292" w:rsidRPr="00424D9E">
              <w:rPr>
                <w:rFonts w:cstheme="minorHAnsi"/>
                <w:sz w:val="22"/>
                <w:szCs w:val="22"/>
              </w:rPr>
              <w:br/>
            </w:r>
            <w:r w:rsidRPr="00424D9E">
              <w:rPr>
                <w:rFonts w:cstheme="minorHAnsi"/>
                <w:sz w:val="22"/>
                <w:szCs w:val="22"/>
              </w:rPr>
              <w:t>(Rev. Dubái, 2018)</w:t>
            </w:r>
            <w:r w:rsidR="00424D9E">
              <w:rPr>
                <w:rFonts w:cstheme="minorHAnsi"/>
                <w:sz w:val="22"/>
                <w:szCs w:val="22"/>
              </w:rPr>
              <w:t>;</w:t>
            </w:r>
          </w:p>
          <w:p w14:paraId="24DC6B38" w14:textId="46FAA3ED" w:rsidR="001350B9" w:rsidRPr="00424D9E" w:rsidRDefault="002E3FB7" w:rsidP="00424D9E">
            <w:pPr>
              <w:tabs>
                <w:tab w:val="clear" w:pos="794"/>
                <w:tab w:val="left" w:pos="502"/>
                <w:tab w:val="left" w:pos="4111"/>
              </w:tabs>
              <w:spacing w:before="0" w:after="20"/>
              <w:ind w:left="363" w:hanging="284"/>
              <w:rPr>
                <w:rFonts w:cstheme="minorHAnsi"/>
                <w:sz w:val="22"/>
                <w:szCs w:val="22"/>
              </w:rPr>
            </w:pPr>
            <w:r w:rsidRPr="00424D9E">
              <w:rPr>
                <w:rFonts w:cstheme="minorHAnsi"/>
                <w:sz w:val="22"/>
                <w:szCs w:val="22"/>
              </w:rPr>
              <w:t>–</w:t>
            </w:r>
            <w:r w:rsidRPr="00424D9E">
              <w:rPr>
                <w:rFonts w:cstheme="minorHAnsi"/>
                <w:sz w:val="22"/>
                <w:szCs w:val="22"/>
              </w:rPr>
              <w:tab/>
            </w:r>
            <w:r w:rsidR="001350B9" w:rsidRPr="00424D9E">
              <w:rPr>
                <w:rFonts w:cstheme="minorHAnsi"/>
                <w:sz w:val="22"/>
                <w:szCs w:val="22"/>
              </w:rPr>
              <w:t>A los Miembros del Sector UIT</w:t>
            </w:r>
            <w:r w:rsidR="001350B9" w:rsidRPr="00424D9E">
              <w:rPr>
                <w:rFonts w:cstheme="minorHAnsi"/>
                <w:sz w:val="22"/>
                <w:szCs w:val="22"/>
              </w:rPr>
              <w:noBreakHyphen/>
              <w:t>T;</w:t>
            </w:r>
          </w:p>
          <w:p w14:paraId="3709FC11" w14:textId="3EF821A2" w:rsidR="001350B9" w:rsidRPr="00424D9E" w:rsidRDefault="002E3FB7" w:rsidP="00424D9E">
            <w:pPr>
              <w:tabs>
                <w:tab w:val="clear" w:pos="794"/>
                <w:tab w:val="left" w:pos="502"/>
                <w:tab w:val="left" w:pos="4111"/>
              </w:tabs>
              <w:spacing w:before="0" w:after="20"/>
              <w:ind w:left="363" w:hanging="284"/>
              <w:rPr>
                <w:rFonts w:cstheme="minorHAnsi"/>
                <w:sz w:val="22"/>
                <w:szCs w:val="22"/>
              </w:rPr>
            </w:pPr>
            <w:r w:rsidRPr="00424D9E">
              <w:rPr>
                <w:rFonts w:cstheme="minorHAnsi"/>
                <w:sz w:val="22"/>
                <w:szCs w:val="22"/>
              </w:rPr>
              <w:t>–</w:t>
            </w:r>
            <w:r w:rsidRPr="00424D9E">
              <w:rPr>
                <w:rFonts w:cstheme="minorHAnsi"/>
                <w:sz w:val="22"/>
                <w:szCs w:val="22"/>
              </w:rPr>
              <w:tab/>
            </w:r>
            <w:r w:rsidR="001350B9" w:rsidRPr="00424D9E">
              <w:rPr>
                <w:rFonts w:cstheme="minorHAnsi"/>
                <w:sz w:val="22"/>
                <w:szCs w:val="22"/>
              </w:rPr>
              <w:t>A los Asociados del UIT</w:t>
            </w:r>
            <w:r w:rsidR="001350B9" w:rsidRPr="00424D9E">
              <w:rPr>
                <w:rFonts w:cstheme="minorHAnsi"/>
                <w:sz w:val="22"/>
                <w:szCs w:val="22"/>
              </w:rPr>
              <w:noBreakHyphen/>
              <w:t>T;</w:t>
            </w:r>
          </w:p>
          <w:p w14:paraId="1517DEE9" w14:textId="0110225B" w:rsidR="001350B9" w:rsidRPr="00424D9E" w:rsidRDefault="002E3FB7" w:rsidP="00424D9E">
            <w:pPr>
              <w:tabs>
                <w:tab w:val="clear" w:pos="794"/>
                <w:tab w:val="left" w:pos="502"/>
                <w:tab w:val="left" w:pos="4111"/>
              </w:tabs>
              <w:spacing w:before="0" w:after="20"/>
              <w:ind w:left="363" w:hanging="284"/>
              <w:rPr>
                <w:rFonts w:cstheme="minorHAnsi"/>
                <w:sz w:val="22"/>
                <w:szCs w:val="22"/>
              </w:rPr>
            </w:pPr>
            <w:r w:rsidRPr="00424D9E">
              <w:rPr>
                <w:rFonts w:cstheme="minorHAnsi"/>
                <w:sz w:val="22"/>
                <w:szCs w:val="22"/>
              </w:rPr>
              <w:t>–</w:t>
            </w:r>
            <w:r w:rsidRPr="00424D9E">
              <w:rPr>
                <w:rFonts w:cstheme="minorHAnsi"/>
                <w:sz w:val="22"/>
                <w:szCs w:val="22"/>
              </w:rPr>
              <w:tab/>
            </w:r>
            <w:r w:rsidR="001350B9" w:rsidRPr="00424D9E">
              <w:rPr>
                <w:rFonts w:cstheme="minorHAnsi"/>
                <w:sz w:val="22"/>
                <w:szCs w:val="22"/>
              </w:rPr>
              <w:t>A las Instituciones Académicas del UIT-T;</w:t>
            </w:r>
          </w:p>
          <w:p w14:paraId="1A4DEBE8" w14:textId="2B69D81B" w:rsidR="002E3FB7" w:rsidRPr="00424D9E" w:rsidRDefault="002E3FB7" w:rsidP="00424D9E">
            <w:pPr>
              <w:tabs>
                <w:tab w:val="clear" w:pos="794"/>
                <w:tab w:val="left" w:pos="226"/>
                <w:tab w:val="left" w:pos="4111"/>
              </w:tabs>
              <w:spacing w:before="0" w:after="20"/>
              <w:ind w:left="57"/>
              <w:rPr>
                <w:rFonts w:cstheme="minorHAnsi"/>
                <w:b/>
                <w:bCs/>
                <w:sz w:val="22"/>
                <w:szCs w:val="22"/>
              </w:rPr>
            </w:pPr>
            <w:r w:rsidRPr="00424D9E">
              <w:rPr>
                <w:rFonts w:cstheme="minorHAnsi"/>
                <w:b/>
                <w:bCs/>
                <w:sz w:val="22"/>
                <w:szCs w:val="22"/>
              </w:rPr>
              <w:t>Copia a:</w:t>
            </w:r>
          </w:p>
          <w:p w14:paraId="4FCF561A" w14:textId="486D83A4" w:rsidR="001350B9" w:rsidRPr="00424D9E" w:rsidRDefault="002E3FB7" w:rsidP="00424D9E">
            <w:pPr>
              <w:tabs>
                <w:tab w:val="clear" w:pos="794"/>
                <w:tab w:val="left" w:pos="502"/>
                <w:tab w:val="left" w:pos="4111"/>
              </w:tabs>
              <w:spacing w:before="0" w:after="20"/>
              <w:ind w:left="363" w:hanging="284"/>
              <w:rPr>
                <w:rFonts w:cstheme="minorHAnsi"/>
                <w:sz w:val="22"/>
                <w:szCs w:val="22"/>
              </w:rPr>
            </w:pPr>
            <w:r w:rsidRPr="00424D9E">
              <w:rPr>
                <w:rFonts w:cstheme="minorHAnsi"/>
                <w:sz w:val="22"/>
                <w:szCs w:val="22"/>
              </w:rPr>
              <w:t>–</w:t>
            </w:r>
            <w:r w:rsidRPr="00424D9E">
              <w:rPr>
                <w:rFonts w:cstheme="minorHAnsi"/>
                <w:sz w:val="22"/>
                <w:szCs w:val="22"/>
              </w:rPr>
              <w:tab/>
              <w:t>El</w:t>
            </w:r>
            <w:r w:rsidR="001350B9" w:rsidRPr="00424D9E">
              <w:rPr>
                <w:rFonts w:cstheme="minorHAnsi"/>
                <w:sz w:val="22"/>
                <w:szCs w:val="22"/>
              </w:rPr>
              <w:t xml:space="preserve"> </w:t>
            </w:r>
            <w:proofErr w:type="gramStart"/>
            <w:r w:rsidR="001350B9" w:rsidRPr="00424D9E">
              <w:rPr>
                <w:rFonts w:cstheme="minorHAnsi"/>
                <w:sz w:val="22"/>
                <w:szCs w:val="22"/>
              </w:rPr>
              <w:t>Presidente</w:t>
            </w:r>
            <w:proofErr w:type="gramEnd"/>
            <w:r w:rsidR="001350B9" w:rsidRPr="00424D9E">
              <w:rPr>
                <w:rFonts w:cstheme="minorHAnsi"/>
                <w:sz w:val="22"/>
                <w:szCs w:val="22"/>
              </w:rPr>
              <w:t xml:space="preserve"> y a los </w:t>
            </w:r>
            <w:proofErr w:type="gramStart"/>
            <w:r w:rsidR="001350B9" w:rsidRPr="00424D9E">
              <w:rPr>
                <w:rFonts w:cstheme="minorHAnsi"/>
                <w:sz w:val="22"/>
                <w:szCs w:val="22"/>
              </w:rPr>
              <w:t>Vicepresidentes</w:t>
            </w:r>
            <w:proofErr w:type="gramEnd"/>
            <w:r w:rsidR="001350B9" w:rsidRPr="00424D9E">
              <w:rPr>
                <w:rFonts w:cstheme="minorHAnsi"/>
                <w:sz w:val="22"/>
                <w:szCs w:val="22"/>
              </w:rPr>
              <w:t xml:space="preserve"> de </w:t>
            </w:r>
            <w:r w:rsidR="006D0292" w:rsidRPr="00424D9E">
              <w:rPr>
                <w:rFonts w:cstheme="minorHAnsi"/>
                <w:sz w:val="22"/>
                <w:szCs w:val="22"/>
              </w:rPr>
              <w:br/>
            </w:r>
            <w:r w:rsidR="001350B9" w:rsidRPr="00424D9E">
              <w:rPr>
                <w:rFonts w:cstheme="minorHAnsi"/>
                <w:sz w:val="22"/>
                <w:szCs w:val="22"/>
              </w:rPr>
              <w:t>l</w:t>
            </w:r>
            <w:r w:rsidR="006D0292" w:rsidRPr="00424D9E">
              <w:rPr>
                <w:rFonts w:cstheme="minorHAnsi"/>
                <w:sz w:val="22"/>
                <w:szCs w:val="22"/>
              </w:rPr>
              <w:t>a C</w:t>
            </w:r>
            <w:r w:rsidR="001350B9" w:rsidRPr="00424D9E">
              <w:rPr>
                <w:rFonts w:cstheme="minorHAnsi"/>
                <w:sz w:val="22"/>
                <w:szCs w:val="22"/>
              </w:rPr>
              <w:t xml:space="preserve">omisión de Estudio </w:t>
            </w:r>
            <w:r w:rsidR="006D0292" w:rsidRPr="00424D9E">
              <w:rPr>
                <w:rFonts w:cstheme="minorHAnsi"/>
                <w:sz w:val="22"/>
                <w:szCs w:val="22"/>
              </w:rPr>
              <w:t>del UIT-T</w:t>
            </w:r>
            <w:r w:rsidR="001350B9" w:rsidRPr="00424D9E">
              <w:rPr>
                <w:rFonts w:cstheme="minorHAnsi"/>
                <w:sz w:val="22"/>
                <w:szCs w:val="22"/>
              </w:rPr>
              <w:t>;</w:t>
            </w:r>
          </w:p>
          <w:p w14:paraId="60270BE5" w14:textId="49A0462B" w:rsidR="001350B9" w:rsidRPr="00424D9E" w:rsidRDefault="002E3FB7" w:rsidP="00424D9E">
            <w:pPr>
              <w:tabs>
                <w:tab w:val="clear" w:pos="794"/>
                <w:tab w:val="left" w:pos="510"/>
                <w:tab w:val="left" w:pos="4111"/>
              </w:tabs>
              <w:spacing w:before="0" w:after="20"/>
              <w:ind w:left="363" w:hanging="284"/>
              <w:rPr>
                <w:rFonts w:cstheme="minorHAnsi"/>
                <w:sz w:val="22"/>
                <w:szCs w:val="22"/>
              </w:rPr>
            </w:pPr>
            <w:r w:rsidRPr="00424D9E">
              <w:rPr>
                <w:rFonts w:cstheme="minorHAnsi"/>
                <w:sz w:val="22"/>
                <w:szCs w:val="22"/>
              </w:rPr>
              <w:t>–</w:t>
            </w:r>
            <w:r w:rsidRPr="00424D9E">
              <w:rPr>
                <w:rFonts w:cstheme="minorHAnsi"/>
                <w:sz w:val="22"/>
                <w:szCs w:val="22"/>
              </w:rPr>
              <w:tab/>
              <w:t>L</w:t>
            </w:r>
            <w:r w:rsidR="001350B9" w:rsidRPr="00424D9E">
              <w:rPr>
                <w:rFonts w:cstheme="minorHAnsi"/>
                <w:sz w:val="22"/>
                <w:szCs w:val="22"/>
              </w:rPr>
              <w:t xml:space="preserve">a </w:t>
            </w:r>
            <w:proofErr w:type="gramStart"/>
            <w:r w:rsidR="001350B9" w:rsidRPr="00424D9E">
              <w:rPr>
                <w:rFonts w:cstheme="minorHAnsi"/>
                <w:sz w:val="22"/>
                <w:szCs w:val="22"/>
              </w:rPr>
              <w:t>Directora</w:t>
            </w:r>
            <w:proofErr w:type="gramEnd"/>
            <w:r w:rsidR="001350B9" w:rsidRPr="00424D9E">
              <w:rPr>
                <w:rFonts w:cstheme="minorHAnsi"/>
                <w:sz w:val="22"/>
                <w:szCs w:val="22"/>
              </w:rPr>
              <w:t xml:space="preserve"> de la Oficina de Desarrollo de las Telecomunicaciones;</w:t>
            </w:r>
          </w:p>
          <w:p w14:paraId="550031F9" w14:textId="5A9DC8ED" w:rsidR="001350B9" w:rsidRPr="00424D9E" w:rsidRDefault="002E3FB7" w:rsidP="00424D9E">
            <w:pPr>
              <w:tabs>
                <w:tab w:val="clear" w:pos="794"/>
                <w:tab w:val="left" w:pos="510"/>
                <w:tab w:val="left" w:pos="4111"/>
              </w:tabs>
              <w:spacing w:before="0" w:after="20"/>
              <w:ind w:left="363" w:hanging="284"/>
              <w:rPr>
                <w:rFonts w:cstheme="minorHAnsi"/>
                <w:sz w:val="22"/>
                <w:szCs w:val="22"/>
              </w:rPr>
            </w:pPr>
            <w:r w:rsidRPr="00424D9E">
              <w:rPr>
                <w:rFonts w:cstheme="minorHAnsi"/>
                <w:sz w:val="22"/>
                <w:szCs w:val="22"/>
              </w:rPr>
              <w:t>–</w:t>
            </w:r>
            <w:r w:rsidRPr="00424D9E">
              <w:rPr>
                <w:rFonts w:cstheme="minorHAnsi"/>
                <w:sz w:val="22"/>
                <w:szCs w:val="22"/>
              </w:rPr>
              <w:tab/>
            </w:r>
            <w:r w:rsidR="006D0292" w:rsidRPr="00424D9E">
              <w:rPr>
                <w:rFonts w:cstheme="minorHAnsi"/>
                <w:sz w:val="22"/>
                <w:szCs w:val="22"/>
              </w:rPr>
              <w:t>E</w:t>
            </w:r>
            <w:r w:rsidR="001350B9" w:rsidRPr="00424D9E">
              <w:rPr>
                <w:rFonts w:cstheme="minorHAnsi"/>
                <w:sz w:val="22"/>
                <w:szCs w:val="22"/>
              </w:rPr>
              <w:t xml:space="preserve">l </w:t>
            </w:r>
            <w:proofErr w:type="gramStart"/>
            <w:r w:rsidR="001350B9" w:rsidRPr="00424D9E">
              <w:rPr>
                <w:rFonts w:cstheme="minorHAnsi"/>
                <w:sz w:val="22"/>
                <w:szCs w:val="22"/>
              </w:rPr>
              <w:t>Director</w:t>
            </w:r>
            <w:proofErr w:type="gramEnd"/>
            <w:r w:rsidR="001350B9" w:rsidRPr="00424D9E">
              <w:rPr>
                <w:rFonts w:cstheme="minorHAnsi"/>
                <w:sz w:val="22"/>
                <w:szCs w:val="22"/>
              </w:rPr>
              <w:t xml:space="preserve"> de la Oficina de Radiocomunicaciones</w:t>
            </w:r>
          </w:p>
        </w:tc>
      </w:tr>
      <w:tr w:rsidR="001350B9" w:rsidRPr="00424D9E" w14:paraId="4128727F" w14:textId="77777777" w:rsidTr="00424D9E">
        <w:trPr>
          <w:cantSplit/>
        </w:trPr>
        <w:tc>
          <w:tcPr>
            <w:tcW w:w="1260" w:type="dxa"/>
          </w:tcPr>
          <w:p w14:paraId="5F1D4D90" w14:textId="77777777" w:rsidR="001350B9" w:rsidRPr="00424D9E" w:rsidRDefault="001350B9" w:rsidP="00424D9E">
            <w:pPr>
              <w:tabs>
                <w:tab w:val="left" w:pos="4111"/>
              </w:tabs>
              <w:spacing w:before="10"/>
              <w:ind w:left="90"/>
              <w:rPr>
                <w:rFonts w:cstheme="minorHAnsi"/>
                <w:sz w:val="22"/>
                <w:szCs w:val="22"/>
              </w:rPr>
            </w:pPr>
            <w:r w:rsidRPr="00424D9E">
              <w:rPr>
                <w:rFonts w:cstheme="minorHAnsi"/>
                <w:sz w:val="22"/>
                <w:szCs w:val="22"/>
              </w:rPr>
              <w:t>Tel.:</w:t>
            </w:r>
          </w:p>
        </w:tc>
        <w:tc>
          <w:tcPr>
            <w:tcW w:w="3715" w:type="dxa"/>
          </w:tcPr>
          <w:p w14:paraId="02358341" w14:textId="2B50B947" w:rsidR="001350B9" w:rsidRPr="00424D9E" w:rsidRDefault="001350B9" w:rsidP="00303D62">
            <w:pPr>
              <w:tabs>
                <w:tab w:val="left" w:pos="4111"/>
              </w:tabs>
              <w:spacing w:before="0"/>
              <w:ind w:left="57"/>
              <w:rPr>
                <w:rStyle w:val="Hyperlink"/>
                <w:rFonts w:cstheme="minorHAnsi"/>
                <w:color w:val="auto"/>
                <w:sz w:val="22"/>
                <w:szCs w:val="22"/>
              </w:rPr>
            </w:pPr>
            <w:r w:rsidRPr="00424D9E">
              <w:rPr>
                <w:rFonts w:cstheme="minorHAnsi"/>
                <w:sz w:val="22"/>
                <w:szCs w:val="22"/>
              </w:rPr>
              <w:t>+41 22 730</w:t>
            </w:r>
            <w:r w:rsidR="002E3FB7" w:rsidRPr="00424D9E">
              <w:rPr>
                <w:rFonts w:cstheme="minorHAnsi"/>
                <w:sz w:val="22"/>
                <w:szCs w:val="22"/>
              </w:rPr>
              <w:t xml:space="preserve"> 5893</w:t>
            </w:r>
          </w:p>
        </w:tc>
        <w:tc>
          <w:tcPr>
            <w:tcW w:w="5329" w:type="dxa"/>
            <w:vMerge/>
          </w:tcPr>
          <w:p w14:paraId="59F90457" w14:textId="77777777" w:rsidR="001350B9" w:rsidRPr="00424D9E" w:rsidRDefault="001350B9" w:rsidP="00303D62">
            <w:pPr>
              <w:tabs>
                <w:tab w:val="left" w:pos="226"/>
                <w:tab w:val="left" w:pos="510"/>
              </w:tabs>
              <w:spacing w:before="0"/>
              <w:ind w:left="226" w:hanging="169"/>
              <w:rPr>
                <w:rFonts w:cstheme="minorHAnsi"/>
                <w:b/>
                <w:sz w:val="22"/>
                <w:szCs w:val="22"/>
              </w:rPr>
            </w:pPr>
          </w:p>
        </w:tc>
      </w:tr>
      <w:tr w:rsidR="001350B9" w:rsidRPr="00424D9E" w14:paraId="3206733A" w14:textId="77777777" w:rsidTr="00424D9E">
        <w:trPr>
          <w:cantSplit/>
        </w:trPr>
        <w:tc>
          <w:tcPr>
            <w:tcW w:w="1260" w:type="dxa"/>
          </w:tcPr>
          <w:p w14:paraId="47BD4A67" w14:textId="77777777" w:rsidR="001350B9" w:rsidRPr="00424D9E" w:rsidRDefault="001350B9" w:rsidP="00424D9E">
            <w:pPr>
              <w:tabs>
                <w:tab w:val="left" w:pos="4111"/>
              </w:tabs>
              <w:spacing w:before="10"/>
              <w:ind w:left="90"/>
              <w:rPr>
                <w:rFonts w:cstheme="minorHAnsi"/>
                <w:sz w:val="22"/>
                <w:szCs w:val="22"/>
              </w:rPr>
            </w:pPr>
            <w:r w:rsidRPr="00424D9E">
              <w:rPr>
                <w:rFonts w:cstheme="minorHAnsi"/>
                <w:sz w:val="22"/>
                <w:szCs w:val="22"/>
              </w:rPr>
              <w:t>Fax:</w:t>
            </w:r>
          </w:p>
        </w:tc>
        <w:tc>
          <w:tcPr>
            <w:tcW w:w="3715" w:type="dxa"/>
          </w:tcPr>
          <w:p w14:paraId="43DC2A35" w14:textId="77777777" w:rsidR="001350B9" w:rsidRPr="00424D9E" w:rsidRDefault="001350B9" w:rsidP="00303D62">
            <w:pPr>
              <w:tabs>
                <w:tab w:val="left" w:pos="4111"/>
              </w:tabs>
              <w:spacing w:before="0"/>
              <w:ind w:left="57"/>
              <w:rPr>
                <w:rStyle w:val="Hyperlink"/>
                <w:rFonts w:cstheme="minorHAnsi"/>
                <w:color w:val="auto"/>
                <w:sz w:val="22"/>
                <w:szCs w:val="22"/>
              </w:rPr>
            </w:pPr>
            <w:r w:rsidRPr="00424D9E">
              <w:rPr>
                <w:rFonts w:cstheme="minorHAnsi"/>
                <w:sz w:val="22"/>
                <w:szCs w:val="22"/>
              </w:rPr>
              <w:t>+41 22 730 5853</w:t>
            </w:r>
          </w:p>
        </w:tc>
        <w:tc>
          <w:tcPr>
            <w:tcW w:w="5329" w:type="dxa"/>
            <w:vMerge/>
          </w:tcPr>
          <w:p w14:paraId="704C1675" w14:textId="77777777" w:rsidR="001350B9" w:rsidRPr="00424D9E" w:rsidRDefault="001350B9" w:rsidP="00303D62">
            <w:pPr>
              <w:tabs>
                <w:tab w:val="left" w:pos="226"/>
                <w:tab w:val="left" w:pos="510"/>
              </w:tabs>
              <w:spacing w:before="0"/>
              <w:ind w:left="226" w:hanging="169"/>
              <w:rPr>
                <w:rFonts w:cstheme="minorHAnsi"/>
                <w:b/>
                <w:sz w:val="22"/>
                <w:szCs w:val="22"/>
              </w:rPr>
            </w:pPr>
          </w:p>
        </w:tc>
      </w:tr>
      <w:tr w:rsidR="001350B9" w:rsidRPr="00424D9E" w14:paraId="08ECAFCF" w14:textId="77777777" w:rsidTr="00424D9E">
        <w:trPr>
          <w:cantSplit/>
          <w:trHeight w:val="2754"/>
        </w:trPr>
        <w:tc>
          <w:tcPr>
            <w:tcW w:w="1260" w:type="dxa"/>
          </w:tcPr>
          <w:p w14:paraId="3C7F4120" w14:textId="77777777" w:rsidR="001350B9" w:rsidRPr="00424D9E" w:rsidRDefault="001350B9" w:rsidP="00424D9E">
            <w:pPr>
              <w:tabs>
                <w:tab w:val="left" w:pos="4111"/>
              </w:tabs>
              <w:spacing w:before="10"/>
              <w:ind w:left="90"/>
              <w:rPr>
                <w:rFonts w:cstheme="minorHAnsi"/>
                <w:sz w:val="22"/>
                <w:szCs w:val="22"/>
              </w:rPr>
            </w:pPr>
            <w:r w:rsidRPr="00424D9E">
              <w:rPr>
                <w:rFonts w:cstheme="minorHAnsi"/>
                <w:sz w:val="22"/>
                <w:szCs w:val="22"/>
              </w:rPr>
              <w:t>Correo-e:</w:t>
            </w:r>
          </w:p>
        </w:tc>
        <w:tc>
          <w:tcPr>
            <w:tcW w:w="3715" w:type="dxa"/>
          </w:tcPr>
          <w:p w14:paraId="78F24648" w14:textId="2D43FC90" w:rsidR="001350B9" w:rsidRPr="00424D9E" w:rsidRDefault="002E3FB7" w:rsidP="00303D62">
            <w:pPr>
              <w:tabs>
                <w:tab w:val="left" w:pos="4111"/>
              </w:tabs>
              <w:spacing w:before="0"/>
              <w:ind w:left="57"/>
              <w:rPr>
                <w:rFonts w:cstheme="minorHAnsi"/>
                <w:sz w:val="22"/>
                <w:szCs w:val="22"/>
              </w:rPr>
            </w:pPr>
            <w:hyperlink r:id="rId9" w:history="1">
              <w:r w:rsidRPr="00424D9E">
                <w:rPr>
                  <w:rStyle w:val="Hyperlink"/>
                  <w:rFonts w:cstheme="minorHAnsi"/>
                  <w:sz w:val="22"/>
                  <w:szCs w:val="22"/>
                </w:rPr>
                <w:t>quantum@itu.int</w:t>
              </w:r>
            </w:hyperlink>
          </w:p>
        </w:tc>
        <w:tc>
          <w:tcPr>
            <w:tcW w:w="5329" w:type="dxa"/>
            <w:vMerge/>
          </w:tcPr>
          <w:p w14:paraId="017F3A50" w14:textId="77777777" w:rsidR="001350B9" w:rsidRPr="00424D9E" w:rsidRDefault="001350B9" w:rsidP="00303D62">
            <w:pPr>
              <w:tabs>
                <w:tab w:val="clear" w:pos="794"/>
                <w:tab w:val="clear" w:pos="1191"/>
                <w:tab w:val="clear" w:pos="1588"/>
                <w:tab w:val="clear" w:pos="1985"/>
                <w:tab w:val="left" w:pos="226"/>
                <w:tab w:val="left" w:pos="510"/>
              </w:tabs>
              <w:spacing w:before="0"/>
              <w:ind w:left="226" w:hanging="169"/>
              <w:rPr>
                <w:rFonts w:cstheme="minorHAnsi"/>
                <w:sz w:val="22"/>
                <w:szCs w:val="22"/>
              </w:rPr>
            </w:pPr>
          </w:p>
        </w:tc>
      </w:tr>
      <w:tr w:rsidR="007B6316" w:rsidRPr="00424D9E" w14:paraId="7ED41C8D" w14:textId="77777777" w:rsidTr="00424D9E">
        <w:trPr>
          <w:cantSplit/>
        </w:trPr>
        <w:tc>
          <w:tcPr>
            <w:tcW w:w="1260" w:type="dxa"/>
          </w:tcPr>
          <w:p w14:paraId="584F2322" w14:textId="77777777" w:rsidR="007B6316" w:rsidRPr="00424D9E" w:rsidRDefault="007B6316" w:rsidP="00424D9E">
            <w:pPr>
              <w:tabs>
                <w:tab w:val="left" w:pos="4111"/>
              </w:tabs>
              <w:spacing w:before="10"/>
              <w:ind w:left="90"/>
              <w:rPr>
                <w:rFonts w:cstheme="minorHAnsi"/>
                <w:sz w:val="22"/>
                <w:szCs w:val="22"/>
              </w:rPr>
            </w:pPr>
            <w:r w:rsidRPr="00424D9E">
              <w:rPr>
                <w:rFonts w:cstheme="minorHAnsi"/>
                <w:b/>
                <w:bCs/>
                <w:sz w:val="22"/>
                <w:szCs w:val="22"/>
              </w:rPr>
              <w:t>Asunto:</w:t>
            </w:r>
          </w:p>
        </w:tc>
        <w:tc>
          <w:tcPr>
            <w:tcW w:w="9044" w:type="dxa"/>
            <w:gridSpan w:val="2"/>
          </w:tcPr>
          <w:p w14:paraId="6F03C61C" w14:textId="79E66B46" w:rsidR="007B6316" w:rsidRPr="00424D9E" w:rsidRDefault="002E3FB7" w:rsidP="006D0292">
            <w:pPr>
              <w:tabs>
                <w:tab w:val="left" w:pos="4111"/>
              </w:tabs>
              <w:spacing w:before="0"/>
              <w:ind w:left="57"/>
              <w:rPr>
                <w:rFonts w:cstheme="minorHAnsi"/>
                <w:b/>
                <w:sz w:val="22"/>
                <w:szCs w:val="22"/>
              </w:rPr>
            </w:pPr>
            <w:r w:rsidRPr="00424D9E">
              <w:rPr>
                <w:rFonts w:cstheme="minorHAnsi"/>
                <w:b/>
                <w:bCs/>
                <w:sz w:val="22"/>
                <w:szCs w:val="22"/>
              </w:rPr>
              <w:t xml:space="preserve">Hackathon mundial Future </w:t>
            </w:r>
            <w:proofErr w:type="spellStart"/>
            <w:r w:rsidRPr="00424D9E">
              <w:rPr>
                <w:rFonts w:cstheme="minorHAnsi"/>
                <w:b/>
                <w:bCs/>
                <w:sz w:val="22"/>
                <w:szCs w:val="22"/>
              </w:rPr>
              <w:t>Leaders</w:t>
            </w:r>
            <w:proofErr w:type="spellEnd"/>
            <w:r w:rsidRPr="00424D9E">
              <w:rPr>
                <w:rFonts w:cstheme="minorHAnsi"/>
                <w:b/>
                <w:bCs/>
                <w:sz w:val="22"/>
                <w:szCs w:val="22"/>
              </w:rPr>
              <w:t xml:space="preserve"> in Quantum (FLIQ) (virtual, 16-20 de mayo de 2025)</w:t>
            </w:r>
          </w:p>
        </w:tc>
      </w:tr>
    </w:tbl>
    <w:p w14:paraId="2A583B25" w14:textId="42A5331B" w:rsidR="00C34772" w:rsidRPr="00424D9E" w:rsidRDefault="00C34772" w:rsidP="00424D9E">
      <w:pPr>
        <w:spacing w:before="240"/>
        <w:rPr>
          <w:rFonts w:cstheme="minorHAnsi"/>
          <w:sz w:val="22"/>
          <w:szCs w:val="22"/>
        </w:rPr>
      </w:pPr>
      <w:bookmarkStart w:id="1" w:name="StartTyping_S"/>
      <w:bookmarkStart w:id="2" w:name="suitetext"/>
      <w:bookmarkStart w:id="3" w:name="text"/>
      <w:bookmarkEnd w:id="1"/>
      <w:bookmarkEnd w:id="2"/>
      <w:bookmarkEnd w:id="3"/>
      <w:r w:rsidRPr="00424D9E">
        <w:rPr>
          <w:rFonts w:cstheme="minorHAnsi"/>
          <w:sz w:val="22"/>
          <w:szCs w:val="22"/>
        </w:rPr>
        <w:t>Muy Señora mía/Muy Señor mío</w:t>
      </w:r>
      <w:r w:rsidR="00424D9E">
        <w:rPr>
          <w:rFonts w:cstheme="minorHAnsi"/>
          <w:sz w:val="22"/>
          <w:szCs w:val="22"/>
        </w:rPr>
        <w:t>,</w:t>
      </w:r>
    </w:p>
    <w:p w14:paraId="29D54825" w14:textId="09808F1C" w:rsidR="007C4A2C" w:rsidRPr="00424D9E" w:rsidRDefault="007C4A2C" w:rsidP="007C4A2C">
      <w:pPr>
        <w:rPr>
          <w:rFonts w:cstheme="minorHAnsi"/>
          <w:sz w:val="22"/>
          <w:szCs w:val="22"/>
        </w:rPr>
      </w:pPr>
      <w:r w:rsidRPr="00424D9E">
        <w:rPr>
          <w:rFonts w:cstheme="minorHAnsi"/>
          <w:sz w:val="22"/>
          <w:szCs w:val="22"/>
        </w:rPr>
        <w:t>1</w:t>
      </w:r>
      <w:r w:rsidRPr="00424D9E">
        <w:rPr>
          <w:rFonts w:cstheme="minorHAnsi"/>
          <w:sz w:val="22"/>
          <w:szCs w:val="22"/>
        </w:rPr>
        <w:tab/>
        <w:t xml:space="preserve">Tengo el placer de invitarle a participar en el </w:t>
      </w:r>
      <w:hyperlink r:id="rId10" w:history="1">
        <w:r w:rsidR="00963FB2" w:rsidRPr="00424D9E">
          <w:rPr>
            <w:rStyle w:val="Hyperlink"/>
            <w:rFonts w:cstheme="minorHAnsi"/>
            <w:sz w:val="22"/>
            <w:szCs w:val="22"/>
          </w:rPr>
          <w:t>Hackathon</w:t>
        </w:r>
        <w:r w:rsidRPr="00424D9E">
          <w:rPr>
            <w:rStyle w:val="Hyperlink"/>
            <w:rFonts w:cstheme="minorHAnsi"/>
            <w:sz w:val="22"/>
            <w:szCs w:val="22"/>
          </w:rPr>
          <w:t xml:space="preserve"> Mundial Future Leaders in Quantum</w:t>
        </w:r>
      </w:hyperlink>
      <w:r w:rsidRPr="00424D9E">
        <w:rPr>
          <w:rFonts w:cstheme="minorHAnsi"/>
          <w:sz w:val="22"/>
          <w:szCs w:val="22"/>
        </w:rPr>
        <w:t xml:space="preserve"> (FLIQ), coorganizado por la Unión Internacional de Telecomunicaciones (UIT) y la </w:t>
      </w:r>
      <w:hyperlink r:id="rId11" w:history="1">
        <w:r w:rsidRPr="00424D9E">
          <w:rPr>
            <w:rStyle w:val="Hyperlink"/>
            <w:rFonts w:cstheme="minorHAnsi"/>
            <w:sz w:val="22"/>
            <w:szCs w:val="22"/>
          </w:rPr>
          <w:t>Coalición Cuántica</w:t>
        </w:r>
      </w:hyperlink>
      <w:r w:rsidRPr="00424D9E">
        <w:rPr>
          <w:rFonts w:cstheme="minorHAnsi"/>
          <w:sz w:val="22"/>
          <w:szCs w:val="22"/>
        </w:rPr>
        <w:t xml:space="preserve"> para celebrar el </w:t>
      </w:r>
      <w:hyperlink r:id="rId12" w:history="1">
        <w:r w:rsidRPr="00424D9E">
          <w:rPr>
            <w:rStyle w:val="Hyperlink"/>
            <w:rFonts w:cstheme="minorHAnsi"/>
            <w:sz w:val="22"/>
            <w:szCs w:val="22"/>
          </w:rPr>
          <w:t>Año Internacional de la Ciencia y la Tecnología Cuánticas 2025</w:t>
        </w:r>
      </w:hyperlink>
      <w:r w:rsidRPr="00424D9E">
        <w:rPr>
          <w:rFonts w:cstheme="minorHAnsi"/>
          <w:sz w:val="22"/>
          <w:szCs w:val="22"/>
        </w:rPr>
        <w:t xml:space="preserve"> (AIQ 2025).</w:t>
      </w:r>
    </w:p>
    <w:p w14:paraId="763D8470" w14:textId="66AB0AEE" w:rsidR="007C4A2C" w:rsidRPr="00424D9E" w:rsidRDefault="007C4A2C" w:rsidP="007C4A2C">
      <w:pPr>
        <w:rPr>
          <w:rFonts w:cstheme="minorHAnsi"/>
          <w:sz w:val="22"/>
          <w:szCs w:val="22"/>
        </w:rPr>
      </w:pPr>
      <w:r w:rsidRPr="00424D9E">
        <w:rPr>
          <w:rFonts w:cstheme="minorHAnsi"/>
          <w:sz w:val="22"/>
          <w:szCs w:val="22"/>
        </w:rPr>
        <w:t>2</w:t>
      </w:r>
      <w:r w:rsidRPr="00424D9E">
        <w:rPr>
          <w:rFonts w:cstheme="minorHAnsi"/>
          <w:sz w:val="22"/>
          <w:szCs w:val="22"/>
        </w:rPr>
        <w:tab/>
      </w:r>
      <w:proofErr w:type="gramStart"/>
      <w:r w:rsidRPr="00424D9E">
        <w:rPr>
          <w:rFonts w:cstheme="minorHAnsi"/>
          <w:sz w:val="22"/>
          <w:szCs w:val="22"/>
        </w:rPr>
        <w:t>El</w:t>
      </w:r>
      <w:proofErr w:type="gramEnd"/>
      <w:r w:rsidRPr="00424D9E">
        <w:rPr>
          <w:rFonts w:cstheme="minorHAnsi"/>
          <w:sz w:val="22"/>
          <w:szCs w:val="22"/>
        </w:rPr>
        <w:t xml:space="preserve"> Hackathon Mundial FLIQ tiene como objetivo atraer a estudiantes, profesionales que inician su carrera y estudiantes preuniversitarios mayores de 16 años interesados en la ciencia y la tecnología cuánticas. Fomentará la colaboración con la industria para crear en común soluciones para el bien social, al tiempo que promoverá la innovación, el trabajo en equipo interdisciplinario y los enfoques creativos en tecnología cuántica.</w:t>
      </w:r>
    </w:p>
    <w:p w14:paraId="310EA417" w14:textId="77777777" w:rsidR="007C4A2C" w:rsidRPr="00424D9E" w:rsidRDefault="007C4A2C" w:rsidP="007C4A2C">
      <w:pPr>
        <w:rPr>
          <w:rFonts w:cstheme="minorHAnsi"/>
          <w:sz w:val="22"/>
          <w:szCs w:val="22"/>
        </w:rPr>
      </w:pPr>
      <w:r w:rsidRPr="00424D9E">
        <w:rPr>
          <w:rFonts w:cstheme="minorHAnsi"/>
          <w:sz w:val="22"/>
          <w:szCs w:val="22"/>
        </w:rPr>
        <w:t>3</w:t>
      </w:r>
      <w:r w:rsidRPr="00424D9E">
        <w:rPr>
          <w:rFonts w:cstheme="minorHAnsi"/>
          <w:sz w:val="22"/>
          <w:szCs w:val="22"/>
        </w:rPr>
        <w:tab/>
      </w:r>
      <w:proofErr w:type="gramStart"/>
      <w:r w:rsidRPr="00424D9E">
        <w:rPr>
          <w:rFonts w:cstheme="minorHAnsi"/>
          <w:sz w:val="22"/>
          <w:szCs w:val="22"/>
        </w:rPr>
        <w:t>El</w:t>
      </w:r>
      <w:proofErr w:type="gramEnd"/>
      <w:r w:rsidRPr="00424D9E">
        <w:rPr>
          <w:rFonts w:cstheme="minorHAnsi"/>
          <w:sz w:val="22"/>
          <w:szCs w:val="22"/>
        </w:rPr>
        <w:t xml:space="preserve"> Hackathon contará con cuatro pistas temáticas (cada una de las cuales ofrecerá dos desafíos) diseñadas para involucrar a participantes con una variedad de intereses y competencias:</w:t>
      </w:r>
    </w:p>
    <w:p w14:paraId="19B9D34F" w14:textId="1FB1679A" w:rsidR="007C4A2C" w:rsidRPr="00424D9E" w:rsidRDefault="00963FB2" w:rsidP="00963FB2">
      <w:pPr>
        <w:pStyle w:val="enumlev1"/>
        <w:tabs>
          <w:tab w:val="clear" w:pos="794"/>
          <w:tab w:val="left" w:pos="1276"/>
        </w:tabs>
        <w:ind w:left="1191" w:hanging="482"/>
        <w:rPr>
          <w:rFonts w:cstheme="minorHAnsi"/>
          <w:sz w:val="22"/>
          <w:szCs w:val="22"/>
        </w:rPr>
      </w:pPr>
      <w:r w:rsidRPr="00424D9E">
        <w:rPr>
          <w:rFonts w:cstheme="minorHAnsi"/>
          <w:sz w:val="22"/>
          <w:szCs w:val="22"/>
        </w:rPr>
        <w:t>•</w:t>
      </w:r>
      <w:r w:rsidRPr="00424D9E">
        <w:rPr>
          <w:rFonts w:cstheme="minorHAnsi"/>
          <w:sz w:val="22"/>
          <w:szCs w:val="22"/>
        </w:rPr>
        <w:tab/>
      </w:r>
      <w:r w:rsidR="007C4A2C" w:rsidRPr="00424D9E">
        <w:rPr>
          <w:rFonts w:cstheme="minorHAnsi"/>
          <w:sz w:val="22"/>
          <w:szCs w:val="22"/>
        </w:rPr>
        <w:t xml:space="preserve">La </w:t>
      </w:r>
      <w:r w:rsidR="007C4A2C" w:rsidRPr="00424D9E">
        <w:rPr>
          <w:rFonts w:cstheme="minorHAnsi"/>
          <w:b/>
          <w:bCs/>
          <w:sz w:val="22"/>
          <w:szCs w:val="22"/>
        </w:rPr>
        <w:t>Vía Ciencia</w:t>
      </w:r>
      <w:r w:rsidR="007C4A2C" w:rsidRPr="00424D9E">
        <w:rPr>
          <w:rFonts w:cstheme="minorHAnsi"/>
          <w:sz w:val="22"/>
          <w:szCs w:val="22"/>
        </w:rPr>
        <w:t xml:space="preserve"> ofrecerá a los participantes una experiencia práctica con la pila de tecnología cuántica y está destinada a aquéllos con experiencia en CTIM o un gran interés en la investigación cuántica. Brindará la oportunidad de resolver desafíos técnicos utilizando el </w:t>
      </w:r>
      <w:r w:rsidR="007C4A2C" w:rsidRPr="00424D9E">
        <w:rPr>
          <w:rFonts w:cstheme="minorHAnsi"/>
          <w:i/>
          <w:iCs/>
          <w:sz w:val="22"/>
          <w:szCs w:val="22"/>
        </w:rPr>
        <w:t>software</w:t>
      </w:r>
      <w:r w:rsidR="007C4A2C" w:rsidRPr="00424D9E">
        <w:rPr>
          <w:rFonts w:cstheme="minorHAnsi"/>
          <w:sz w:val="22"/>
          <w:szCs w:val="22"/>
        </w:rPr>
        <w:t xml:space="preserve"> y las herramientas proporcionados por los diseñadores del desafío, al tiempo que permitirá a los socios de la industria mostrar sus plataformas, metodologías y prioridades de investigación.</w:t>
      </w:r>
    </w:p>
    <w:p w14:paraId="08EC4615" w14:textId="13AA3D0F" w:rsidR="007C4A2C" w:rsidRPr="00424D9E" w:rsidRDefault="00963FB2" w:rsidP="00963FB2">
      <w:pPr>
        <w:pStyle w:val="enumlev1"/>
        <w:tabs>
          <w:tab w:val="clear" w:pos="794"/>
          <w:tab w:val="left" w:pos="1276"/>
        </w:tabs>
        <w:ind w:left="1191" w:hanging="482"/>
        <w:rPr>
          <w:rFonts w:cstheme="minorHAnsi"/>
          <w:sz w:val="22"/>
          <w:szCs w:val="22"/>
        </w:rPr>
      </w:pPr>
      <w:r w:rsidRPr="00424D9E">
        <w:rPr>
          <w:rFonts w:cstheme="minorHAnsi"/>
          <w:sz w:val="22"/>
          <w:szCs w:val="22"/>
        </w:rPr>
        <w:t>•</w:t>
      </w:r>
      <w:r w:rsidRPr="00424D9E">
        <w:rPr>
          <w:rFonts w:cstheme="minorHAnsi"/>
          <w:sz w:val="22"/>
          <w:szCs w:val="22"/>
        </w:rPr>
        <w:tab/>
      </w:r>
      <w:r w:rsidR="007C4A2C" w:rsidRPr="00424D9E">
        <w:rPr>
          <w:rFonts w:cstheme="minorHAnsi"/>
          <w:sz w:val="22"/>
          <w:szCs w:val="22"/>
        </w:rPr>
        <w:t xml:space="preserve">La </w:t>
      </w:r>
      <w:r w:rsidR="007C4A2C" w:rsidRPr="00424D9E">
        <w:rPr>
          <w:rFonts w:cstheme="minorHAnsi"/>
          <w:b/>
          <w:bCs/>
          <w:sz w:val="22"/>
          <w:szCs w:val="22"/>
        </w:rPr>
        <w:t>Vía Educación</w:t>
      </w:r>
      <w:r w:rsidR="007C4A2C" w:rsidRPr="00424D9E">
        <w:rPr>
          <w:rFonts w:cstheme="minorHAnsi"/>
          <w:sz w:val="22"/>
          <w:szCs w:val="22"/>
        </w:rPr>
        <w:t xml:space="preserve"> se centrará en la creación de recursos de aprendizaje accesibles, como tutoriales, presentaciones y herramientas interactivas. Animará a los participantes a encontrar formas innovadoras de explicar conceptos cuánticos complejos, especialmente a audiencias con conocimientos técnicos limitados. Esta vía será ideal para aquellos que buscan reducir las barreras al ingreso en el campo de la ciencia de la información cuántica, incluidos los educadores y los diseñadores de planes de estudio.</w:t>
      </w:r>
    </w:p>
    <w:p w14:paraId="6B4958EF" w14:textId="7119DBBE" w:rsidR="007C4A2C" w:rsidRPr="00424D9E" w:rsidRDefault="00963FB2" w:rsidP="00963FB2">
      <w:pPr>
        <w:pStyle w:val="enumlev1"/>
        <w:tabs>
          <w:tab w:val="clear" w:pos="794"/>
          <w:tab w:val="left" w:pos="1276"/>
        </w:tabs>
        <w:ind w:left="1191" w:hanging="482"/>
        <w:rPr>
          <w:rFonts w:cstheme="minorHAnsi"/>
          <w:sz w:val="22"/>
          <w:szCs w:val="22"/>
        </w:rPr>
      </w:pPr>
      <w:r w:rsidRPr="00424D9E">
        <w:rPr>
          <w:rFonts w:cstheme="minorHAnsi"/>
          <w:sz w:val="22"/>
          <w:szCs w:val="22"/>
        </w:rPr>
        <w:t>•</w:t>
      </w:r>
      <w:r w:rsidRPr="00424D9E">
        <w:rPr>
          <w:rFonts w:cstheme="minorHAnsi"/>
          <w:sz w:val="22"/>
          <w:szCs w:val="22"/>
        </w:rPr>
        <w:tab/>
      </w:r>
      <w:r w:rsidR="007C4A2C" w:rsidRPr="00424D9E">
        <w:rPr>
          <w:rFonts w:cstheme="minorHAnsi"/>
          <w:sz w:val="22"/>
          <w:szCs w:val="22"/>
        </w:rPr>
        <w:t xml:space="preserve">La </w:t>
      </w:r>
      <w:r w:rsidR="007C4A2C" w:rsidRPr="00424D9E">
        <w:rPr>
          <w:rFonts w:cstheme="minorHAnsi"/>
          <w:b/>
          <w:bCs/>
          <w:sz w:val="22"/>
          <w:szCs w:val="22"/>
        </w:rPr>
        <w:t>Vía Innovación</w:t>
      </w:r>
      <w:r w:rsidR="007C4A2C" w:rsidRPr="00424D9E">
        <w:rPr>
          <w:rFonts w:cstheme="minorHAnsi"/>
          <w:sz w:val="22"/>
          <w:szCs w:val="22"/>
        </w:rPr>
        <w:t xml:space="preserve"> se centrará en las aplicaciones prácticas y reales de las tecnologías cuánticas, haciendo hincapié en su repercusión social. Está destinada en particular a los participantes interesados en la creación empresarial y la resolución interdisciplinaria de problemas, incluidos aqu</w:t>
      </w:r>
      <w:r w:rsidR="002679BE" w:rsidRPr="00424D9E">
        <w:rPr>
          <w:rFonts w:cstheme="minorHAnsi"/>
          <w:sz w:val="22"/>
          <w:szCs w:val="22"/>
        </w:rPr>
        <w:t>e</w:t>
      </w:r>
      <w:r w:rsidR="007C4A2C" w:rsidRPr="00424D9E">
        <w:rPr>
          <w:rFonts w:cstheme="minorHAnsi"/>
          <w:sz w:val="22"/>
          <w:szCs w:val="22"/>
        </w:rPr>
        <w:t>llos que exploran cómo la cuántica puede impulsar la innovación en todas las industrias y ayudar a abordar los desafíos</w:t>
      </w:r>
      <w:r w:rsidR="002679BE" w:rsidRPr="00424D9E">
        <w:rPr>
          <w:rFonts w:cstheme="minorHAnsi"/>
          <w:sz w:val="22"/>
          <w:szCs w:val="22"/>
        </w:rPr>
        <w:t> </w:t>
      </w:r>
      <w:r w:rsidR="007C4A2C" w:rsidRPr="00424D9E">
        <w:rPr>
          <w:rFonts w:cstheme="minorHAnsi"/>
          <w:sz w:val="22"/>
          <w:szCs w:val="22"/>
        </w:rPr>
        <w:t>globales.</w:t>
      </w:r>
    </w:p>
    <w:p w14:paraId="77E5C9B3" w14:textId="0ABD1A3D" w:rsidR="007C4A2C" w:rsidRPr="00424D9E" w:rsidRDefault="00963FB2" w:rsidP="00963FB2">
      <w:pPr>
        <w:pStyle w:val="enumlev1"/>
        <w:tabs>
          <w:tab w:val="clear" w:pos="794"/>
          <w:tab w:val="left" w:pos="1276"/>
        </w:tabs>
        <w:ind w:left="1191" w:hanging="482"/>
        <w:rPr>
          <w:rFonts w:cstheme="minorHAnsi"/>
          <w:sz w:val="22"/>
          <w:szCs w:val="22"/>
        </w:rPr>
      </w:pPr>
      <w:r w:rsidRPr="00424D9E">
        <w:rPr>
          <w:rFonts w:cstheme="minorHAnsi"/>
          <w:sz w:val="22"/>
          <w:szCs w:val="22"/>
        </w:rPr>
        <w:lastRenderedPageBreak/>
        <w:t>•</w:t>
      </w:r>
      <w:r w:rsidRPr="00424D9E">
        <w:rPr>
          <w:rFonts w:cstheme="minorHAnsi"/>
          <w:sz w:val="22"/>
          <w:szCs w:val="22"/>
        </w:rPr>
        <w:tab/>
      </w:r>
      <w:r w:rsidR="007C4A2C" w:rsidRPr="00424D9E">
        <w:rPr>
          <w:rFonts w:cstheme="minorHAnsi"/>
          <w:sz w:val="22"/>
          <w:szCs w:val="22"/>
        </w:rPr>
        <w:t xml:space="preserve">La </w:t>
      </w:r>
      <w:r w:rsidR="007C4A2C" w:rsidRPr="00424D9E">
        <w:rPr>
          <w:rFonts w:cstheme="minorHAnsi"/>
          <w:b/>
          <w:bCs/>
          <w:sz w:val="22"/>
          <w:szCs w:val="22"/>
        </w:rPr>
        <w:t>Vía Arte</w:t>
      </w:r>
      <w:r w:rsidR="007C4A2C" w:rsidRPr="00424D9E">
        <w:rPr>
          <w:rFonts w:cstheme="minorHAnsi"/>
          <w:sz w:val="22"/>
          <w:szCs w:val="22"/>
        </w:rPr>
        <w:t xml:space="preserve"> se centrará en el uso de la expresión creativa e intuitiva para comunicar el misterio y la complejidad de la mecánica cuántica a un público más amplio. Enfatizará la importancia de la interpretación artística en la comunicación científica e invitará a los participantes a explorar conceptos cuánticos a través de medios como el arte visual, la música o la narración de historias. Esta vía se adaptará a las personas interesadas en la comunicación científica y las disciplinas creativas, incluidas aquellas con poca o ninguna formación técnica.</w:t>
      </w:r>
    </w:p>
    <w:p w14:paraId="4577C20D" w14:textId="67B7063B" w:rsidR="007C4A2C" w:rsidRPr="00424D9E" w:rsidRDefault="007C4A2C" w:rsidP="007C4A2C">
      <w:pPr>
        <w:rPr>
          <w:rFonts w:cstheme="minorHAnsi"/>
          <w:sz w:val="22"/>
          <w:szCs w:val="22"/>
        </w:rPr>
      </w:pPr>
      <w:r w:rsidRPr="00424D9E">
        <w:rPr>
          <w:rFonts w:cstheme="minorHAnsi"/>
          <w:sz w:val="22"/>
          <w:szCs w:val="22"/>
        </w:rPr>
        <w:t>4</w:t>
      </w:r>
      <w:r w:rsidRPr="00424D9E">
        <w:rPr>
          <w:rFonts w:cstheme="minorHAnsi"/>
          <w:sz w:val="22"/>
          <w:szCs w:val="22"/>
        </w:rPr>
        <w:tab/>
      </w:r>
      <w:proofErr w:type="gramStart"/>
      <w:r w:rsidRPr="00424D9E">
        <w:rPr>
          <w:rFonts w:cstheme="minorHAnsi"/>
          <w:sz w:val="22"/>
          <w:szCs w:val="22"/>
        </w:rPr>
        <w:t>El</w:t>
      </w:r>
      <w:proofErr w:type="gramEnd"/>
      <w:r w:rsidRPr="00424D9E">
        <w:rPr>
          <w:rFonts w:cstheme="minorHAnsi"/>
          <w:sz w:val="22"/>
          <w:szCs w:val="22"/>
        </w:rPr>
        <w:t xml:space="preserve"> Hackath</w:t>
      </w:r>
      <w:r w:rsidR="002679BE" w:rsidRPr="00424D9E">
        <w:rPr>
          <w:rFonts w:cstheme="minorHAnsi"/>
          <w:sz w:val="22"/>
          <w:szCs w:val="22"/>
        </w:rPr>
        <w:t>o</w:t>
      </w:r>
      <w:r w:rsidRPr="00424D9E">
        <w:rPr>
          <w:rFonts w:cstheme="minorHAnsi"/>
          <w:sz w:val="22"/>
          <w:szCs w:val="22"/>
        </w:rPr>
        <w:t xml:space="preserve">n se inaugurará oficialmente el </w:t>
      </w:r>
      <w:r w:rsidRPr="00424D9E">
        <w:rPr>
          <w:rFonts w:cstheme="minorHAnsi"/>
          <w:b/>
          <w:bCs/>
          <w:sz w:val="22"/>
          <w:szCs w:val="22"/>
        </w:rPr>
        <w:t>16 de mayo de 2025</w:t>
      </w:r>
      <w:r w:rsidRPr="00424D9E">
        <w:rPr>
          <w:rFonts w:cstheme="minorHAnsi"/>
          <w:sz w:val="22"/>
          <w:szCs w:val="22"/>
        </w:rPr>
        <w:t xml:space="preserve"> con un evento de lanzamiento virtual que contará con la participación de oradores destacados y se presentará a los mentores. El Hackathon se celebrará del </w:t>
      </w:r>
      <w:r w:rsidRPr="00424D9E">
        <w:rPr>
          <w:rFonts w:cstheme="minorHAnsi"/>
          <w:b/>
          <w:bCs/>
          <w:sz w:val="22"/>
          <w:szCs w:val="22"/>
        </w:rPr>
        <w:t>16 al 18 de mayo de 2025</w:t>
      </w:r>
      <w:r w:rsidRPr="00424D9E">
        <w:rPr>
          <w:rFonts w:cstheme="minorHAnsi"/>
          <w:sz w:val="22"/>
          <w:szCs w:val="22"/>
        </w:rPr>
        <w:t>, periodo durante el cual los equipos contarán con el apoyo de mentores expertos y tendrán acceso a recursos de las principales organizaciones cuánticas.</w:t>
      </w:r>
    </w:p>
    <w:p w14:paraId="1E5C4777" w14:textId="37CCB3A3" w:rsidR="007C4A2C" w:rsidRPr="00424D9E" w:rsidRDefault="007C4A2C" w:rsidP="007C4A2C">
      <w:pPr>
        <w:rPr>
          <w:rFonts w:cstheme="minorHAnsi"/>
          <w:sz w:val="22"/>
          <w:szCs w:val="22"/>
        </w:rPr>
      </w:pPr>
      <w:r w:rsidRPr="00424D9E">
        <w:rPr>
          <w:rFonts w:cstheme="minorHAnsi"/>
          <w:sz w:val="22"/>
          <w:szCs w:val="22"/>
        </w:rPr>
        <w:t>5</w:t>
      </w:r>
      <w:r w:rsidRPr="00424D9E">
        <w:rPr>
          <w:rFonts w:cstheme="minorHAnsi"/>
          <w:sz w:val="22"/>
          <w:szCs w:val="22"/>
        </w:rPr>
        <w:tab/>
      </w:r>
      <w:proofErr w:type="gramStart"/>
      <w:r w:rsidRPr="00424D9E">
        <w:rPr>
          <w:rFonts w:cstheme="minorHAnsi"/>
          <w:sz w:val="22"/>
          <w:szCs w:val="22"/>
        </w:rPr>
        <w:t>Para</w:t>
      </w:r>
      <w:proofErr w:type="gramEnd"/>
      <w:r w:rsidRPr="00424D9E">
        <w:rPr>
          <w:rFonts w:cstheme="minorHAnsi"/>
          <w:sz w:val="22"/>
          <w:szCs w:val="22"/>
        </w:rPr>
        <w:t xml:space="preserve"> prepararse, el </w:t>
      </w:r>
      <w:r w:rsidRPr="00424D9E">
        <w:rPr>
          <w:rFonts w:cstheme="minorHAnsi"/>
          <w:b/>
          <w:bCs/>
          <w:sz w:val="22"/>
          <w:szCs w:val="22"/>
        </w:rPr>
        <w:t>14 de marzo</w:t>
      </w:r>
      <w:r w:rsidRPr="00424D9E">
        <w:rPr>
          <w:rFonts w:cstheme="minorHAnsi"/>
          <w:sz w:val="22"/>
          <w:szCs w:val="22"/>
        </w:rPr>
        <w:t xml:space="preserve"> dio comienzo una serie de talleres virtuales, que se celebrarán sin discontinuidad </w:t>
      </w:r>
      <w:r w:rsidRPr="00424D9E">
        <w:rPr>
          <w:rFonts w:cstheme="minorHAnsi"/>
          <w:b/>
          <w:bCs/>
          <w:sz w:val="22"/>
          <w:szCs w:val="22"/>
        </w:rPr>
        <w:t>hasta el 14 de mayo de 2025</w:t>
      </w:r>
      <w:r w:rsidRPr="00424D9E">
        <w:rPr>
          <w:rFonts w:cstheme="minorHAnsi"/>
          <w:sz w:val="22"/>
          <w:szCs w:val="22"/>
        </w:rPr>
        <w:t>, en los que se proporciona a los participantes conocimientos fundamentales, herramientas prácticas y orientaciones en las cuatro</w:t>
      </w:r>
      <w:r w:rsidR="002679BE" w:rsidRPr="00424D9E">
        <w:rPr>
          <w:rFonts w:cstheme="minorHAnsi"/>
          <w:sz w:val="22"/>
          <w:szCs w:val="22"/>
        </w:rPr>
        <w:t> </w:t>
      </w:r>
      <w:r w:rsidRPr="00424D9E">
        <w:rPr>
          <w:rFonts w:cstheme="minorHAnsi"/>
          <w:sz w:val="22"/>
          <w:szCs w:val="22"/>
        </w:rPr>
        <w:t>Vías, así como oportunidades para la formación de equipos y orientaciones sobre los temas de los desafíos.</w:t>
      </w:r>
    </w:p>
    <w:p w14:paraId="552E526E" w14:textId="5E687DB2" w:rsidR="007C4A2C" w:rsidRPr="00424D9E" w:rsidRDefault="007C4A2C" w:rsidP="007C4A2C">
      <w:pPr>
        <w:rPr>
          <w:rFonts w:cstheme="minorHAnsi"/>
          <w:sz w:val="22"/>
          <w:szCs w:val="22"/>
        </w:rPr>
      </w:pPr>
      <w:r w:rsidRPr="00424D9E">
        <w:rPr>
          <w:rFonts w:cstheme="minorHAnsi"/>
          <w:sz w:val="22"/>
          <w:szCs w:val="22"/>
        </w:rPr>
        <w:t>6</w:t>
      </w:r>
      <w:r w:rsidRPr="00424D9E">
        <w:rPr>
          <w:rFonts w:cstheme="minorHAnsi"/>
          <w:sz w:val="22"/>
          <w:szCs w:val="22"/>
        </w:rPr>
        <w:tab/>
      </w:r>
      <w:proofErr w:type="gramStart"/>
      <w:r w:rsidRPr="00424D9E">
        <w:rPr>
          <w:rFonts w:cstheme="minorHAnsi"/>
          <w:sz w:val="22"/>
          <w:szCs w:val="22"/>
        </w:rPr>
        <w:t>La</w:t>
      </w:r>
      <w:proofErr w:type="gramEnd"/>
      <w:r w:rsidRPr="00424D9E">
        <w:rPr>
          <w:rFonts w:cstheme="minorHAnsi"/>
          <w:sz w:val="22"/>
          <w:szCs w:val="22"/>
        </w:rPr>
        <w:t xml:space="preserve"> participación en el Hackathon FLIQ es gratuita y está abierta a estudiantes, profesionales que inician su carrera profesional y estudiantes preuniversitarios mayores de 16</w:t>
      </w:r>
      <w:r w:rsidR="002679BE" w:rsidRPr="00424D9E">
        <w:rPr>
          <w:rFonts w:cstheme="minorHAnsi"/>
          <w:sz w:val="22"/>
          <w:szCs w:val="22"/>
        </w:rPr>
        <w:t> </w:t>
      </w:r>
      <w:r w:rsidRPr="00424D9E">
        <w:rPr>
          <w:rFonts w:cstheme="minorHAnsi"/>
          <w:sz w:val="22"/>
          <w:szCs w:val="22"/>
        </w:rPr>
        <w:t xml:space="preserve">años. </w:t>
      </w:r>
      <w:r w:rsidRPr="00424D9E">
        <w:rPr>
          <w:rFonts w:cstheme="minorHAnsi"/>
          <w:b/>
          <w:bCs/>
          <w:sz w:val="22"/>
          <w:szCs w:val="22"/>
        </w:rPr>
        <w:t>La preinscripción ya está abierta</w:t>
      </w:r>
      <w:r w:rsidRPr="00424D9E">
        <w:rPr>
          <w:rFonts w:cstheme="minorHAnsi"/>
          <w:sz w:val="22"/>
          <w:szCs w:val="22"/>
        </w:rPr>
        <w:t xml:space="preserve">, y se anima a los participantes a inscribirse con antelación </w:t>
      </w:r>
      <w:hyperlink r:id="rId13" w:history="1">
        <w:r w:rsidRPr="00424D9E">
          <w:rPr>
            <w:rStyle w:val="Hyperlink"/>
            <w:rFonts w:cstheme="minorHAnsi"/>
            <w:b/>
            <w:bCs/>
            <w:sz w:val="22"/>
            <w:szCs w:val="22"/>
          </w:rPr>
          <w:t>aquí</w:t>
        </w:r>
      </w:hyperlink>
      <w:r w:rsidRPr="00424D9E">
        <w:rPr>
          <w:rFonts w:cstheme="minorHAnsi"/>
          <w:sz w:val="22"/>
          <w:szCs w:val="22"/>
        </w:rPr>
        <w:t xml:space="preserve"> para mantenerse informados y acceder a los recursos preparatorios.</w:t>
      </w:r>
    </w:p>
    <w:p w14:paraId="6D1D3A9F" w14:textId="77777777" w:rsidR="007C4A2C" w:rsidRPr="00424D9E" w:rsidRDefault="007C4A2C" w:rsidP="007C4A2C">
      <w:pPr>
        <w:rPr>
          <w:rFonts w:cstheme="minorHAnsi"/>
          <w:sz w:val="22"/>
          <w:szCs w:val="22"/>
        </w:rPr>
      </w:pPr>
      <w:r w:rsidRPr="00424D9E">
        <w:rPr>
          <w:rFonts w:cstheme="minorHAnsi"/>
          <w:sz w:val="22"/>
          <w:szCs w:val="22"/>
        </w:rPr>
        <w:t xml:space="preserve">Los enunciados de los desafíos se publicarán el </w:t>
      </w:r>
      <w:r w:rsidRPr="00424D9E">
        <w:rPr>
          <w:rFonts w:cstheme="minorHAnsi"/>
          <w:b/>
          <w:bCs/>
          <w:sz w:val="22"/>
          <w:szCs w:val="22"/>
        </w:rPr>
        <w:t>16 de mayo de 2025</w:t>
      </w:r>
      <w:r w:rsidRPr="00424D9E">
        <w:rPr>
          <w:rFonts w:cstheme="minorHAnsi"/>
          <w:sz w:val="22"/>
          <w:szCs w:val="22"/>
        </w:rPr>
        <w:t xml:space="preserve">. Sin embargo, las descripciones preliminares estarán disponibles el </w:t>
      </w:r>
      <w:r w:rsidRPr="00424D9E">
        <w:rPr>
          <w:rFonts w:cstheme="minorHAnsi"/>
          <w:b/>
          <w:bCs/>
          <w:sz w:val="22"/>
          <w:szCs w:val="22"/>
        </w:rPr>
        <w:t>7 de mayo de 2025</w:t>
      </w:r>
      <w:r w:rsidRPr="00424D9E">
        <w:rPr>
          <w:rFonts w:cstheme="minorHAnsi"/>
          <w:sz w:val="22"/>
          <w:szCs w:val="22"/>
        </w:rPr>
        <w:t xml:space="preserve"> a más tardar, lo que permitirá a los participantes inscribirse para desafíos específicos y comenzar los preparativos preliminares antes del evento.</w:t>
      </w:r>
    </w:p>
    <w:p w14:paraId="155EDED9" w14:textId="77777777" w:rsidR="007C4A2C" w:rsidRPr="00424D9E" w:rsidRDefault="007C4A2C" w:rsidP="007C4A2C">
      <w:pPr>
        <w:rPr>
          <w:rFonts w:cstheme="minorHAnsi"/>
          <w:sz w:val="22"/>
          <w:szCs w:val="22"/>
        </w:rPr>
      </w:pPr>
      <w:r w:rsidRPr="00424D9E">
        <w:rPr>
          <w:rFonts w:cstheme="minorHAnsi"/>
          <w:sz w:val="22"/>
          <w:szCs w:val="22"/>
        </w:rPr>
        <w:t xml:space="preserve">Las presentaciones finales y la evaluación tendrán lugar el </w:t>
      </w:r>
      <w:r w:rsidRPr="00424D9E">
        <w:rPr>
          <w:rFonts w:cstheme="minorHAnsi"/>
          <w:b/>
          <w:bCs/>
          <w:sz w:val="22"/>
          <w:szCs w:val="22"/>
        </w:rPr>
        <w:t>19 de mayo de 2025</w:t>
      </w:r>
      <w:r w:rsidRPr="00424D9E">
        <w:rPr>
          <w:rFonts w:cstheme="minorHAnsi"/>
          <w:sz w:val="22"/>
          <w:szCs w:val="22"/>
        </w:rPr>
        <w:t xml:space="preserve">, con la posibilidad de una extensión hasta el </w:t>
      </w:r>
      <w:r w:rsidRPr="00424D9E">
        <w:rPr>
          <w:rFonts w:cstheme="minorHAnsi"/>
          <w:b/>
          <w:bCs/>
          <w:sz w:val="22"/>
          <w:szCs w:val="22"/>
        </w:rPr>
        <w:t>20 de mayo de 2025</w:t>
      </w:r>
      <w:r w:rsidRPr="00424D9E">
        <w:rPr>
          <w:rFonts w:cstheme="minorHAnsi"/>
          <w:sz w:val="22"/>
          <w:szCs w:val="22"/>
        </w:rPr>
        <w:t xml:space="preserve">, dependiendo del volumen de presentaciones. Poco después se anunciarán los ganadores y se reconocerán tanto en línea como durante la sección Quantum for Good en la </w:t>
      </w:r>
      <w:hyperlink r:id="rId14" w:history="1">
        <w:r w:rsidRPr="00424D9E">
          <w:rPr>
            <w:rStyle w:val="Hyperlink"/>
            <w:rFonts w:cstheme="minorHAnsi"/>
            <w:sz w:val="22"/>
            <w:szCs w:val="22"/>
          </w:rPr>
          <w:t>Cumbre Mundial AI for Good</w:t>
        </w:r>
      </w:hyperlink>
      <w:r w:rsidRPr="00424D9E">
        <w:rPr>
          <w:rFonts w:cstheme="minorHAnsi"/>
          <w:sz w:val="22"/>
          <w:szCs w:val="22"/>
        </w:rPr>
        <w:t xml:space="preserve"> que tendrá lugar en Ginebra (Suiza) del 8 al 11 de julio de 2025.</w:t>
      </w:r>
    </w:p>
    <w:p w14:paraId="7397F2AF" w14:textId="1ADB142B" w:rsidR="007C4A2C" w:rsidRPr="00424D9E" w:rsidRDefault="007C4A2C" w:rsidP="007C4A2C">
      <w:pPr>
        <w:rPr>
          <w:rFonts w:cstheme="minorHAnsi"/>
          <w:sz w:val="22"/>
          <w:szCs w:val="22"/>
        </w:rPr>
      </w:pPr>
      <w:r w:rsidRPr="00424D9E">
        <w:rPr>
          <w:rFonts w:cstheme="minorHAnsi"/>
          <w:sz w:val="22"/>
          <w:szCs w:val="22"/>
        </w:rPr>
        <w:t>7</w:t>
      </w:r>
      <w:r w:rsidRPr="00424D9E">
        <w:rPr>
          <w:rFonts w:cstheme="minorHAnsi"/>
          <w:sz w:val="22"/>
          <w:szCs w:val="22"/>
        </w:rPr>
        <w:tab/>
      </w:r>
      <w:proofErr w:type="gramStart"/>
      <w:r w:rsidRPr="00424D9E">
        <w:rPr>
          <w:rFonts w:cstheme="minorHAnsi"/>
          <w:sz w:val="22"/>
          <w:szCs w:val="22"/>
        </w:rPr>
        <w:t>El</w:t>
      </w:r>
      <w:proofErr w:type="gramEnd"/>
      <w:r w:rsidRPr="00424D9E">
        <w:rPr>
          <w:rFonts w:cstheme="minorHAnsi"/>
          <w:sz w:val="22"/>
          <w:szCs w:val="22"/>
        </w:rPr>
        <w:t xml:space="preserve"> Hackathon ofrece un total de premios de 10</w:t>
      </w:r>
      <w:r w:rsidR="002679BE" w:rsidRPr="00424D9E">
        <w:rPr>
          <w:rFonts w:cstheme="minorHAnsi"/>
          <w:sz w:val="22"/>
          <w:szCs w:val="22"/>
        </w:rPr>
        <w:t> </w:t>
      </w:r>
      <w:r w:rsidRPr="00424D9E">
        <w:rPr>
          <w:rFonts w:cstheme="minorHAnsi"/>
          <w:sz w:val="22"/>
          <w:szCs w:val="22"/>
        </w:rPr>
        <w:t>000</w:t>
      </w:r>
      <w:r w:rsidR="002679BE" w:rsidRPr="00424D9E">
        <w:rPr>
          <w:rFonts w:cstheme="minorHAnsi"/>
          <w:sz w:val="22"/>
          <w:szCs w:val="22"/>
        </w:rPr>
        <w:t> </w:t>
      </w:r>
      <w:r w:rsidRPr="00424D9E">
        <w:rPr>
          <w:rFonts w:cstheme="minorHAnsi"/>
          <w:sz w:val="22"/>
          <w:szCs w:val="22"/>
        </w:rPr>
        <w:t>USD, repartidos en tres categorías:</w:t>
      </w:r>
    </w:p>
    <w:p w14:paraId="27462B32" w14:textId="377E40FB" w:rsidR="007C4A2C" w:rsidRPr="00424D9E" w:rsidRDefault="00963FB2" w:rsidP="00963FB2">
      <w:pPr>
        <w:pStyle w:val="enumlev1"/>
        <w:tabs>
          <w:tab w:val="clear" w:pos="794"/>
          <w:tab w:val="left" w:pos="1276"/>
        </w:tabs>
        <w:ind w:left="1191" w:hanging="482"/>
        <w:rPr>
          <w:rFonts w:cstheme="minorHAnsi"/>
          <w:sz w:val="22"/>
          <w:szCs w:val="22"/>
        </w:rPr>
      </w:pPr>
      <w:r w:rsidRPr="00424D9E">
        <w:rPr>
          <w:rFonts w:cstheme="minorHAnsi"/>
          <w:b/>
          <w:bCs/>
          <w:sz w:val="22"/>
          <w:szCs w:val="22"/>
        </w:rPr>
        <w:t>•</w:t>
      </w:r>
      <w:r w:rsidRPr="00424D9E">
        <w:rPr>
          <w:rFonts w:cstheme="minorHAnsi"/>
          <w:b/>
          <w:bCs/>
          <w:sz w:val="22"/>
          <w:szCs w:val="22"/>
        </w:rPr>
        <w:tab/>
      </w:r>
      <w:r w:rsidR="007C4A2C" w:rsidRPr="00424D9E">
        <w:rPr>
          <w:rFonts w:cstheme="minorHAnsi"/>
          <w:b/>
          <w:bCs/>
          <w:sz w:val="22"/>
          <w:szCs w:val="22"/>
        </w:rPr>
        <w:t>Premios de influencia comunitaria</w:t>
      </w:r>
      <w:r w:rsidR="007C4A2C" w:rsidRPr="00424D9E">
        <w:rPr>
          <w:rFonts w:cstheme="minorHAnsi"/>
          <w:sz w:val="22"/>
          <w:szCs w:val="22"/>
        </w:rPr>
        <w:t>: Se otorgarán dos premios de 1</w:t>
      </w:r>
      <w:r w:rsidR="002679BE" w:rsidRPr="00424D9E">
        <w:rPr>
          <w:rFonts w:cstheme="minorHAnsi"/>
          <w:sz w:val="22"/>
          <w:szCs w:val="22"/>
        </w:rPr>
        <w:t> </w:t>
      </w:r>
      <w:r w:rsidR="007C4A2C" w:rsidRPr="00424D9E">
        <w:rPr>
          <w:rFonts w:cstheme="minorHAnsi"/>
          <w:sz w:val="22"/>
          <w:szCs w:val="22"/>
        </w:rPr>
        <w:t>000</w:t>
      </w:r>
      <w:r w:rsidR="002679BE" w:rsidRPr="00424D9E">
        <w:rPr>
          <w:rFonts w:cstheme="minorHAnsi"/>
          <w:sz w:val="22"/>
          <w:szCs w:val="22"/>
        </w:rPr>
        <w:t> </w:t>
      </w:r>
      <w:r w:rsidR="007C4A2C" w:rsidRPr="00424D9E">
        <w:rPr>
          <w:rFonts w:cstheme="minorHAnsi"/>
          <w:sz w:val="22"/>
          <w:szCs w:val="22"/>
        </w:rPr>
        <w:t>USD cada uno a las personas o grupos con mayor repercusión, como la organización de eventos locales relacionados con el Hackathon o la promoción de la inscripción de los participantes.</w:t>
      </w:r>
    </w:p>
    <w:p w14:paraId="49F3EE50" w14:textId="7E599649" w:rsidR="007C4A2C" w:rsidRPr="00424D9E" w:rsidRDefault="00963FB2" w:rsidP="00963FB2">
      <w:pPr>
        <w:pStyle w:val="enumlev1"/>
        <w:tabs>
          <w:tab w:val="clear" w:pos="794"/>
          <w:tab w:val="left" w:pos="1276"/>
        </w:tabs>
        <w:ind w:left="1191" w:hanging="482"/>
        <w:rPr>
          <w:rFonts w:cstheme="minorHAnsi"/>
          <w:sz w:val="22"/>
          <w:szCs w:val="22"/>
        </w:rPr>
      </w:pPr>
      <w:r w:rsidRPr="00424D9E">
        <w:rPr>
          <w:rFonts w:cstheme="minorHAnsi"/>
          <w:sz w:val="22"/>
          <w:szCs w:val="22"/>
        </w:rPr>
        <w:t>•</w:t>
      </w:r>
      <w:r w:rsidRPr="00424D9E">
        <w:rPr>
          <w:rFonts w:cstheme="minorHAnsi"/>
          <w:sz w:val="22"/>
          <w:szCs w:val="22"/>
        </w:rPr>
        <w:tab/>
      </w:r>
      <w:r w:rsidR="007C4A2C" w:rsidRPr="00424D9E">
        <w:rPr>
          <w:rFonts w:cstheme="minorHAnsi"/>
          <w:b/>
          <w:bCs/>
          <w:sz w:val="22"/>
          <w:szCs w:val="22"/>
        </w:rPr>
        <w:t>Ganadores individuales del desafío</w:t>
      </w:r>
      <w:r w:rsidR="007C4A2C" w:rsidRPr="00424D9E">
        <w:rPr>
          <w:rFonts w:cstheme="minorHAnsi"/>
          <w:sz w:val="22"/>
          <w:szCs w:val="22"/>
        </w:rPr>
        <w:t>: los ocho ganadores (uno por desafío) recibirán 500</w:t>
      </w:r>
      <w:r w:rsidR="002679BE" w:rsidRPr="00424D9E">
        <w:rPr>
          <w:rFonts w:cstheme="minorHAnsi"/>
          <w:sz w:val="22"/>
          <w:szCs w:val="22"/>
        </w:rPr>
        <w:t> </w:t>
      </w:r>
      <w:r w:rsidR="007C4A2C" w:rsidRPr="00424D9E">
        <w:rPr>
          <w:rFonts w:cstheme="minorHAnsi"/>
          <w:sz w:val="22"/>
          <w:szCs w:val="22"/>
        </w:rPr>
        <w:t>USD cada uno.</w:t>
      </w:r>
    </w:p>
    <w:p w14:paraId="2E0A420A" w14:textId="79D05C29" w:rsidR="007C4A2C" w:rsidRPr="00424D9E" w:rsidRDefault="00963FB2" w:rsidP="00963FB2">
      <w:pPr>
        <w:pStyle w:val="enumlev1"/>
        <w:tabs>
          <w:tab w:val="clear" w:pos="794"/>
          <w:tab w:val="left" w:pos="1276"/>
        </w:tabs>
        <w:ind w:left="1191" w:hanging="482"/>
        <w:rPr>
          <w:rFonts w:cstheme="minorHAnsi"/>
          <w:sz w:val="22"/>
          <w:szCs w:val="22"/>
        </w:rPr>
      </w:pPr>
      <w:r w:rsidRPr="00424D9E">
        <w:rPr>
          <w:rFonts w:cstheme="minorHAnsi"/>
          <w:sz w:val="22"/>
          <w:szCs w:val="22"/>
        </w:rPr>
        <w:t>•</w:t>
      </w:r>
      <w:r w:rsidRPr="00424D9E">
        <w:rPr>
          <w:rFonts w:cstheme="minorHAnsi"/>
          <w:sz w:val="22"/>
          <w:szCs w:val="22"/>
        </w:rPr>
        <w:tab/>
      </w:r>
      <w:r w:rsidR="007C4A2C" w:rsidRPr="00424D9E">
        <w:rPr>
          <w:rFonts w:cstheme="minorHAnsi"/>
          <w:b/>
          <w:bCs/>
          <w:sz w:val="22"/>
          <w:szCs w:val="22"/>
        </w:rPr>
        <w:t>Ganadores de las Vías</w:t>
      </w:r>
      <w:r w:rsidR="007C4A2C" w:rsidRPr="00424D9E">
        <w:rPr>
          <w:rFonts w:cstheme="minorHAnsi"/>
          <w:sz w:val="22"/>
          <w:szCs w:val="22"/>
        </w:rPr>
        <w:t>: La mejor solución global en cada una de las cuatro pistas recibirá 1</w:t>
      </w:r>
      <w:r w:rsidR="002679BE" w:rsidRPr="00424D9E">
        <w:rPr>
          <w:rFonts w:cstheme="minorHAnsi"/>
          <w:sz w:val="22"/>
          <w:szCs w:val="22"/>
        </w:rPr>
        <w:t> </w:t>
      </w:r>
      <w:r w:rsidR="007C4A2C" w:rsidRPr="00424D9E">
        <w:rPr>
          <w:rFonts w:cstheme="minorHAnsi"/>
          <w:sz w:val="22"/>
          <w:szCs w:val="22"/>
        </w:rPr>
        <w:t>000</w:t>
      </w:r>
      <w:r w:rsidR="002679BE" w:rsidRPr="00424D9E">
        <w:rPr>
          <w:rFonts w:cstheme="minorHAnsi"/>
          <w:sz w:val="22"/>
          <w:szCs w:val="22"/>
        </w:rPr>
        <w:t> </w:t>
      </w:r>
      <w:r w:rsidR="007C4A2C" w:rsidRPr="00424D9E">
        <w:rPr>
          <w:rFonts w:cstheme="minorHAnsi"/>
          <w:sz w:val="22"/>
          <w:szCs w:val="22"/>
        </w:rPr>
        <w:t>USD.</w:t>
      </w:r>
    </w:p>
    <w:p w14:paraId="5A943E57" w14:textId="265A1273" w:rsidR="007C4A2C" w:rsidRPr="00424D9E" w:rsidRDefault="007C4A2C" w:rsidP="007C4A2C">
      <w:pPr>
        <w:rPr>
          <w:rFonts w:cstheme="minorHAnsi"/>
          <w:sz w:val="22"/>
          <w:szCs w:val="22"/>
        </w:rPr>
      </w:pPr>
      <w:r w:rsidRPr="00424D9E">
        <w:rPr>
          <w:rFonts w:cstheme="minorHAnsi"/>
          <w:sz w:val="22"/>
          <w:szCs w:val="22"/>
        </w:rPr>
        <w:t>8</w:t>
      </w:r>
      <w:r w:rsidRPr="00424D9E">
        <w:rPr>
          <w:rFonts w:cstheme="minorHAnsi"/>
          <w:sz w:val="22"/>
          <w:szCs w:val="22"/>
        </w:rPr>
        <w:tab/>
      </w:r>
      <w:proofErr w:type="gramStart"/>
      <w:r w:rsidRPr="00424D9E">
        <w:rPr>
          <w:rFonts w:cstheme="minorHAnsi"/>
          <w:sz w:val="22"/>
          <w:szCs w:val="22"/>
        </w:rPr>
        <w:t>Además</w:t>
      </w:r>
      <w:proofErr w:type="gramEnd"/>
      <w:r w:rsidRPr="00424D9E">
        <w:rPr>
          <w:rFonts w:cstheme="minorHAnsi"/>
          <w:sz w:val="22"/>
          <w:szCs w:val="22"/>
        </w:rPr>
        <w:t xml:space="preserve"> de los premios en efectivo, los ganadores seleccionados recibirán becas de viaje para asistir a la pista Quantum for Good durante la Cumbre Mundial AI for Good. Los participantes seleccionados se beneficiarán de:</w:t>
      </w:r>
    </w:p>
    <w:p w14:paraId="04287F1A" w14:textId="4F516375" w:rsidR="007C4A2C" w:rsidRPr="00424D9E" w:rsidRDefault="00963FB2" w:rsidP="00963FB2">
      <w:pPr>
        <w:pStyle w:val="enumlev1"/>
        <w:tabs>
          <w:tab w:val="clear" w:pos="794"/>
          <w:tab w:val="left" w:pos="1276"/>
        </w:tabs>
        <w:ind w:left="1191" w:hanging="482"/>
        <w:rPr>
          <w:rFonts w:cstheme="minorHAnsi"/>
          <w:sz w:val="22"/>
          <w:szCs w:val="22"/>
        </w:rPr>
      </w:pPr>
      <w:r w:rsidRPr="00424D9E">
        <w:rPr>
          <w:rFonts w:cstheme="minorHAnsi"/>
          <w:sz w:val="22"/>
          <w:szCs w:val="22"/>
        </w:rPr>
        <w:t>•</w:t>
      </w:r>
      <w:r w:rsidRPr="00424D9E">
        <w:rPr>
          <w:rFonts w:cstheme="minorHAnsi"/>
          <w:sz w:val="22"/>
          <w:szCs w:val="22"/>
        </w:rPr>
        <w:tab/>
      </w:r>
      <w:r w:rsidR="007C4A2C" w:rsidRPr="00424D9E">
        <w:rPr>
          <w:rFonts w:cstheme="minorHAnsi"/>
          <w:sz w:val="22"/>
          <w:szCs w:val="22"/>
        </w:rPr>
        <w:t xml:space="preserve">Oportunidades exclusivas de </w:t>
      </w:r>
      <w:r w:rsidR="007C4A2C" w:rsidRPr="00424D9E">
        <w:rPr>
          <w:rFonts w:cstheme="minorHAnsi"/>
          <w:i/>
          <w:iCs/>
          <w:sz w:val="22"/>
          <w:szCs w:val="22"/>
        </w:rPr>
        <w:t>networking</w:t>
      </w:r>
      <w:r w:rsidR="007C4A2C" w:rsidRPr="00424D9E">
        <w:rPr>
          <w:rFonts w:cstheme="minorHAnsi"/>
          <w:sz w:val="22"/>
          <w:szCs w:val="22"/>
        </w:rPr>
        <w:t xml:space="preserve"> y tutoría con líderes mundiales de la industria cuántica.</w:t>
      </w:r>
    </w:p>
    <w:p w14:paraId="20A0C6B7" w14:textId="59AA8A97" w:rsidR="007C4A2C" w:rsidRPr="00424D9E" w:rsidRDefault="00963FB2" w:rsidP="00963FB2">
      <w:pPr>
        <w:pStyle w:val="enumlev1"/>
        <w:tabs>
          <w:tab w:val="clear" w:pos="794"/>
          <w:tab w:val="left" w:pos="1276"/>
        </w:tabs>
        <w:ind w:left="1191" w:hanging="482"/>
        <w:rPr>
          <w:rFonts w:cstheme="minorHAnsi"/>
          <w:sz w:val="22"/>
          <w:szCs w:val="22"/>
        </w:rPr>
      </w:pPr>
      <w:r w:rsidRPr="00424D9E">
        <w:rPr>
          <w:rFonts w:cstheme="minorHAnsi"/>
          <w:sz w:val="22"/>
          <w:szCs w:val="22"/>
        </w:rPr>
        <w:t>•</w:t>
      </w:r>
      <w:r w:rsidRPr="00424D9E">
        <w:rPr>
          <w:rFonts w:cstheme="minorHAnsi"/>
          <w:sz w:val="22"/>
          <w:szCs w:val="22"/>
        </w:rPr>
        <w:tab/>
      </w:r>
      <w:r w:rsidR="007C4A2C" w:rsidRPr="00424D9E">
        <w:rPr>
          <w:rFonts w:cstheme="minorHAnsi"/>
          <w:sz w:val="22"/>
          <w:szCs w:val="22"/>
        </w:rPr>
        <w:t>Una plataforma para presentar sus proyectos a una audiencia internacional de expertos, responsables políticos e investigadores.</w:t>
      </w:r>
    </w:p>
    <w:p w14:paraId="52F40BC8" w14:textId="6207C048" w:rsidR="007C4A2C" w:rsidRPr="00424D9E" w:rsidRDefault="00963FB2" w:rsidP="00963FB2">
      <w:pPr>
        <w:pStyle w:val="enumlev1"/>
        <w:tabs>
          <w:tab w:val="clear" w:pos="794"/>
          <w:tab w:val="left" w:pos="1276"/>
        </w:tabs>
        <w:ind w:left="1191" w:hanging="482"/>
        <w:rPr>
          <w:rFonts w:cstheme="minorHAnsi"/>
          <w:sz w:val="22"/>
          <w:szCs w:val="22"/>
        </w:rPr>
      </w:pPr>
      <w:r w:rsidRPr="00424D9E">
        <w:rPr>
          <w:rFonts w:cstheme="minorHAnsi"/>
          <w:sz w:val="22"/>
          <w:szCs w:val="22"/>
        </w:rPr>
        <w:t>•</w:t>
      </w:r>
      <w:r w:rsidRPr="00424D9E">
        <w:rPr>
          <w:rFonts w:cstheme="minorHAnsi"/>
          <w:sz w:val="22"/>
          <w:szCs w:val="22"/>
        </w:rPr>
        <w:tab/>
      </w:r>
      <w:r w:rsidR="007C4A2C" w:rsidRPr="00424D9E">
        <w:rPr>
          <w:rFonts w:cstheme="minorHAnsi"/>
          <w:sz w:val="22"/>
          <w:szCs w:val="22"/>
        </w:rPr>
        <w:t>Una visita al CERN, que ofrece una visión entre bastidores de la investigación física de</w:t>
      </w:r>
      <w:r w:rsidR="002679BE" w:rsidRPr="00424D9E">
        <w:rPr>
          <w:rFonts w:cstheme="minorHAnsi"/>
          <w:sz w:val="22"/>
          <w:szCs w:val="22"/>
        </w:rPr>
        <w:t> </w:t>
      </w:r>
      <w:r w:rsidR="007C4A2C" w:rsidRPr="00424D9E">
        <w:rPr>
          <w:rFonts w:cstheme="minorHAnsi"/>
          <w:sz w:val="22"/>
          <w:szCs w:val="22"/>
        </w:rPr>
        <w:t>vanguardia.</w:t>
      </w:r>
    </w:p>
    <w:p w14:paraId="7774E56C" w14:textId="6298C423" w:rsidR="007C4A2C" w:rsidRPr="00424D9E" w:rsidRDefault="007C4A2C" w:rsidP="007C4A2C">
      <w:pPr>
        <w:rPr>
          <w:rFonts w:cstheme="minorHAnsi"/>
          <w:sz w:val="22"/>
          <w:szCs w:val="22"/>
        </w:rPr>
      </w:pPr>
      <w:r w:rsidRPr="00424D9E">
        <w:rPr>
          <w:rFonts w:cstheme="minorHAnsi"/>
          <w:sz w:val="22"/>
          <w:szCs w:val="22"/>
        </w:rPr>
        <w:t>Los ganadores serán seleccionados por el jurado del Hackathon en función de la repercusión, la innovación y la relevancia de sus soluciones, en función de la disponibilidad de fondos. Se comunicarán más detalles en la página web del Hackathon.</w:t>
      </w:r>
    </w:p>
    <w:p w14:paraId="5A926468" w14:textId="77777777" w:rsidR="007C4A2C" w:rsidRPr="00424D9E" w:rsidRDefault="007C4A2C" w:rsidP="007C4A2C">
      <w:pPr>
        <w:rPr>
          <w:rFonts w:cstheme="minorHAnsi"/>
          <w:sz w:val="22"/>
          <w:szCs w:val="22"/>
        </w:rPr>
      </w:pPr>
      <w:r w:rsidRPr="00424D9E">
        <w:rPr>
          <w:rFonts w:cstheme="minorHAnsi"/>
          <w:sz w:val="22"/>
          <w:szCs w:val="22"/>
        </w:rPr>
        <w:t>9</w:t>
      </w:r>
      <w:r w:rsidRPr="00424D9E">
        <w:rPr>
          <w:rFonts w:cstheme="minorHAnsi"/>
          <w:sz w:val="22"/>
          <w:szCs w:val="22"/>
        </w:rPr>
        <w:tab/>
      </w:r>
      <w:r w:rsidRPr="00424D9E">
        <w:rPr>
          <w:rFonts w:cstheme="minorHAnsi"/>
          <w:sz w:val="22"/>
          <w:szCs w:val="22"/>
        </w:rPr>
        <w:tab/>
      </w:r>
      <w:proofErr w:type="gramStart"/>
      <w:r w:rsidRPr="00424D9E">
        <w:rPr>
          <w:rFonts w:cstheme="minorHAnsi"/>
          <w:sz w:val="22"/>
          <w:szCs w:val="22"/>
        </w:rPr>
        <w:t>La</w:t>
      </w:r>
      <w:proofErr w:type="gramEnd"/>
      <w:r w:rsidRPr="00424D9E">
        <w:rPr>
          <w:rFonts w:cstheme="minorHAnsi"/>
          <w:sz w:val="22"/>
          <w:szCs w:val="22"/>
        </w:rPr>
        <w:t xml:space="preserve"> información relacionada con el Hackathon FLIQ, incluido el cronograma, el formato y los enunciados de los desafíos propuestos, estará disponible </w:t>
      </w:r>
      <w:hyperlink r:id="rId15" w:history="1">
        <w:r w:rsidRPr="00424D9E">
          <w:rPr>
            <w:rStyle w:val="Hyperlink"/>
            <w:rFonts w:cstheme="minorHAnsi"/>
            <w:sz w:val="22"/>
            <w:szCs w:val="22"/>
          </w:rPr>
          <w:t>aquí</w:t>
        </w:r>
      </w:hyperlink>
      <w:r w:rsidRPr="00424D9E">
        <w:rPr>
          <w:rFonts w:cstheme="minorHAnsi"/>
          <w:sz w:val="22"/>
          <w:szCs w:val="22"/>
        </w:rPr>
        <w:t>. Por favor, consulte la página web periódicamente para ver las actualizaciones.</w:t>
      </w:r>
    </w:p>
    <w:p w14:paraId="15E1BFE7" w14:textId="3D22D381" w:rsidR="007B6316" w:rsidRPr="00424D9E" w:rsidRDefault="007C4A2C" w:rsidP="007C4A2C">
      <w:pPr>
        <w:rPr>
          <w:rFonts w:cstheme="minorHAnsi"/>
          <w:sz w:val="22"/>
          <w:szCs w:val="22"/>
        </w:rPr>
      </w:pPr>
      <w:r w:rsidRPr="00424D9E">
        <w:rPr>
          <w:rFonts w:cstheme="minorHAnsi"/>
          <w:sz w:val="22"/>
          <w:szCs w:val="22"/>
        </w:rPr>
        <w:lastRenderedPageBreak/>
        <w:t>10</w:t>
      </w:r>
      <w:r w:rsidRPr="00424D9E">
        <w:rPr>
          <w:rFonts w:cstheme="minorHAnsi"/>
          <w:sz w:val="22"/>
          <w:szCs w:val="22"/>
        </w:rPr>
        <w:tab/>
      </w:r>
      <w:proofErr w:type="gramStart"/>
      <w:r w:rsidRPr="00424D9E">
        <w:rPr>
          <w:rFonts w:cstheme="minorHAnsi"/>
          <w:sz w:val="22"/>
          <w:szCs w:val="22"/>
        </w:rPr>
        <w:t>Para</w:t>
      </w:r>
      <w:proofErr w:type="gramEnd"/>
      <w:r w:rsidRPr="00424D9E">
        <w:rPr>
          <w:rFonts w:cstheme="minorHAnsi"/>
          <w:sz w:val="22"/>
          <w:szCs w:val="22"/>
        </w:rPr>
        <w:t xml:space="preserve"> solicitar información adicional y formular preguntas relativas al concurso, puede ponerse en contacto con la Sra. Gillian Makamara, </w:t>
      </w:r>
      <w:hyperlink r:id="rId16" w:history="1">
        <w:r w:rsidRPr="00424D9E">
          <w:rPr>
            <w:rStyle w:val="Hyperlink"/>
            <w:rFonts w:cstheme="minorHAnsi"/>
            <w:sz w:val="22"/>
            <w:szCs w:val="22"/>
          </w:rPr>
          <w:t>quantum@itu.int</w:t>
        </w:r>
      </w:hyperlink>
      <w:r w:rsidRPr="00424D9E">
        <w:rPr>
          <w:rFonts w:cstheme="minorHAnsi"/>
          <w:sz w:val="22"/>
          <w:szCs w:val="22"/>
        </w:rPr>
        <w:t>.</w:t>
      </w:r>
    </w:p>
    <w:p w14:paraId="5CC4DF25" w14:textId="77777777" w:rsidR="007B6316" w:rsidRPr="00424D9E" w:rsidRDefault="007B6316" w:rsidP="007B6316">
      <w:pPr>
        <w:rPr>
          <w:rFonts w:cstheme="minorHAnsi"/>
          <w:sz w:val="22"/>
          <w:szCs w:val="22"/>
        </w:rPr>
      </w:pPr>
      <w:r w:rsidRPr="00424D9E">
        <w:rPr>
          <w:rFonts w:cstheme="minorHAnsi"/>
          <w:sz w:val="22"/>
          <w:szCs w:val="22"/>
        </w:rPr>
        <w:t>Atentamente,</w:t>
      </w:r>
    </w:p>
    <w:p w14:paraId="3C36C11D" w14:textId="6C3EA509" w:rsidR="007B6316" w:rsidRPr="00424D9E" w:rsidRDefault="000A19F0" w:rsidP="00424D9E">
      <w:pPr>
        <w:spacing w:before="840"/>
        <w:rPr>
          <w:rFonts w:cstheme="minorHAnsi"/>
          <w:sz w:val="22"/>
          <w:szCs w:val="22"/>
        </w:rPr>
      </w:pPr>
      <w:r>
        <w:rPr>
          <w:rFonts w:cstheme="minorHAnsi"/>
          <w:noProof/>
          <w:sz w:val="22"/>
          <w:szCs w:val="22"/>
        </w:rPr>
        <w:drawing>
          <wp:anchor distT="0" distB="0" distL="114300" distR="114300" simplePos="0" relativeHeight="251658240" behindDoc="1" locked="0" layoutInCell="1" allowOverlap="1" wp14:anchorId="445EA2D8" wp14:editId="2510023C">
            <wp:simplePos x="0" y="0"/>
            <wp:positionH relativeFrom="column">
              <wp:posOffset>-5715</wp:posOffset>
            </wp:positionH>
            <wp:positionV relativeFrom="paragraph">
              <wp:posOffset>82550</wp:posOffset>
            </wp:positionV>
            <wp:extent cx="825500" cy="330200"/>
            <wp:effectExtent l="0" t="0" r="0" b="0"/>
            <wp:wrapNone/>
            <wp:docPr id="1978318253"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318253" name="Picture 1" descr="A black text on a white background&#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825500" cy="330200"/>
                    </a:xfrm>
                    <a:prstGeom prst="rect">
                      <a:avLst/>
                    </a:prstGeom>
                  </pic:spPr>
                </pic:pic>
              </a:graphicData>
            </a:graphic>
          </wp:anchor>
        </w:drawing>
      </w:r>
      <w:r w:rsidR="001350B9" w:rsidRPr="00424D9E">
        <w:rPr>
          <w:rFonts w:cstheme="minorHAnsi"/>
          <w:sz w:val="22"/>
          <w:szCs w:val="22"/>
        </w:rPr>
        <w:t>Seizo Onoe</w:t>
      </w:r>
      <w:r w:rsidR="007B6316" w:rsidRPr="00424D9E">
        <w:rPr>
          <w:rFonts w:cstheme="minorHAnsi"/>
          <w:sz w:val="22"/>
          <w:szCs w:val="22"/>
        </w:rPr>
        <w:br/>
      </w:r>
      <w:proofErr w:type="gramStart"/>
      <w:r w:rsidR="007B6316" w:rsidRPr="00424D9E">
        <w:rPr>
          <w:rFonts w:cstheme="minorHAnsi"/>
          <w:sz w:val="22"/>
          <w:szCs w:val="22"/>
        </w:rPr>
        <w:t>Director</w:t>
      </w:r>
      <w:proofErr w:type="gramEnd"/>
      <w:r w:rsidR="007B6316" w:rsidRPr="00424D9E">
        <w:rPr>
          <w:rFonts w:cstheme="minorHAnsi"/>
          <w:sz w:val="22"/>
          <w:szCs w:val="22"/>
        </w:rPr>
        <w:t xml:space="preserve"> de la Oficina de </w:t>
      </w:r>
      <w:r w:rsidR="007B6316" w:rsidRPr="00424D9E">
        <w:rPr>
          <w:rFonts w:cstheme="minorHAnsi"/>
          <w:sz w:val="22"/>
          <w:szCs w:val="22"/>
        </w:rPr>
        <w:br/>
        <w:t>Normalización de las Telecomunicaciones</w:t>
      </w:r>
    </w:p>
    <w:sectPr w:rsidR="007B6316" w:rsidRPr="00424D9E" w:rsidSect="00B87E9E">
      <w:head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9B593" w14:textId="77777777" w:rsidR="002E3FB7" w:rsidRDefault="002E3FB7">
      <w:r>
        <w:separator/>
      </w:r>
    </w:p>
  </w:endnote>
  <w:endnote w:type="continuationSeparator" w:id="0">
    <w:p w14:paraId="507DA121" w14:textId="77777777" w:rsidR="002E3FB7" w:rsidRDefault="002E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6C5F" w14:textId="77777777" w:rsidR="0014464D" w:rsidRPr="00D834E7" w:rsidRDefault="0014464D" w:rsidP="00FC416A">
    <w:pPr>
      <w:pStyle w:val="FirstFooter"/>
      <w:ind w:left="-397" w:right="-397"/>
      <w:jc w:val="center"/>
      <w:rPr>
        <w:color w:val="0070C0"/>
        <w:szCs w:val="18"/>
        <w:lang w:val="es-ES"/>
      </w:rPr>
    </w:pPr>
    <w:r w:rsidRPr="00D834E7">
      <w:rPr>
        <w:color w:val="0070C0"/>
        <w:szCs w:val="18"/>
        <w:lang w:val="es-ES"/>
      </w:rPr>
      <w:t>Unión Internacional de Telecomunicaciones • Place des Nations,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C7A85" w14:textId="77777777" w:rsidR="002E3FB7" w:rsidRDefault="002E3FB7">
      <w:r>
        <w:t>____________________</w:t>
      </w:r>
    </w:p>
  </w:footnote>
  <w:footnote w:type="continuationSeparator" w:id="0">
    <w:p w14:paraId="6D40F375" w14:textId="77777777" w:rsidR="002E3FB7" w:rsidRDefault="002E3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149B" w14:textId="77777777"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20D77"/>
    <w:multiLevelType w:val="multilevel"/>
    <w:tmpl w:val="658661FE"/>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97730853">
    <w:abstractNumId w:val="1"/>
  </w:num>
  <w:num w:numId="2" w16cid:durableId="1345282128">
    <w:abstractNumId w:val="4"/>
  </w:num>
  <w:num w:numId="3" w16cid:durableId="1069613404">
    <w:abstractNumId w:val="3"/>
  </w:num>
  <w:num w:numId="4" w16cid:durableId="374936234">
    <w:abstractNumId w:val="2"/>
  </w:num>
  <w:num w:numId="5" w16cid:durableId="79275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B7"/>
    <w:rsid w:val="00001D8B"/>
    <w:rsid w:val="00002529"/>
    <w:rsid w:val="00085662"/>
    <w:rsid w:val="000A19F0"/>
    <w:rsid w:val="000C382F"/>
    <w:rsid w:val="001173CC"/>
    <w:rsid w:val="001350B9"/>
    <w:rsid w:val="0014464D"/>
    <w:rsid w:val="001A54CC"/>
    <w:rsid w:val="00257FB4"/>
    <w:rsid w:val="002679BE"/>
    <w:rsid w:val="002E3FB7"/>
    <w:rsid w:val="002E496E"/>
    <w:rsid w:val="00303D62"/>
    <w:rsid w:val="00335367"/>
    <w:rsid w:val="00370C2D"/>
    <w:rsid w:val="003D1E8D"/>
    <w:rsid w:val="003D673B"/>
    <w:rsid w:val="003F2855"/>
    <w:rsid w:val="00401C20"/>
    <w:rsid w:val="0042087E"/>
    <w:rsid w:val="00424D9E"/>
    <w:rsid w:val="004A7957"/>
    <w:rsid w:val="004C4144"/>
    <w:rsid w:val="0055719E"/>
    <w:rsid w:val="00685912"/>
    <w:rsid w:val="006969B4"/>
    <w:rsid w:val="006D0292"/>
    <w:rsid w:val="006E4F7B"/>
    <w:rsid w:val="007356BE"/>
    <w:rsid w:val="00781E2A"/>
    <w:rsid w:val="007933A2"/>
    <w:rsid w:val="007B6316"/>
    <w:rsid w:val="007C4A2C"/>
    <w:rsid w:val="00814503"/>
    <w:rsid w:val="008258C2"/>
    <w:rsid w:val="008505BD"/>
    <w:rsid w:val="00850C78"/>
    <w:rsid w:val="00876165"/>
    <w:rsid w:val="00884D12"/>
    <w:rsid w:val="008C17AD"/>
    <w:rsid w:val="008D02CD"/>
    <w:rsid w:val="0091370C"/>
    <w:rsid w:val="0095172A"/>
    <w:rsid w:val="00963FB2"/>
    <w:rsid w:val="009A0BA0"/>
    <w:rsid w:val="00A54E47"/>
    <w:rsid w:val="00A924C5"/>
    <w:rsid w:val="00AB6E3A"/>
    <w:rsid w:val="00AE7093"/>
    <w:rsid w:val="00B422BC"/>
    <w:rsid w:val="00B43F77"/>
    <w:rsid w:val="00B55A3E"/>
    <w:rsid w:val="00B87E9E"/>
    <w:rsid w:val="00B95F0A"/>
    <w:rsid w:val="00B96180"/>
    <w:rsid w:val="00BF067F"/>
    <w:rsid w:val="00C116FE"/>
    <w:rsid w:val="00C17AC0"/>
    <w:rsid w:val="00C34772"/>
    <w:rsid w:val="00C5465A"/>
    <w:rsid w:val="00D54642"/>
    <w:rsid w:val="00D834E7"/>
    <w:rsid w:val="00DD77C9"/>
    <w:rsid w:val="00DF3538"/>
    <w:rsid w:val="00E839B0"/>
    <w:rsid w:val="00E92C09"/>
    <w:rsid w:val="00F14380"/>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1DF1D"/>
  <w15:docId w15:val="{A564020B-AB38-4C39-A969-2698AE42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styleId="UnresolvedMention">
    <w:name w:val="Unresolved Mention"/>
    <w:basedOn w:val="DefaultParagraphFont"/>
    <w:uiPriority w:val="99"/>
    <w:semiHidden/>
    <w:unhideWhenUsed/>
    <w:rsid w:val="002E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iforgood.itu.int/the-future-leaders-in-quantum-hackath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quantum2025.org/e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quantum@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antumcoalition.io/about-us" TargetMode="External"/><Relationship Id="rId5" Type="http://schemas.openxmlformats.org/officeDocument/2006/relationships/webSettings" Target="webSettings.xml"/><Relationship Id="rId15" Type="http://schemas.openxmlformats.org/officeDocument/2006/relationships/hyperlink" Target="https://aiforgood.itu.int/the-future-leaders-in-quantum-hackathon/" TargetMode="External"/><Relationship Id="rId10" Type="http://schemas.openxmlformats.org/officeDocument/2006/relationships/hyperlink" Target="https://aiforgood.itu.int/the-future-leaders-in-quantum-hackath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antum@itu.int" TargetMode="External"/><Relationship Id="rId14" Type="http://schemas.openxmlformats.org/officeDocument/2006/relationships/hyperlink" Target="https://aiforgood.itu.int/the-future-leaders-in-quantum-hackath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TSB\PS_TSB_Circula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PS_TSB_Circular_Letter.dotx</Template>
  <TotalTime>60</TotalTime>
  <Pages>3</Pages>
  <Words>1122</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7804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5</cp:revision>
  <cp:lastPrinted>2025-05-07T07:39:00Z</cp:lastPrinted>
  <dcterms:created xsi:type="dcterms:W3CDTF">2025-05-01T08:45:00Z</dcterms:created>
  <dcterms:modified xsi:type="dcterms:W3CDTF">2025-05-07T07:39:00Z</dcterms:modified>
</cp:coreProperties>
</file>