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345"/>
        <w:gridCol w:w="5105"/>
      </w:tblGrid>
      <w:tr w:rsidR="00EF6A23" w:rsidRPr="00477F13" w14:paraId="3FDAE1F3" w14:textId="77777777" w:rsidTr="003F083D">
        <w:trPr>
          <w:cantSplit/>
        </w:trPr>
        <w:tc>
          <w:tcPr>
            <w:tcW w:w="0" w:type="auto"/>
            <w:vAlign w:val="center"/>
          </w:tcPr>
          <w:p w14:paraId="3DE42CAA" w14:textId="77777777" w:rsidR="00EF6A23" w:rsidRPr="00477F13" w:rsidRDefault="00EF6A23" w:rsidP="00D14F31">
            <w:pPr>
              <w:tabs>
                <w:tab w:val="right" w:pos="8732"/>
              </w:tabs>
              <w:spacing w:before="0"/>
              <w:rPr>
                <w:b/>
                <w:bCs/>
                <w:iCs/>
                <w:color w:val="FFFFFF"/>
                <w:sz w:val="30"/>
                <w:szCs w:val="30"/>
              </w:rPr>
            </w:pPr>
            <w:r w:rsidRPr="00477F13">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477F13" w:rsidRDefault="00EF6A23" w:rsidP="00EF6A23">
            <w:pPr>
              <w:spacing w:before="0"/>
              <w:rPr>
                <w:rFonts w:cs="Times New Roman Bold"/>
                <w:b/>
                <w:bCs/>
                <w:iCs/>
                <w:smallCaps/>
                <w:sz w:val="34"/>
                <w:szCs w:val="34"/>
              </w:rPr>
            </w:pPr>
            <w:r w:rsidRPr="00477F13">
              <w:rPr>
                <w:rFonts w:cs="Times New Roman Bold"/>
                <w:b/>
                <w:bCs/>
                <w:iCs/>
                <w:smallCaps/>
                <w:sz w:val="34"/>
                <w:szCs w:val="34"/>
              </w:rPr>
              <w:t>Union internationale des télécommunications</w:t>
            </w:r>
          </w:p>
          <w:p w14:paraId="089E66D0" w14:textId="77777777" w:rsidR="00EF6A23" w:rsidRPr="00477F13" w:rsidRDefault="00EF6A23" w:rsidP="00EF6A23">
            <w:pPr>
              <w:spacing w:before="0"/>
              <w:rPr>
                <w:color w:val="FFFFFF"/>
                <w:sz w:val="26"/>
                <w:szCs w:val="26"/>
              </w:rPr>
            </w:pPr>
            <w:r w:rsidRPr="00477F13">
              <w:rPr>
                <w:rFonts w:cs="Times New Roman Bold"/>
                <w:b/>
                <w:bCs/>
                <w:iCs/>
                <w:smallCaps/>
                <w:sz w:val="28"/>
                <w:szCs w:val="28"/>
              </w:rPr>
              <w:t>B</w:t>
            </w:r>
            <w:r w:rsidRPr="00477F13">
              <w:rPr>
                <w:b/>
                <w:bCs/>
                <w:iCs/>
                <w:smallCaps/>
                <w:sz w:val="28"/>
                <w:szCs w:val="28"/>
              </w:rPr>
              <w:t>ureau de la Normalisation des Télécommunications</w:t>
            </w:r>
          </w:p>
        </w:tc>
      </w:tr>
      <w:tr w:rsidR="00036F4F" w:rsidRPr="001E262B" w14:paraId="18B25741" w14:textId="77777777" w:rsidTr="001E262B">
        <w:trPr>
          <w:cantSplit/>
          <w:trHeight w:val="612"/>
        </w:trPr>
        <w:tc>
          <w:tcPr>
            <w:tcW w:w="0" w:type="auto"/>
          </w:tcPr>
          <w:p w14:paraId="4B1AFD72" w14:textId="77777777" w:rsidR="00036F4F" w:rsidRPr="001E262B" w:rsidRDefault="00036F4F" w:rsidP="001E262B">
            <w:pPr>
              <w:tabs>
                <w:tab w:val="left" w:pos="4111"/>
              </w:tabs>
              <w:spacing w:before="10"/>
              <w:rPr>
                <w:rFonts w:cstheme="minorHAnsi"/>
                <w:sz w:val="22"/>
                <w:szCs w:val="22"/>
              </w:rPr>
            </w:pPr>
          </w:p>
        </w:tc>
        <w:tc>
          <w:tcPr>
            <w:tcW w:w="3330" w:type="dxa"/>
          </w:tcPr>
          <w:p w14:paraId="6579D3E8" w14:textId="77777777" w:rsidR="00036F4F" w:rsidRPr="001E262B" w:rsidRDefault="00036F4F" w:rsidP="00A5280F">
            <w:pPr>
              <w:tabs>
                <w:tab w:val="left" w:pos="4111"/>
              </w:tabs>
              <w:spacing w:before="10"/>
              <w:ind w:left="57"/>
              <w:rPr>
                <w:rFonts w:cstheme="minorHAnsi"/>
                <w:b/>
                <w:sz w:val="22"/>
                <w:szCs w:val="22"/>
              </w:rPr>
            </w:pPr>
          </w:p>
        </w:tc>
        <w:tc>
          <w:tcPr>
            <w:tcW w:w="5120" w:type="dxa"/>
          </w:tcPr>
          <w:p w14:paraId="0DC34ECA" w14:textId="59F59A0A" w:rsidR="00036F4F" w:rsidRPr="001E262B"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1E262B">
              <w:rPr>
                <w:rFonts w:cstheme="minorHAnsi"/>
                <w:sz w:val="22"/>
                <w:szCs w:val="22"/>
              </w:rPr>
              <w:t>Genève, le</w:t>
            </w:r>
            <w:r w:rsidR="004419E9" w:rsidRPr="001E262B">
              <w:rPr>
                <w:rFonts w:cstheme="minorHAnsi"/>
                <w:sz w:val="22"/>
                <w:szCs w:val="22"/>
              </w:rPr>
              <w:t xml:space="preserve"> </w:t>
            </w:r>
            <w:r w:rsidR="00B769DC" w:rsidRPr="001E262B">
              <w:rPr>
                <w:rFonts w:cstheme="minorHAnsi"/>
                <w:sz w:val="22"/>
                <w:szCs w:val="22"/>
              </w:rPr>
              <w:t>15 avril 2025</w:t>
            </w:r>
          </w:p>
        </w:tc>
      </w:tr>
      <w:tr w:rsidR="001E262B" w:rsidRPr="001E262B" w14:paraId="16CDDFEF" w14:textId="77777777" w:rsidTr="001E262B">
        <w:trPr>
          <w:cantSplit/>
          <w:trHeight w:val="340"/>
        </w:trPr>
        <w:tc>
          <w:tcPr>
            <w:tcW w:w="0" w:type="auto"/>
          </w:tcPr>
          <w:p w14:paraId="3EFF375D" w14:textId="58556577" w:rsidR="001E262B" w:rsidRPr="001E262B" w:rsidRDefault="001E262B" w:rsidP="001E262B">
            <w:pPr>
              <w:tabs>
                <w:tab w:val="left" w:pos="4111"/>
              </w:tabs>
              <w:spacing w:before="10"/>
              <w:rPr>
                <w:rFonts w:cstheme="minorHAnsi"/>
                <w:b/>
                <w:bCs/>
                <w:sz w:val="22"/>
                <w:szCs w:val="22"/>
              </w:rPr>
            </w:pPr>
            <w:proofErr w:type="gramStart"/>
            <w:r w:rsidRPr="001E262B">
              <w:rPr>
                <w:rFonts w:cstheme="minorHAnsi"/>
                <w:b/>
                <w:bCs/>
                <w:sz w:val="22"/>
                <w:szCs w:val="22"/>
              </w:rPr>
              <w:t>Réf.:</w:t>
            </w:r>
            <w:proofErr w:type="gramEnd"/>
          </w:p>
        </w:tc>
        <w:tc>
          <w:tcPr>
            <w:tcW w:w="3330" w:type="dxa"/>
          </w:tcPr>
          <w:p w14:paraId="577F6DA2" w14:textId="14D49868" w:rsidR="001E262B" w:rsidRPr="001E262B" w:rsidRDefault="001E262B" w:rsidP="00307FB4">
            <w:pPr>
              <w:tabs>
                <w:tab w:val="left" w:pos="4111"/>
              </w:tabs>
              <w:spacing w:before="10"/>
              <w:ind w:left="57"/>
              <w:rPr>
                <w:rFonts w:cstheme="minorHAnsi"/>
                <w:b/>
                <w:sz w:val="22"/>
                <w:szCs w:val="22"/>
              </w:rPr>
            </w:pPr>
            <w:r w:rsidRPr="001E262B">
              <w:rPr>
                <w:rFonts w:cstheme="minorHAnsi"/>
                <w:b/>
                <w:sz w:val="22"/>
                <w:szCs w:val="22"/>
              </w:rPr>
              <w:t>Circulaire TSB 44</w:t>
            </w:r>
          </w:p>
        </w:tc>
        <w:tc>
          <w:tcPr>
            <w:tcW w:w="5120" w:type="dxa"/>
            <w:vMerge w:val="restart"/>
          </w:tcPr>
          <w:p w14:paraId="1374744C" w14:textId="1253A756" w:rsidR="001E262B" w:rsidRPr="001E262B" w:rsidRDefault="001E262B" w:rsidP="00B769DC">
            <w:pPr>
              <w:tabs>
                <w:tab w:val="left" w:pos="4111"/>
              </w:tabs>
              <w:spacing w:before="0"/>
              <w:ind w:left="430" w:hanging="430"/>
              <w:rPr>
                <w:rFonts w:cstheme="minorHAnsi"/>
                <w:sz w:val="22"/>
                <w:szCs w:val="22"/>
              </w:rPr>
            </w:pPr>
            <w:bookmarkStart w:id="0" w:name="Addressee_F"/>
            <w:bookmarkEnd w:id="0"/>
            <w:r w:rsidRPr="001E262B">
              <w:rPr>
                <w:rFonts w:cstheme="minorHAnsi"/>
                <w:sz w:val="22"/>
                <w:szCs w:val="22"/>
              </w:rPr>
              <w:t>–</w:t>
            </w:r>
            <w:r w:rsidRPr="001E262B">
              <w:rPr>
                <w:rFonts w:cstheme="minorHAnsi"/>
                <w:sz w:val="22"/>
                <w:szCs w:val="22"/>
              </w:rPr>
              <w:tab/>
              <w:t xml:space="preserve">Aux Administrations des États Membres de </w:t>
            </w:r>
            <w:proofErr w:type="gramStart"/>
            <w:r w:rsidRPr="001E262B">
              <w:rPr>
                <w:rFonts w:cstheme="minorHAnsi"/>
                <w:sz w:val="22"/>
                <w:szCs w:val="22"/>
              </w:rPr>
              <w:t>l'Union;</w:t>
            </w:r>
            <w:proofErr w:type="gramEnd"/>
          </w:p>
          <w:p w14:paraId="759E43EC" w14:textId="18CF7EA4" w:rsidR="001E262B" w:rsidRPr="001E262B" w:rsidRDefault="001E262B" w:rsidP="00B769DC">
            <w:pPr>
              <w:tabs>
                <w:tab w:val="left" w:pos="4111"/>
              </w:tabs>
              <w:spacing w:before="0"/>
              <w:ind w:left="430" w:hanging="430"/>
              <w:rPr>
                <w:rFonts w:cstheme="minorHAnsi"/>
                <w:sz w:val="22"/>
                <w:szCs w:val="22"/>
              </w:rPr>
            </w:pPr>
            <w:r w:rsidRPr="001E262B">
              <w:rPr>
                <w:rFonts w:cstheme="minorHAnsi"/>
                <w:sz w:val="22"/>
                <w:szCs w:val="22"/>
              </w:rPr>
              <w:t>–</w:t>
            </w:r>
            <w:r w:rsidRPr="001E262B">
              <w:rPr>
                <w:rFonts w:cstheme="minorHAnsi"/>
                <w:sz w:val="22"/>
                <w:szCs w:val="22"/>
              </w:rPr>
              <w:tab/>
              <w:t>À l'État de Palestine</w:t>
            </w:r>
            <w:r>
              <w:rPr>
                <w:rFonts w:cstheme="minorHAnsi"/>
                <w:sz w:val="22"/>
                <w:szCs w:val="22"/>
              </w:rPr>
              <w:t xml:space="preserve"> </w:t>
            </w:r>
            <w:r w:rsidRPr="001E262B">
              <w:rPr>
                <w:rFonts w:cstheme="minorHAnsi"/>
                <w:sz w:val="22"/>
                <w:szCs w:val="22"/>
              </w:rPr>
              <w:t>(</w:t>
            </w:r>
            <w:proofErr w:type="spellStart"/>
            <w:r w:rsidRPr="001E262B">
              <w:rPr>
                <w:rFonts w:cstheme="minorHAnsi"/>
                <w:sz w:val="22"/>
                <w:szCs w:val="22"/>
              </w:rPr>
              <w:t>Rés</w:t>
            </w:r>
            <w:proofErr w:type="spellEnd"/>
            <w:r w:rsidRPr="001E262B">
              <w:rPr>
                <w:rFonts w:cstheme="minorHAnsi"/>
                <w:sz w:val="22"/>
                <w:szCs w:val="22"/>
              </w:rPr>
              <w:t>. 99 (Rév. Dubaï, 2018)</w:t>
            </w:r>
            <w:proofErr w:type="gramStart"/>
            <w:r w:rsidRPr="001E262B">
              <w:rPr>
                <w:rFonts w:cstheme="minorHAnsi"/>
                <w:sz w:val="22"/>
                <w:szCs w:val="22"/>
              </w:rPr>
              <w:t>);</w:t>
            </w:r>
            <w:proofErr w:type="gramEnd"/>
          </w:p>
          <w:p w14:paraId="53A0BD67" w14:textId="15334BEB" w:rsidR="001E262B" w:rsidRPr="001E262B" w:rsidRDefault="001E262B" w:rsidP="00B769DC">
            <w:pPr>
              <w:tabs>
                <w:tab w:val="left" w:pos="4111"/>
              </w:tabs>
              <w:spacing w:before="0"/>
              <w:ind w:left="430" w:hanging="430"/>
              <w:rPr>
                <w:rFonts w:cstheme="minorHAnsi"/>
                <w:sz w:val="22"/>
                <w:szCs w:val="22"/>
              </w:rPr>
            </w:pPr>
            <w:r w:rsidRPr="001E262B">
              <w:rPr>
                <w:rFonts w:cstheme="minorHAnsi"/>
                <w:sz w:val="22"/>
                <w:szCs w:val="22"/>
              </w:rPr>
              <w:t>–</w:t>
            </w:r>
            <w:r w:rsidRPr="001E262B">
              <w:rPr>
                <w:rFonts w:cstheme="minorHAnsi"/>
                <w:sz w:val="22"/>
                <w:szCs w:val="22"/>
              </w:rPr>
              <w:tab/>
              <w:t>Aux Membres du Secteur de l'UIT-</w:t>
            </w:r>
            <w:proofErr w:type="gramStart"/>
            <w:r w:rsidRPr="001E262B">
              <w:rPr>
                <w:rFonts w:cstheme="minorHAnsi"/>
                <w:sz w:val="22"/>
                <w:szCs w:val="22"/>
              </w:rPr>
              <w:t>T;</w:t>
            </w:r>
            <w:proofErr w:type="gramEnd"/>
          </w:p>
          <w:p w14:paraId="588EFE3F" w14:textId="48A0C01E" w:rsidR="001E262B" w:rsidRPr="001E262B" w:rsidRDefault="001E262B" w:rsidP="00B769DC">
            <w:pPr>
              <w:tabs>
                <w:tab w:val="left" w:pos="4111"/>
              </w:tabs>
              <w:spacing w:before="0"/>
              <w:ind w:left="430" w:hanging="430"/>
              <w:rPr>
                <w:rFonts w:cstheme="minorHAnsi"/>
                <w:sz w:val="22"/>
                <w:szCs w:val="22"/>
              </w:rPr>
            </w:pPr>
            <w:r w:rsidRPr="001E262B">
              <w:rPr>
                <w:rFonts w:cstheme="minorHAnsi"/>
                <w:sz w:val="22"/>
                <w:szCs w:val="22"/>
              </w:rPr>
              <w:t>–</w:t>
            </w:r>
            <w:r w:rsidRPr="001E262B">
              <w:rPr>
                <w:rFonts w:cstheme="minorHAnsi"/>
                <w:sz w:val="22"/>
                <w:szCs w:val="22"/>
              </w:rPr>
              <w:tab/>
              <w:t>Aux Associés de l'UIT-</w:t>
            </w:r>
            <w:proofErr w:type="gramStart"/>
            <w:r w:rsidRPr="001E262B">
              <w:rPr>
                <w:rFonts w:cstheme="minorHAnsi"/>
                <w:sz w:val="22"/>
                <w:szCs w:val="22"/>
              </w:rPr>
              <w:t>T;</w:t>
            </w:r>
            <w:proofErr w:type="gramEnd"/>
          </w:p>
          <w:p w14:paraId="6153FDFD" w14:textId="77777777" w:rsidR="001E262B" w:rsidRPr="001E262B" w:rsidRDefault="001E262B" w:rsidP="00B769DC">
            <w:pPr>
              <w:tabs>
                <w:tab w:val="left" w:pos="4111"/>
              </w:tabs>
              <w:spacing w:before="0"/>
              <w:ind w:left="430" w:hanging="430"/>
              <w:rPr>
                <w:rFonts w:cstheme="minorHAnsi"/>
                <w:sz w:val="22"/>
                <w:szCs w:val="22"/>
              </w:rPr>
            </w:pPr>
            <w:r w:rsidRPr="001E262B">
              <w:rPr>
                <w:rFonts w:cstheme="minorHAnsi"/>
                <w:sz w:val="22"/>
                <w:szCs w:val="22"/>
              </w:rPr>
              <w:t>–</w:t>
            </w:r>
            <w:r w:rsidRPr="001E262B">
              <w:rPr>
                <w:rFonts w:cstheme="minorHAnsi"/>
                <w:sz w:val="22"/>
                <w:szCs w:val="22"/>
              </w:rPr>
              <w:tab/>
              <w:t>Aux établissements universitaires participant aux travaux de l'UIT</w:t>
            </w:r>
          </w:p>
          <w:p w14:paraId="6E43B8BC" w14:textId="77777777" w:rsidR="001E262B" w:rsidRPr="001E262B" w:rsidRDefault="001E262B" w:rsidP="004D4D4B">
            <w:pPr>
              <w:tabs>
                <w:tab w:val="clear" w:pos="794"/>
                <w:tab w:val="left" w:pos="226"/>
                <w:tab w:val="left" w:pos="4111"/>
              </w:tabs>
              <w:spacing w:before="0"/>
              <w:ind w:left="226" w:hanging="226"/>
              <w:rPr>
                <w:rFonts w:cstheme="minorHAnsi"/>
                <w:b/>
                <w:bCs/>
                <w:sz w:val="22"/>
                <w:szCs w:val="22"/>
              </w:rPr>
            </w:pPr>
            <w:proofErr w:type="gramStart"/>
            <w:r w:rsidRPr="001E262B">
              <w:rPr>
                <w:rFonts w:cstheme="minorHAnsi"/>
                <w:b/>
                <w:bCs/>
                <w:sz w:val="22"/>
                <w:szCs w:val="22"/>
              </w:rPr>
              <w:t>Copie:</w:t>
            </w:r>
            <w:proofErr w:type="gramEnd"/>
          </w:p>
          <w:p w14:paraId="3712FEBB" w14:textId="77777777" w:rsidR="001E262B" w:rsidRPr="001E262B" w:rsidRDefault="001E262B" w:rsidP="004D4D4B">
            <w:pPr>
              <w:tabs>
                <w:tab w:val="clear" w:pos="794"/>
                <w:tab w:val="left" w:pos="4111"/>
              </w:tabs>
              <w:spacing w:before="0"/>
              <w:ind w:left="426" w:hanging="426"/>
              <w:rPr>
                <w:rFonts w:cstheme="minorHAnsi"/>
                <w:sz w:val="22"/>
                <w:szCs w:val="22"/>
              </w:rPr>
            </w:pPr>
            <w:r w:rsidRPr="001E262B">
              <w:rPr>
                <w:rFonts w:cstheme="minorHAnsi"/>
                <w:sz w:val="22"/>
                <w:szCs w:val="22"/>
              </w:rPr>
              <w:t>–</w:t>
            </w:r>
            <w:r w:rsidRPr="001E262B">
              <w:rPr>
                <w:rFonts w:cstheme="minorHAnsi"/>
                <w:sz w:val="22"/>
                <w:szCs w:val="22"/>
              </w:rPr>
              <w:tab/>
              <w:t>Aux présidents et vice-présidents des commissions d'études de l'UIT-</w:t>
            </w:r>
            <w:proofErr w:type="gramStart"/>
            <w:r w:rsidRPr="001E262B">
              <w:rPr>
                <w:rFonts w:cstheme="minorHAnsi"/>
                <w:sz w:val="22"/>
                <w:szCs w:val="22"/>
              </w:rPr>
              <w:t>T;</w:t>
            </w:r>
            <w:proofErr w:type="gramEnd"/>
          </w:p>
          <w:p w14:paraId="6EC31E47" w14:textId="77777777" w:rsidR="001E262B" w:rsidRPr="001E262B" w:rsidRDefault="001E262B" w:rsidP="004D4D4B">
            <w:pPr>
              <w:tabs>
                <w:tab w:val="clear" w:pos="794"/>
                <w:tab w:val="left" w:pos="4111"/>
              </w:tabs>
              <w:spacing w:before="0"/>
              <w:ind w:left="426" w:hanging="426"/>
              <w:rPr>
                <w:rFonts w:cstheme="minorHAnsi"/>
                <w:sz w:val="22"/>
                <w:szCs w:val="22"/>
              </w:rPr>
            </w:pPr>
            <w:r w:rsidRPr="001E262B">
              <w:rPr>
                <w:rFonts w:cstheme="minorHAnsi"/>
                <w:sz w:val="22"/>
                <w:szCs w:val="22"/>
              </w:rPr>
              <w:t>–</w:t>
            </w:r>
            <w:r w:rsidRPr="001E262B">
              <w:rPr>
                <w:rFonts w:cstheme="minorHAnsi"/>
                <w:sz w:val="22"/>
                <w:szCs w:val="22"/>
              </w:rPr>
              <w:tab/>
              <w:t xml:space="preserve">Au Directeur du Bureau de développement des </w:t>
            </w:r>
            <w:proofErr w:type="gramStart"/>
            <w:r w:rsidRPr="001E262B">
              <w:rPr>
                <w:rFonts w:cstheme="minorHAnsi"/>
                <w:sz w:val="22"/>
                <w:szCs w:val="22"/>
              </w:rPr>
              <w:t>télécommunications;</w:t>
            </w:r>
            <w:proofErr w:type="gramEnd"/>
          </w:p>
          <w:p w14:paraId="461460AE" w14:textId="4E6D7B89" w:rsidR="001E262B" w:rsidRPr="001E262B" w:rsidRDefault="001E262B" w:rsidP="004D4D4B">
            <w:pPr>
              <w:tabs>
                <w:tab w:val="left" w:pos="4111"/>
              </w:tabs>
              <w:spacing w:before="0" w:after="120"/>
              <w:ind w:left="426" w:hanging="426"/>
              <w:rPr>
                <w:rFonts w:cstheme="minorHAnsi"/>
                <w:sz w:val="22"/>
                <w:szCs w:val="22"/>
              </w:rPr>
            </w:pPr>
            <w:r w:rsidRPr="001E262B">
              <w:rPr>
                <w:rFonts w:cstheme="minorHAnsi"/>
                <w:sz w:val="22"/>
                <w:szCs w:val="22"/>
              </w:rPr>
              <w:t>–</w:t>
            </w:r>
            <w:r w:rsidRPr="001E262B">
              <w:rPr>
                <w:rFonts w:cstheme="minorHAnsi"/>
                <w:sz w:val="22"/>
                <w:szCs w:val="22"/>
              </w:rPr>
              <w:tab/>
              <w:t>Au Directeur du Bureau des radiocommunications</w:t>
            </w:r>
          </w:p>
        </w:tc>
      </w:tr>
      <w:tr w:rsidR="001E262B" w:rsidRPr="001E262B" w14:paraId="06A3F0E7" w14:textId="77777777" w:rsidTr="001E262B">
        <w:trPr>
          <w:cantSplit/>
          <w:trHeight w:val="340"/>
        </w:trPr>
        <w:tc>
          <w:tcPr>
            <w:tcW w:w="0" w:type="auto"/>
          </w:tcPr>
          <w:p w14:paraId="5CF43A7B" w14:textId="1AE0D58C" w:rsidR="001E262B" w:rsidRPr="001E262B" w:rsidRDefault="001E262B" w:rsidP="001E262B">
            <w:pPr>
              <w:tabs>
                <w:tab w:val="left" w:pos="4111"/>
              </w:tabs>
              <w:spacing w:before="10"/>
              <w:rPr>
                <w:rFonts w:cstheme="minorHAnsi"/>
                <w:sz w:val="22"/>
                <w:szCs w:val="22"/>
              </w:rPr>
            </w:pPr>
            <w:proofErr w:type="gramStart"/>
            <w:r w:rsidRPr="001E262B">
              <w:rPr>
                <w:rFonts w:cstheme="minorHAnsi"/>
                <w:sz w:val="22"/>
                <w:szCs w:val="22"/>
              </w:rPr>
              <w:t>Tél.:</w:t>
            </w:r>
            <w:proofErr w:type="gramEnd"/>
          </w:p>
        </w:tc>
        <w:tc>
          <w:tcPr>
            <w:tcW w:w="3330" w:type="dxa"/>
          </w:tcPr>
          <w:p w14:paraId="2074781F" w14:textId="3E6D2284" w:rsidR="001E262B" w:rsidRPr="001E262B" w:rsidRDefault="001E262B" w:rsidP="004D4D4B">
            <w:pPr>
              <w:tabs>
                <w:tab w:val="left" w:pos="4111"/>
              </w:tabs>
              <w:spacing w:before="10"/>
              <w:ind w:left="57"/>
              <w:rPr>
                <w:rFonts w:cstheme="minorHAnsi"/>
                <w:b/>
                <w:sz w:val="22"/>
                <w:szCs w:val="22"/>
              </w:rPr>
            </w:pPr>
            <w:r w:rsidRPr="001E262B">
              <w:rPr>
                <w:rFonts w:cstheme="minorHAnsi"/>
                <w:sz w:val="22"/>
                <w:szCs w:val="22"/>
              </w:rPr>
              <w:t>+41 22 730 5893</w:t>
            </w:r>
          </w:p>
        </w:tc>
        <w:tc>
          <w:tcPr>
            <w:tcW w:w="5120" w:type="dxa"/>
            <w:vMerge/>
          </w:tcPr>
          <w:p w14:paraId="2F310545" w14:textId="706EAF9D" w:rsidR="001E262B" w:rsidRPr="001E262B" w:rsidRDefault="001E262B" w:rsidP="004D4D4B">
            <w:pPr>
              <w:tabs>
                <w:tab w:val="left" w:pos="4111"/>
              </w:tabs>
              <w:spacing w:before="0" w:after="120"/>
              <w:ind w:left="426" w:hanging="426"/>
              <w:rPr>
                <w:rFonts w:cstheme="minorHAnsi"/>
                <w:sz w:val="22"/>
                <w:szCs w:val="22"/>
              </w:rPr>
            </w:pPr>
          </w:p>
        </w:tc>
      </w:tr>
      <w:tr w:rsidR="001E262B" w:rsidRPr="001E262B" w14:paraId="724FD23E" w14:textId="77777777" w:rsidTr="001E262B">
        <w:trPr>
          <w:cantSplit/>
        </w:trPr>
        <w:tc>
          <w:tcPr>
            <w:tcW w:w="0" w:type="auto"/>
          </w:tcPr>
          <w:p w14:paraId="73149CCD" w14:textId="7BD206CE" w:rsidR="001E262B" w:rsidRPr="001E262B" w:rsidRDefault="001E262B" w:rsidP="001E262B">
            <w:pPr>
              <w:tabs>
                <w:tab w:val="left" w:pos="4111"/>
              </w:tabs>
              <w:spacing w:before="10"/>
              <w:rPr>
                <w:rFonts w:cstheme="minorHAnsi"/>
                <w:sz w:val="22"/>
                <w:szCs w:val="22"/>
              </w:rPr>
            </w:pPr>
            <w:proofErr w:type="gramStart"/>
            <w:r w:rsidRPr="001E262B">
              <w:rPr>
                <w:rFonts w:cstheme="minorHAnsi"/>
                <w:sz w:val="22"/>
                <w:szCs w:val="22"/>
              </w:rPr>
              <w:t>Télécopie:</w:t>
            </w:r>
            <w:proofErr w:type="gramEnd"/>
          </w:p>
        </w:tc>
        <w:tc>
          <w:tcPr>
            <w:tcW w:w="3330" w:type="dxa"/>
          </w:tcPr>
          <w:p w14:paraId="78D06186" w14:textId="435BF968" w:rsidR="001E262B" w:rsidRPr="001E262B" w:rsidRDefault="001E262B" w:rsidP="004D4D4B">
            <w:pPr>
              <w:tabs>
                <w:tab w:val="left" w:pos="4111"/>
              </w:tabs>
              <w:spacing w:before="0"/>
              <w:ind w:left="57"/>
              <w:rPr>
                <w:rFonts w:cstheme="minorHAnsi"/>
                <w:sz w:val="22"/>
                <w:szCs w:val="22"/>
              </w:rPr>
            </w:pPr>
            <w:r w:rsidRPr="001E262B">
              <w:rPr>
                <w:rFonts w:cstheme="minorHAnsi"/>
                <w:sz w:val="22"/>
                <w:szCs w:val="22"/>
              </w:rPr>
              <w:t>+41 22 730 5853</w:t>
            </w:r>
          </w:p>
        </w:tc>
        <w:tc>
          <w:tcPr>
            <w:tcW w:w="5120" w:type="dxa"/>
            <w:vMerge/>
          </w:tcPr>
          <w:p w14:paraId="6D3A5806" w14:textId="7B09A37D" w:rsidR="001E262B" w:rsidRPr="001E262B" w:rsidRDefault="001E262B" w:rsidP="004D4D4B">
            <w:pPr>
              <w:tabs>
                <w:tab w:val="left" w:pos="4111"/>
              </w:tabs>
              <w:spacing w:before="0" w:after="120"/>
              <w:ind w:left="426" w:hanging="426"/>
              <w:rPr>
                <w:rFonts w:cstheme="minorHAnsi"/>
                <w:b/>
                <w:sz w:val="22"/>
                <w:szCs w:val="22"/>
              </w:rPr>
            </w:pPr>
          </w:p>
        </w:tc>
      </w:tr>
      <w:tr w:rsidR="001E262B" w:rsidRPr="001E262B" w14:paraId="030F9AE5" w14:textId="77777777" w:rsidTr="001E262B">
        <w:trPr>
          <w:cantSplit/>
          <w:trHeight w:val="2125"/>
        </w:trPr>
        <w:tc>
          <w:tcPr>
            <w:tcW w:w="0" w:type="auto"/>
            <w:tcBorders>
              <w:bottom w:val="nil"/>
            </w:tcBorders>
          </w:tcPr>
          <w:p w14:paraId="7B417C4C" w14:textId="5B1923A7" w:rsidR="001E262B" w:rsidRPr="001E262B" w:rsidRDefault="001E262B" w:rsidP="001E262B">
            <w:pPr>
              <w:tabs>
                <w:tab w:val="left" w:pos="4111"/>
              </w:tabs>
              <w:spacing w:before="10"/>
              <w:rPr>
                <w:rFonts w:cstheme="minorHAnsi"/>
                <w:sz w:val="22"/>
                <w:szCs w:val="22"/>
              </w:rPr>
            </w:pPr>
            <w:proofErr w:type="gramStart"/>
            <w:r w:rsidRPr="001E262B">
              <w:rPr>
                <w:rFonts w:cstheme="minorHAnsi"/>
                <w:sz w:val="22"/>
                <w:szCs w:val="22"/>
              </w:rPr>
              <w:t>Courriel:</w:t>
            </w:r>
            <w:proofErr w:type="gramEnd"/>
          </w:p>
        </w:tc>
        <w:tc>
          <w:tcPr>
            <w:tcW w:w="3330" w:type="dxa"/>
            <w:tcBorders>
              <w:bottom w:val="nil"/>
            </w:tcBorders>
          </w:tcPr>
          <w:p w14:paraId="1A4A5F7B" w14:textId="6E79A1EB" w:rsidR="001E262B" w:rsidRPr="001E262B" w:rsidRDefault="001E262B" w:rsidP="004D4D4B">
            <w:pPr>
              <w:tabs>
                <w:tab w:val="left" w:pos="4111"/>
              </w:tabs>
              <w:spacing w:before="0"/>
              <w:ind w:left="57"/>
              <w:rPr>
                <w:rFonts w:cstheme="minorHAnsi"/>
                <w:sz w:val="22"/>
                <w:szCs w:val="22"/>
              </w:rPr>
            </w:pPr>
            <w:hyperlink r:id="rId9" w:history="1">
              <w:r w:rsidRPr="001E262B">
                <w:rPr>
                  <w:rStyle w:val="Hyperlink"/>
                  <w:rFonts w:cstheme="minorHAnsi"/>
                  <w:sz w:val="22"/>
                  <w:szCs w:val="22"/>
                </w:rPr>
                <w:t>quantum@itu.int</w:t>
              </w:r>
            </w:hyperlink>
          </w:p>
        </w:tc>
        <w:tc>
          <w:tcPr>
            <w:tcW w:w="5120" w:type="dxa"/>
            <w:vMerge/>
            <w:tcBorders>
              <w:bottom w:val="nil"/>
            </w:tcBorders>
          </w:tcPr>
          <w:p w14:paraId="323DAC81" w14:textId="78445227" w:rsidR="001E262B" w:rsidRPr="001E262B" w:rsidRDefault="001E262B" w:rsidP="004D4D4B">
            <w:pPr>
              <w:tabs>
                <w:tab w:val="left" w:pos="4111"/>
              </w:tabs>
              <w:spacing w:before="0" w:after="120"/>
              <w:ind w:left="426" w:hanging="426"/>
              <w:rPr>
                <w:rFonts w:cstheme="minorHAnsi"/>
                <w:b/>
                <w:sz w:val="22"/>
                <w:szCs w:val="22"/>
              </w:rPr>
            </w:pPr>
          </w:p>
        </w:tc>
      </w:tr>
      <w:tr w:rsidR="004D4D4B" w:rsidRPr="001E262B" w14:paraId="5435C04A" w14:textId="77777777" w:rsidTr="001E262B">
        <w:trPr>
          <w:cantSplit/>
          <w:trHeight w:val="612"/>
        </w:trPr>
        <w:tc>
          <w:tcPr>
            <w:tcW w:w="0" w:type="auto"/>
          </w:tcPr>
          <w:p w14:paraId="2A0B9B4F" w14:textId="77777777" w:rsidR="004D4D4B" w:rsidRPr="001E262B" w:rsidRDefault="004D4D4B" w:rsidP="001E262B">
            <w:pPr>
              <w:tabs>
                <w:tab w:val="left" w:pos="4111"/>
              </w:tabs>
              <w:spacing w:before="0"/>
              <w:rPr>
                <w:rFonts w:cstheme="minorHAnsi"/>
                <w:b/>
                <w:bCs/>
                <w:sz w:val="22"/>
                <w:szCs w:val="22"/>
              </w:rPr>
            </w:pPr>
            <w:proofErr w:type="gramStart"/>
            <w:r w:rsidRPr="001E262B">
              <w:rPr>
                <w:rFonts w:cstheme="minorHAnsi"/>
                <w:b/>
                <w:bCs/>
                <w:sz w:val="22"/>
                <w:szCs w:val="22"/>
              </w:rPr>
              <w:t>Objet:</w:t>
            </w:r>
            <w:proofErr w:type="gramEnd"/>
          </w:p>
        </w:tc>
        <w:tc>
          <w:tcPr>
            <w:tcW w:w="0" w:type="auto"/>
            <w:gridSpan w:val="2"/>
          </w:tcPr>
          <w:p w14:paraId="1A51EE75" w14:textId="14382721" w:rsidR="004D4D4B" w:rsidRPr="001E262B" w:rsidRDefault="004D4D4B" w:rsidP="001E262B">
            <w:pPr>
              <w:tabs>
                <w:tab w:val="left" w:pos="4111"/>
              </w:tabs>
              <w:spacing w:before="0"/>
              <w:ind w:left="58"/>
              <w:rPr>
                <w:rFonts w:cstheme="minorHAnsi"/>
                <w:b/>
                <w:bCs/>
                <w:sz w:val="22"/>
                <w:szCs w:val="22"/>
              </w:rPr>
            </w:pPr>
            <w:r w:rsidRPr="001E262B">
              <w:rPr>
                <w:rFonts w:cstheme="minorHAnsi"/>
                <w:b/>
                <w:bCs/>
                <w:sz w:val="22"/>
                <w:szCs w:val="22"/>
              </w:rPr>
              <w:t>Hackathon mondial des dirigeants de l'informatique quantique de demain (FLIQ) (manifestation virtuelle, 16-20 mai 2025)</w:t>
            </w:r>
          </w:p>
        </w:tc>
      </w:tr>
    </w:tbl>
    <w:p w14:paraId="2D1EC328" w14:textId="77777777" w:rsidR="00517A03" w:rsidRPr="001E262B" w:rsidRDefault="00517A03" w:rsidP="001E262B">
      <w:pPr>
        <w:rPr>
          <w:rFonts w:cstheme="minorHAnsi"/>
          <w:sz w:val="22"/>
          <w:szCs w:val="22"/>
        </w:rPr>
      </w:pPr>
      <w:bookmarkStart w:id="1" w:name="StartTyping_F"/>
      <w:bookmarkEnd w:id="1"/>
      <w:r w:rsidRPr="001E262B">
        <w:rPr>
          <w:rFonts w:cstheme="minorHAnsi"/>
          <w:sz w:val="22"/>
          <w:szCs w:val="22"/>
        </w:rPr>
        <w:t>Madame, Monsieur,</w:t>
      </w:r>
    </w:p>
    <w:p w14:paraId="1C6AE7D4" w14:textId="70CA0E0F" w:rsidR="00B769DC" w:rsidRPr="001E262B" w:rsidRDefault="00B769DC" w:rsidP="00B769DC">
      <w:pPr>
        <w:rPr>
          <w:rFonts w:cstheme="minorHAnsi"/>
          <w:sz w:val="22"/>
          <w:szCs w:val="22"/>
        </w:rPr>
      </w:pPr>
      <w:r w:rsidRPr="001E262B">
        <w:rPr>
          <w:rFonts w:cstheme="minorHAnsi"/>
          <w:sz w:val="22"/>
          <w:szCs w:val="22"/>
        </w:rPr>
        <w:t>1</w:t>
      </w:r>
      <w:r w:rsidRPr="001E262B">
        <w:rPr>
          <w:rFonts w:cstheme="minorHAnsi"/>
          <w:sz w:val="22"/>
          <w:szCs w:val="22"/>
        </w:rPr>
        <w:tab/>
        <w:t>J</w:t>
      </w:r>
      <w:r w:rsidR="00E70120" w:rsidRPr="001E262B">
        <w:rPr>
          <w:rFonts w:cstheme="minorHAnsi"/>
          <w:sz w:val="22"/>
          <w:szCs w:val="22"/>
        </w:rPr>
        <w:t>'</w:t>
      </w:r>
      <w:r w:rsidRPr="001E262B">
        <w:rPr>
          <w:rFonts w:cstheme="minorHAnsi"/>
          <w:sz w:val="22"/>
          <w:szCs w:val="22"/>
        </w:rPr>
        <w:t>ai l</w:t>
      </w:r>
      <w:r w:rsidR="00E70120" w:rsidRPr="001E262B">
        <w:rPr>
          <w:rFonts w:cstheme="minorHAnsi"/>
          <w:sz w:val="22"/>
          <w:szCs w:val="22"/>
        </w:rPr>
        <w:t>'</w:t>
      </w:r>
      <w:r w:rsidRPr="001E262B">
        <w:rPr>
          <w:rFonts w:cstheme="minorHAnsi"/>
          <w:sz w:val="22"/>
          <w:szCs w:val="22"/>
        </w:rPr>
        <w:t xml:space="preserve">honneur de vous inviter à participer au </w:t>
      </w:r>
      <w:hyperlink r:id="rId10" w:anchor="/fr" w:history="1">
        <w:r w:rsidRPr="001E262B">
          <w:rPr>
            <w:rStyle w:val="Hyperlink"/>
            <w:rFonts w:cstheme="minorHAnsi"/>
            <w:sz w:val="22"/>
            <w:szCs w:val="22"/>
          </w:rPr>
          <w:t>Hackathon mondial des dirigeants de l'informatique quantique de demain</w:t>
        </w:r>
      </w:hyperlink>
      <w:r w:rsidRPr="001E262B">
        <w:rPr>
          <w:rFonts w:cstheme="minorHAnsi"/>
          <w:sz w:val="22"/>
          <w:szCs w:val="22"/>
        </w:rPr>
        <w:t xml:space="preserve"> (FLIQ), organisé conjointement par l</w:t>
      </w:r>
      <w:r w:rsidR="00E70120" w:rsidRPr="001E262B">
        <w:rPr>
          <w:rFonts w:cstheme="minorHAnsi"/>
          <w:sz w:val="22"/>
          <w:szCs w:val="22"/>
        </w:rPr>
        <w:t>'</w:t>
      </w:r>
      <w:r w:rsidRPr="001E262B">
        <w:rPr>
          <w:rFonts w:cstheme="minorHAnsi"/>
          <w:sz w:val="22"/>
          <w:szCs w:val="22"/>
        </w:rPr>
        <w:t xml:space="preserve">Union internationale des télécommunications (UIT) et la </w:t>
      </w:r>
      <w:hyperlink r:id="rId11" w:history="1">
        <w:r w:rsidRPr="001E262B">
          <w:rPr>
            <w:rStyle w:val="Hyperlink"/>
            <w:rFonts w:cstheme="minorHAnsi"/>
            <w:sz w:val="22"/>
            <w:szCs w:val="22"/>
          </w:rPr>
          <w:t>Coalition pour l'informatique quantique</w:t>
        </w:r>
      </w:hyperlink>
      <w:r w:rsidRPr="001E262B">
        <w:rPr>
          <w:rFonts w:cstheme="minorHAnsi"/>
          <w:sz w:val="22"/>
          <w:szCs w:val="22"/>
        </w:rPr>
        <w:t>, à l</w:t>
      </w:r>
      <w:r w:rsidR="00E70120" w:rsidRPr="001E262B">
        <w:rPr>
          <w:rFonts w:cstheme="minorHAnsi"/>
          <w:sz w:val="22"/>
          <w:szCs w:val="22"/>
        </w:rPr>
        <w:t>'</w:t>
      </w:r>
      <w:r w:rsidRPr="001E262B">
        <w:rPr>
          <w:rFonts w:cstheme="minorHAnsi"/>
          <w:sz w:val="22"/>
          <w:szCs w:val="22"/>
        </w:rPr>
        <w:t>occasion de l</w:t>
      </w:r>
      <w:r w:rsidR="00E70120" w:rsidRPr="001E262B">
        <w:rPr>
          <w:rFonts w:cstheme="minorHAnsi"/>
          <w:sz w:val="22"/>
          <w:szCs w:val="22"/>
        </w:rPr>
        <w:t>'</w:t>
      </w:r>
      <w:hyperlink r:id="rId12" w:history="1">
        <w:r w:rsidRPr="001E262B">
          <w:rPr>
            <w:rStyle w:val="Hyperlink"/>
            <w:rFonts w:cstheme="minorHAnsi"/>
            <w:sz w:val="22"/>
            <w:szCs w:val="22"/>
          </w:rPr>
          <w:t>Année</w:t>
        </w:r>
        <w:r w:rsidR="004D4D4B" w:rsidRPr="001E262B">
          <w:rPr>
            <w:rStyle w:val="Hyperlink"/>
            <w:rFonts w:cstheme="minorHAnsi"/>
            <w:sz w:val="22"/>
            <w:szCs w:val="22"/>
          </w:rPr>
          <w:t> </w:t>
        </w:r>
        <w:r w:rsidRPr="001E262B">
          <w:rPr>
            <w:rStyle w:val="Hyperlink"/>
            <w:rFonts w:cstheme="minorHAnsi"/>
            <w:sz w:val="22"/>
            <w:szCs w:val="22"/>
          </w:rPr>
          <w:t>internationale des sciences et technologies quantiques de 2025</w:t>
        </w:r>
      </w:hyperlink>
      <w:r w:rsidRPr="001E262B">
        <w:rPr>
          <w:rFonts w:cstheme="minorHAnsi"/>
          <w:sz w:val="22"/>
          <w:szCs w:val="22"/>
        </w:rPr>
        <w:t>.</w:t>
      </w:r>
    </w:p>
    <w:p w14:paraId="4C4C76BF" w14:textId="2C8BDC75" w:rsidR="00B769DC" w:rsidRPr="001E262B" w:rsidRDefault="00B769DC" w:rsidP="00B769DC">
      <w:pPr>
        <w:rPr>
          <w:rFonts w:cstheme="minorHAnsi"/>
          <w:sz w:val="22"/>
          <w:szCs w:val="22"/>
        </w:rPr>
      </w:pPr>
      <w:r w:rsidRPr="001E262B">
        <w:rPr>
          <w:rFonts w:cstheme="minorHAnsi"/>
          <w:sz w:val="22"/>
          <w:szCs w:val="22"/>
        </w:rPr>
        <w:t>2</w:t>
      </w:r>
      <w:r w:rsidRPr="001E262B">
        <w:rPr>
          <w:rFonts w:cstheme="minorHAnsi"/>
          <w:sz w:val="22"/>
          <w:szCs w:val="22"/>
        </w:rPr>
        <w:tab/>
        <w:t>Le Hackathon mondial FLIQ vise à attirer des étudiants, des professionnels en début de carrière et des étudiants préuniversitaires âgés de plus de 16 ans qui s</w:t>
      </w:r>
      <w:r w:rsidR="00E70120" w:rsidRPr="001E262B">
        <w:rPr>
          <w:rFonts w:cstheme="minorHAnsi"/>
          <w:sz w:val="22"/>
          <w:szCs w:val="22"/>
        </w:rPr>
        <w:t>'</w:t>
      </w:r>
      <w:r w:rsidRPr="001E262B">
        <w:rPr>
          <w:rFonts w:cstheme="minorHAnsi"/>
          <w:sz w:val="22"/>
          <w:szCs w:val="22"/>
        </w:rPr>
        <w:t>intéressent aux sciences et technologies quantiques. Il favorisera la collaboration avec le secteur privé afin de permettre la création conjointe de solutions au service du bien social, tout en promouvant l</w:t>
      </w:r>
      <w:r w:rsidR="00E70120" w:rsidRPr="001E262B">
        <w:rPr>
          <w:rFonts w:cstheme="minorHAnsi"/>
          <w:sz w:val="22"/>
          <w:szCs w:val="22"/>
        </w:rPr>
        <w:t>'</w:t>
      </w:r>
      <w:r w:rsidRPr="001E262B">
        <w:rPr>
          <w:rFonts w:cstheme="minorHAnsi"/>
          <w:sz w:val="22"/>
          <w:szCs w:val="22"/>
        </w:rPr>
        <w:t>innovation, le travail d</w:t>
      </w:r>
      <w:r w:rsidR="00E70120" w:rsidRPr="001E262B">
        <w:rPr>
          <w:rFonts w:cstheme="minorHAnsi"/>
          <w:sz w:val="22"/>
          <w:szCs w:val="22"/>
        </w:rPr>
        <w:t>'</w:t>
      </w:r>
      <w:r w:rsidRPr="001E262B">
        <w:rPr>
          <w:rFonts w:cstheme="minorHAnsi"/>
          <w:sz w:val="22"/>
          <w:szCs w:val="22"/>
        </w:rPr>
        <w:t>équipe interdisciplinaire et les approches créatives dans le domaine des technologies quantiques.</w:t>
      </w:r>
    </w:p>
    <w:p w14:paraId="2C746936" w14:textId="41FE0413" w:rsidR="00B769DC" w:rsidRPr="001E262B" w:rsidRDefault="00B769DC" w:rsidP="00B769DC">
      <w:pPr>
        <w:rPr>
          <w:rFonts w:cstheme="minorHAnsi"/>
          <w:sz w:val="22"/>
          <w:szCs w:val="22"/>
        </w:rPr>
      </w:pPr>
      <w:r w:rsidRPr="001E262B">
        <w:rPr>
          <w:rFonts w:cstheme="minorHAnsi"/>
          <w:sz w:val="22"/>
          <w:szCs w:val="22"/>
        </w:rPr>
        <w:t>3</w:t>
      </w:r>
      <w:r w:rsidRPr="001E262B">
        <w:rPr>
          <w:rFonts w:cstheme="minorHAnsi"/>
          <w:sz w:val="22"/>
          <w:szCs w:val="22"/>
        </w:rPr>
        <w:tab/>
        <w:t xml:space="preserve">Le </w:t>
      </w:r>
      <w:r w:rsidR="00F31305" w:rsidRPr="001E262B">
        <w:rPr>
          <w:rFonts w:cstheme="minorHAnsi"/>
          <w:sz w:val="22"/>
          <w:szCs w:val="22"/>
        </w:rPr>
        <w:t>h</w:t>
      </w:r>
      <w:r w:rsidRPr="001E262B">
        <w:rPr>
          <w:rFonts w:cstheme="minorHAnsi"/>
          <w:sz w:val="22"/>
          <w:szCs w:val="22"/>
        </w:rPr>
        <w:t xml:space="preserve">ackathon comportera quatre volets thématiques (comportant chacun deux épreuves) conçus pour mobiliser des participants ayant des intérêts et des compétences </w:t>
      </w:r>
      <w:proofErr w:type="gramStart"/>
      <w:r w:rsidRPr="001E262B">
        <w:rPr>
          <w:rFonts w:cstheme="minorHAnsi"/>
          <w:sz w:val="22"/>
          <w:szCs w:val="22"/>
        </w:rPr>
        <w:t>variés:</w:t>
      </w:r>
      <w:proofErr w:type="gramEnd"/>
    </w:p>
    <w:p w14:paraId="08F4FEB5" w14:textId="6A8F79B6" w:rsidR="00B769DC" w:rsidRPr="001E262B" w:rsidRDefault="007D158F" w:rsidP="007D158F">
      <w:pPr>
        <w:pStyle w:val="enumlev1"/>
        <w:rPr>
          <w:rFonts w:cstheme="minorHAnsi"/>
          <w:sz w:val="22"/>
          <w:szCs w:val="22"/>
        </w:rPr>
      </w:pPr>
      <w:r w:rsidRPr="001E262B">
        <w:rPr>
          <w:rFonts w:cstheme="minorHAnsi"/>
          <w:sz w:val="22"/>
          <w:szCs w:val="22"/>
        </w:rPr>
        <w:t>•</w:t>
      </w:r>
      <w:r w:rsidR="00B769DC" w:rsidRPr="001E262B">
        <w:rPr>
          <w:rFonts w:cstheme="minorHAnsi"/>
          <w:sz w:val="22"/>
          <w:szCs w:val="22"/>
        </w:rPr>
        <w:tab/>
      </w:r>
      <w:r w:rsidR="00B769DC" w:rsidRPr="001E262B">
        <w:rPr>
          <w:rFonts w:cstheme="minorHAnsi"/>
          <w:b/>
          <w:bCs/>
          <w:sz w:val="22"/>
          <w:szCs w:val="22"/>
        </w:rPr>
        <w:t>Le volet Sciences</w:t>
      </w:r>
      <w:r w:rsidR="00B769DC" w:rsidRPr="001E262B">
        <w:rPr>
          <w:rFonts w:cstheme="minorHAnsi"/>
          <w:sz w:val="22"/>
          <w:szCs w:val="22"/>
        </w:rPr>
        <w:t xml:space="preserve"> offrira aux participants une expérience pratique de l'éventail des technologies quantiques. Il est adapté en particulier aux personnes ayant une formation dans le domaine des sciences, des technologies, de l'ingénierie et des mathématiques (STEM) ou un fort intérêt pour la recherche quantique. Il offrira l</w:t>
      </w:r>
      <w:r w:rsidR="00E70120" w:rsidRPr="001E262B">
        <w:rPr>
          <w:rFonts w:cstheme="minorHAnsi"/>
          <w:sz w:val="22"/>
          <w:szCs w:val="22"/>
        </w:rPr>
        <w:t>'</w:t>
      </w:r>
      <w:r w:rsidR="00B769DC" w:rsidRPr="001E262B">
        <w:rPr>
          <w:rFonts w:cstheme="minorHAnsi"/>
          <w:sz w:val="22"/>
          <w:szCs w:val="22"/>
        </w:rPr>
        <w:t>occasion de résoudre des défis techniques à l</w:t>
      </w:r>
      <w:r w:rsidR="00E70120" w:rsidRPr="001E262B">
        <w:rPr>
          <w:rFonts w:cstheme="minorHAnsi"/>
          <w:sz w:val="22"/>
          <w:szCs w:val="22"/>
        </w:rPr>
        <w:t>'</w:t>
      </w:r>
      <w:r w:rsidR="00B769DC" w:rsidRPr="001E262B">
        <w:rPr>
          <w:rFonts w:cstheme="minorHAnsi"/>
          <w:sz w:val="22"/>
          <w:szCs w:val="22"/>
        </w:rPr>
        <w:t>aide de logiciels et d</w:t>
      </w:r>
      <w:r w:rsidR="00E70120" w:rsidRPr="001E262B">
        <w:rPr>
          <w:rFonts w:cstheme="minorHAnsi"/>
          <w:sz w:val="22"/>
          <w:szCs w:val="22"/>
        </w:rPr>
        <w:t>'</w:t>
      </w:r>
      <w:r w:rsidR="00B769DC" w:rsidRPr="001E262B">
        <w:rPr>
          <w:rFonts w:cstheme="minorHAnsi"/>
          <w:sz w:val="22"/>
          <w:szCs w:val="22"/>
        </w:rPr>
        <w:t>outils fournis par les commissaires, tout en permettant aux partenaires du secteur privé de présenter leurs plates-formes, leurs méthodologies et leurs priorités en matière de recherche.</w:t>
      </w:r>
    </w:p>
    <w:p w14:paraId="39DC212C" w14:textId="40FFDCD1" w:rsidR="00B769DC" w:rsidRPr="001E262B" w:rsidRDefault="007D158F" w:rsidP="004D4D4B">
      <w:pPr>
        <w:pStyle w:val="enumlev1"/>
        <w:keepNext/>
        <w:keepLines/>
        <w:rPr>
          <w:rFonts w:cstheme="minorHAnsi"/>
          <w:sz w:val="22"/>
          <w:szCs w:val="22"/>
        </w:rPr>
      </w:pPr>
      <w:r w:rsidRPr="001E262B">
        <w:rPr>
          <w:rFonts w:cstheme="minorHAnsi"/>
          <w:sz w:val="22"/>
          <w:szCs w:val="22"/>
        </w:rPr>
        <w:t>•</w:t>
      </w:r>
      <w:r w:rsidR="00B769DC" w:rsidRPr="001E262B">
        <w:rPr>
          <w:rFonts w:cstheme="minorHAnsi"/>
          <w:sz w:val="22"/>
          <w:szCs w:val="22"/>
        </w:rPr>
        <w:tab/>
      </w:r>
      <w:r w:rsidR="00B769DC" w:rsidRPr="001E262B">
        <w:rPr>
          <w:rFonts w:cstheme="minorHAnsi"/>
          <w:b/>
          <w:bCs/>
          <w:sz w:val="22"/>
          <w:szCs w:val="22"/>
        </w:rPr>
        <w:t>Le volet Éducation</w:t>
      </w:r>
      <w:r w:rsidR="00B769DC" w:rsidRPr="001E262B">
        <w:rPr>
          <w:rFonts w:cstheme="minorHAnsi"/>
          <w:sz w:val="22"/>
          <w:szCs w:val="22"/>
        </w:rPr>
        <w:t xml:space="preserve"> sera axé sur l</w:t>
      </w:r>
      <w:r w:rsidR="00E70120" w:rsidRPr="001E262B">
        <w:rPr>
          <w:rFonts w:cstheme="minorHAnsi"/>
          <w:sz w:val="22"/>
          <w:szCs w:val="22"/>
        </w:rPr>
        <w:t>'</w:t>
      </w:r>
      <w:r w:rsidR="00B769DC" w:rsidRPr="001E262B">
        <w:rPr>
          <w:rFonts w:cstheme="minorHAnsi"/>
          <w:sz w:val="22"/>
          <w:szCs w:val="22"/>
        </w:rPr>
        <w:t>élaboration de ressources d</w:t>
      </w:r>
      <w:r w:rsidR="00E70120" w:rsidRPr="001E262B">
        <w:rPr>
          <w:rFonts w:cstheme="minorHAnsi"/>
          <w:sz w:val="22"/>
          <w:szCs w:val="22"/>
        </w:rPr>
        <w:t>'</w:t>
      </w:r>
      <w:r w:rsidR="00B769DC" w:rsidRPr="001E262B">
        <w:rPr>
          <w:rFonts w:cstheme="minorHAnsi"/>
          <w:sz w:val="22"/>
          <w:szCs w:val="22"/>
        </w:rPr>
        <w:t>apprentissage accessibles telles que des tutoriels, des visualisations et des outils interactifs. Il encouragera les participants à trouver des moyens novateurs pour expliquer des concepts quantiques complexes, en particulier à des publics ayant des connaissances techniques limitées. Il s'agit d'un volet idéal pour ceux qui cherchent à réduire les barrières à l</w:t>
      </w:r>
      <w:r w:rsidR="00E70120" w:rsidRPr="001E262B">
        <w:rPr>
          <w:rFonts w:cstheme="minorHAnsi"/>
          <w:sz w:val="22"/>
          <w:szCs w:val="22"/>
        </w:rPr>
        <w:t>'</w:t>
      </w:r>
      <w:r w:rsidR="00B769DC" w:rsidRPr="001E262B">
        <w:rPr>
          <w:rFonts w:cstheme="minorHAnsi"/>
          <w:sz w:val="22"/>
          <w:szCs w:val="22"/>
        </w:rPr>
        <w:t>entrée dans le domaine des sciences de l</w:t>
      </w:r>
      <w:r w:rsidR="00E70120" w:rsidRPr="001E262B">
        <w:rPr>
          <w:rFonts w:cstheme="minorHAnsi"/>
          <w:sz w:val="22"/>
          <w:szCs w:val="22"/>
        </w:rPr>
        <w:t>'</w:t>
      </w:r>
      <w:r w:rsidR="00B769DC" w:rsidRPr="001E262B">
        <w:rPr>
          <w:rFonts w:cstheme="minorHAnsi"/>
          <w:sz w:val="22"/>
          <w:szCs w:val="22"/>
        </w:rPr>
        <w:t>information quantique, y compris les éducateurs et les concepteurs de programmes éducatifs.</w:t>
      </w:r>
    </w:p>
    <w:p w14:paraId="4CF17065" w14:textId="1C49A52B" w:rsidR="00B769DC" w:rsidRPr="001E262B" w:rsidRDefault="007D158F" w:rsidP="007D158F">
      <w:pPr>
        <w:pStyle w:val="enumlev1"/>
        <w:rPr>
          <w:rFonts w:cstheme="minorHAnsi"/>
          <w:sz w:val="22"/>
          <w:szCs w:val="22"/>
        </w:rPr>
      </w:pPr>
      <w:r w:rsidRPr="001E262B">
        <w:rPr>
          <w:rFonts w:cstheme="minorHAnsi"/>
          <w:sz w:val="22"/>
          <w:szCs w:val="22"/>
        </w:rPr>
        <w:t>•</w:t>
      </w:r>
      <w:r w:rsidR="00B769DC" w:rsidRPr="001E262B">
        <w:rPr>
          <w:rFonts w:cstheme="minorHAnsi"/>
          <w:sz w:val="22"/>
          <w:szCs w:val="22"/>
        </w:rPr>
        <w:tab/>
      </w:r>
      <w:r w:rsidR="00B769DC" w:rsidRPr="001E262B">
        <w:rPr>
          <w:rFonts w:cstheme="minorHAnsi"/>
          <w:b/>
          <w:bCs/>
          <w:sz w:val="22"/>
          <w:szCs w:val="22"/>
        </w:rPr>
        <w:t>Le volet Innovation</w:t>
      </w:r>
      <w:r w:rsidR="00B769DC" w:rsidRPr="001E262B">
        <w:rPr>
          <w:rFonts w:cstheme="minorHAnsi"/>
          <w:sz w:val="22"/>
          <w:szCs w:val="22"/>
        </w:rPr>
        <w:t xml:space="preserve"> portera sur les applications pratiques et concrètes des technologies quantiques, en mettant l</w:t>
      </w:r>
      <w:r w:rsidR="00E70120" w:rsidRPr="001E262B">
        <w:rPr>
          <w:rFonts w:cstheme="minorHAnsi"/>
          <w:sz w:val="22"/>
          <w:szCs w:val="22"/>
        </w:rPr>
        <w:t>'</w:t>
      </w:r>
      <w:r w:rsidR="00B769DC" w:rsidRPr="001E262B">
        <w:rPr>
          <w:rFonts w:cstheme="minorHAnsi"/>
          <w:sz w:val="22"/>
          <w:szCs w:val="22"/>
        </w:rPr>
        <w:t>accent sur les retombées sociales. Il sera particulièrement adapté aux participants intéressés par l</w:t>
      </w:r>
      <w:r w:rsidR="00E70120" w:rsidRPr="001E262B">
        <w:rPr>
          <w:rFonts w:cstheme="minorHAnsi"/>
          <w:sz w:val="22"/>
          <w:szCs w:val="22"/>
        </w:rPr>
        <w:t>'</w:t>
      </w:r>
      <w:r w:rsidR="00B769DC" w:rsidRPr="001E262B">
        <w:rPr>
          <w:rFonts w:cstheme="minorHAnsi"/>
          <w:sz w:val="22"/>
          <w:szCs w:val="22"/>
        </w:rPr>
        <w:t>entrepreneuriat et la résolution de problèmes interdisciplinaires, y compris ceux qui étudient la façon dont l'informatique quantique peut stimuler l</w:t>
      </w:r>
      <w:r w:rsidR="00E70120" w:rsidRPr="001E262B">
        <w:rPr>
          <w:rFonts w:cstheme="minorHAnsi"/>
          <w:sz w:val="22"/>
          <w:szCs w:val="22"/>
        </w:rPr>
        <w:t>'</w:t>
      </w:r>
      <w:r w:rsidR="00B769DC" w:rsidRPr="001E262B">
        <w:rPr>
          <w:rFonts w:cstheme="minorHAnsi"/>
          <w:sz w:val="22"/>
          <w:szCs w:val="22"/>
        </w:rPr>
        <w:t>innovation dans tous les secteurs et contribuer à relever des défis mondiaux.</w:t>
      </w:r>
    </w:p>
    <w:p w14:paraId="6571C39B" w14:textId="7D108E0D" w:rsidR="00B769DC" w:rsidRPr="001E262B" w:rsidRDefault="007D158F" w:rsidP="007D158F">
      <w:pPr>
        <w:pStyle w:val="enumlev1"/>
        <w:rPr>
          <w:rFonts w:cstheme="minorHAnsi"/>
          <w:sz w:val="22"/>
          <w:szCs w:val="22"/>
        </w:rPr>
      </w:pPr>
      <w:r w:rsidRPr="001E262B">
        <w:rPr>
          <w:rFonts w:cstheme="minorHAnsi"/>
          <w:sz w:val="22"/>
          <w:szCs w:val="22"/>
        </w:rPr>
        <w:lastRenderedPageBreak/>
        <w:t>•</w:t>
      </w:r>
      <w:r w:rsidR="00B769DC" w:rsidRPr="001E262B">
        <w:rPr>
          <w:rFonts w:cstheme="minorHAnsi"/>
          <w:sz w:val="22"/>
          <w:szCs w:val="22"/>
        </w:rPr>
        <w:tab/>
      </w:r>
      <w:r w:rsidR="00B769DC" w:rsidRPr="001E262B">
        <w:rPr>
          <w:rFonts w:cstheme="minorHAnsi"/>
          <w:b/>
          <w:bCs/>
          <w:sz w:val="22"/>
          <w:szCs w:val="22"/>
        </w:rPr>
        <w:t>Le volet Art</w:t>
      </w:r>
      <w:r w:rsidR="00B769DC" w:rsidRPr="001E262B">
        <w:rPr>
          <w:rFonts w:cstheme="minorHAnsi"/>
          <w:sz w:val="22"/>
          <w:szCs w:val="22"/>
        </w:rPr>
        <w:t xml:space="preserve"> se concentrera sur l</w:t>
      </w:r>
      <w:r w:rsidR="00E70120" w:rsidRPr="001E262B">
        <w:rPr>
          <w:rFonts w:cstheme="minorHAnsi"/>
          <w:sz w:val="22"/>
          <w:szCs w:val="22"/>
        </w:rPr>
        <w:t>'</w:t>
      </w:r>
      <w:r w:rsidR="00B769DC" w:rsidRPr="001E262B">
        <w:rPr>
          <w:rFonts w:cstheme="minorHAnsi"/>
          <w:sz w:val="22"/>
          <w:szCs w:val="22"/>
        </w:rPr>
        <w:t>utilisation de l</w:t>
      </w:r>
      <w:r w:rsidR="00E70120" w:rsidRPr="001E262B">
        <w:rPr>
          <w:rFonts w:cstheme="minorHAnsi"/>
          <w:sz w:val="22"/>
          <w:szCs w:val="22"/>
        </w:rPr>
        <w:t>'</w:t>
      </w:r>
      <w:r w:rsidR="00B769DC" w:rsidRPr="001E262B">
        <w:rPr>
          <w:rFonts w:cstheme="minorHAnsi"/>
          <w:sz w:val="22"/>
          <w:szCs w:val="22"/>
        </w:rPr>
        <w:t>expression créative et intuitive pour communiquer tous les mystères et la complexité de la mécanique quantique à un public plus large. Il soulignera l</w:t>
      </w:r>
      <w:r w:rsidR="00E70120" w:rsidRPr="001E262B">
        <w:rPr>
          <w:rFonts w:cstheme="minorHAnsi"/>
          <w:sz w:val="22"/>
          <w:szCs w:val="22"/>
        </w:rPr>
        <w:t>'</w:t>
      </w:r>
      <w:r w:rsidR="00B769DC" w:rsidRPr="001E262B">
        <w:rPr>
          <w:rFonts w:cstheme="minorHAnsi"/>
          <w:sz w:val="22"/>
          <w:szCs w:val="22"/>
        </w:rPr>
        <w:t>importance de l</w:t>
      </w:r>
      <w:r w:rsidR="00E70120" w:rsidRPr="001E262B">
        <w:rPr>
          <w:rFonts w:cstheme="minorHAnsi"/>
          <w:sz w:val="22"/>
          <w:szCs w:val="22"/>
        </w:rPr>
        <w:t>'</w:t>
      </w:r>
      <w:r w:rsidR="00B769DC" w:rsidRPr="001E262B">
        <w:rPr>
          <w:rFonts w:cstheme="minorHAnsi"/>
          <w:sz w:val="22"/>
          <w:szCs w:val="22"/>
        </w:rPr>
        <w:t>interprétation artistique dans la communication scientifique et invitera les participants à explorer les concepts quantiques à travers des médiums tels que l</w:t>
      </w:r>
      <w:r w:rsidR="00E70120" w:rsidRPr="001E262B">
        <w:rPr>
          <w:rFonts w:cstheme="minorHAnsi"/>
          <w:sz w:val="22"/>
          <w:szCs w:val="22"/>
        </w:rPr>
        <w:t>'</w:t>
      </w:r>
      <w:r w:rsidR="00B769DC" w:rsidRPr="001E262B">
        <w:rPr>
          <w:rFonts w:cstheme="minorHAnsi"/>
          <w:sz w:val="22"/>
          <w:szCs w:val="22"/>
        </w:rPr>
        <w:t>art visuel, la musique ou la narration. Ce parcours conviendra particulièrement aux personnes intéressées par la communication scientifique et les disciplines créatives, y compris celles qui n'ont que peu ou pas de formation technique.</w:t>
      </w:r>
    </w:p>
    <w:p w14:paraId="586A073F" w14:textId="3EEBBC97" w:rsidR="00B769DC" w:rsidRPr="001E262B" w:rsidRDefault="00B769DC" w:rsidP="00B769DC">
      <w:pPr>
        <w:rPr>
          <w:rFonts w:cstheme="minorHAnsi"/>
          <w:sz w:val="22"/>
          <w:szCs w:val="22"/>
        </w:rPr>
      </w:pPr>
      <w:r w:rsidRPr="001E262B">
        <w:rPr>
          <w:rFonts w:cstheme="minorHAnsi"/>
          <w:sz w:val="22"/>
          <w:szCs w:val="22"/>
        </w:rPr>
        <w:t>4</w:t>
      </w:r>
      <w:r w:rsidRPr="001E262B">
        <w:rPr>
          <w:rFonts w:cstheme="minorHAnsi"/>
          <w:sz w:val="22"/>
          <w:szCs w:val="22"/>
        </w:rPr>
        <w:tab/>
        <w:t xml:space="preserve">Le </w:t>
      </w:r>
      <w:r w:rsidR="00F31305" w:rsidRPr="001E262B">
        <w:rPr>
          <w:rFonts w:cstheme="minorHAnsi"/>
          <w:sz w:val="22"/>
          <w:szCs w:val="22"/>
        </w:rPr>
        <w:t>h</w:t>
      </w:r>
      <w:r w:rsidRPr="001E262B">
        <w:rPr>
          <w:rFonts w:cstheme="minorHAnsi"/>
          <w:sz w:val="22"/>
          <w:szCs w:val="22"/>
        </w:rPr>
        <w:t xml:space="preserve">ackathon débutera officiellement le </w:t>
      </w:r>
      <w:r w:rsidRPr="001E262B">
        <w:rPr>
          <w:rFonts w:cstheme="minorHAnsi"/>
          <w:b/>
          <w:bCs/>
          <w:sz w:val="22"/>
          <w:szCs w:val="22"/>
        </w:rPr>
        <w:t>16 mai 2025</w:t>
      </w:r>
      <w:r w:rsidRPr="001E262B">
        <w:rPr>
          <w:rFonts w:cstheme="minorHAnsi"/>
          <w:sz w:val="22"/>
          <w:szCs w:val="22"/>
        </w:rPr>
        <w:t xml:space="preserve"> avec une cérémonie de lancement virtuelle, au cours de laquelle les orateurs et les mentors seront présentés. L'exercice à proprement parler se déroulera du </w:t>
      </w:r>
      <w:r w:rsidRPr="001E262B">
        <w:rPr>
          <w:rFonts w:cstheme="minorHAnsi"/>
          <w:b/>
          <w:bCs/>
          <w:sz w:val="22"/>
          <w:szCs w:val="22"/>
        </w:rPr>
        <w:t>16 au 18 mai 2025</w:t>
      </w:r>
      <w:r w:rsidRPr="001E262B">
        <w:rPr>
          <w:rFonts w:cstheme="minorHAnsi"/>
          <w:sz w:val="22"/>
          <w:szCs w:val="22"/>
        </w:rPr>
        <w:t>, période durant laquelle les équipes bénéficieront de l'appui de mentors spécialisés et auront accès à des ressources provenant d</w:t>
      </w:r>
      <w:r w:rsidR="00E70120" w:rsidRPr="001E262B">
        <w:rPr>
          <w:rFonts w:cstheme="minorHAnsi"/>
          <w:sz w:val="22"/>
          <w:szCs w:val="22"/>
        </w:rPr>
        <w:t>'</w:t>
      </w:r>
      <w:r w:rsidRPr="001E262B">
        <w:rPr>
          <w:rFonts w:cstheme="minorHAnsi"/>
          <w:sz w:val="22"/>
          <w:szCs w:val="22"/>
        </w:rPr>
        <w:t>organisations quantiques de premier plan.</w:t>
      </w:r>
    </w:p>
    <w:p w14:paraId="76A4D1FA" w14:textId="5066D048" w:rsidR="00B769DC" w:rsidRPr="001E262B" w:rsidRDefault="00B769DC" w:rsidP="00B769DC">
      <w:pPr>
        <w:rPr>
          <w:rFonts w:cstheme="minorHAnsi"/>
          <w:sz w:val="22"/>
          <w:szCs w:val="22"/>
        </w:rPr>
      </w:pPr>
      <w:r w:rsidRPr="001E262B">
        <w:rPr>
          <w:rFonts w:cstheme="minorHAnsi"/>
          <w:sz w:val="22"/>
          <w:szCs w:val="22"/>
        </w:rPr>
        <w:t>5</w:t>
      </w:r>
      <w:r w:rsidRPr="001E262B">
        <w:rPr>
          <w:rFonts w:cstheme="minorHAnsi"/>
          <w:sz w:val="22"/>
          <w:szCs w:val="22"/>
        </w:rPr>
        <w:tab/>
        <w:t>En prévision de cette manifestation, une série d</w:t>
      </w:r>
      <w:r w:rsidR="00E70120" w:rsidRPr="001E262B">
        <w:rPr>
          <w:rFonts w:cstheme="minorHAnsi"/>
          <w:sz w:val="22"/>
          <w:szCs w:val="22"/>
        </w:rPr>
        <w:t>'</w:t>
      </w:r>
      <w:r w:rsidRPr="001E262B">
        <w:rPr>
          <w:rFonts w:cstheme="minorHAnsi"/>
          <w:sz w:val="22"/>
          <w:szCs w:val="22"/>
        </w:rPr>
        <w:t>ateliers virtuels a été organisée à partir du</w:t>
      </w:r>
      <w:r w:rsidR="007D158F" w:rsidRPr="001E262B">
        <w:rPr>
          <w:rFonts w:cstheme="minorHAnsi"/>
          <w:sz w:val="22"/>
          <w:szCs w:val="22"/>
        </w:rPr>
        <w:t> </w:t>
      </w:r>
      <w:r w:rsidRPr="001E262B">
        <w:rPr>
          <w:rFonts w:cstheme="minorHAnsi"/>
          <w:b/>
          <w:bCs/>
          <w:sz w:val="22"/>
          <w:szCs w:val="22"/>
        </w:rPr>
        <w:t>14 mars et se poursuivra jusqu</w:t>
      </w:r>
      <w:r w:rsidR="00E70120" w:rsidRPr="001E262B">
        <w:rPr>
          <w:rFonts w:cstheme="minorHAnsi"/>
          <w:b/>
          <w:bCs/>
          <w:sz w:val="22"/>
          <w:szCs w:val="22"/>
        </w:rPr>
        <w:t>'</w:t>
      </w:r>
      <w:r w:rsidRPr="001E262B">
        <w:rPr>
          <w:rFonts w:cstheme="minorHAnsi"/>
          <w:b/>
          <w:bCs/>
          <w:sz w:val="22"/>
          <w:szCs w:val="22"/>
        </w:rPr>
        <w:t>au 14 mai 2025</w:t>
      </w:r>
      <w:r w:rsidRPr="001E262B">
        <w:rPr>
          <w:rFonts w:cstheme="minorHAnsi"/>
          <w:sz w:val="22"/>
          <w:szCs w:val="22"/>
        </w:rPr>
        <w:t>, afin de fournir aux participants des connaissances fondamentales, des outils pratiques et des conseils dans les quatre volets, ainsi que d'offrir des possibilités pour le renforcement de l</w:t>
      </w:r>
      <w:r w:rsidR="00E70120" w:rsidRPr="001E262B">
        <w:rPr>
          <w:rFonts w:cstheme="minorHAnsi"/>
          <w:sz w:val="22"/>
          <w:szCs w:val="22"/>
        </w:rPr>
        <w:t>'</w:t>
      </w:r>
      <w:r w:rsidRPr="001E262B">
        <w:rPr>
          <w:rFonts w:cstheme="minorHAnsi"/>
          <w:sz w:val="22"/>
          <w:szCs w:val="22"/>
        </w:rPr>
        <w:t>esprit d</w:t>
      </w:r>
      <w:r w:rsidR="00E70120" w:rsidRPr="001E262B">
        <w:rPr>
          <w:rFonts w:cstheme="minorHAnsi"/>
          <w:sz w:val="22"/>
          <w:szCs w:val="22"/>
        </w:rPr>
        <w:t>'</w:t>
      </w:r>
      <w:r w:rsidRPr="001E262B">
        <w:rPr>
          <w:rFonts w:cstheme="minorHAnsi"/>
          <w:sz w:val="22"/>
          <w:szCs w:val="22"/>
        </w:rPr>
        <w:t>équipe et des orientations sur les thèmes du concours.</w:t>
      </w:r>
    </w:p>
    <w:p w14:paraId="2C1858B6" w14:textId="79EFF32A" w:rsidR="00B769DC" w:rsidRPr="001E262B" w:rsidRDefault="00B769DC" w:rsidP="00B769DC">
      <w:pPr>
        <w:rPr>
          <w:rFonts w:cstheme="minorHAnsi"/>
          <w:sz w:val="22"/>
          <w:szCs w:val="22"/>
        </w:rPr>
      </w:pPr>
      <w:r w:rsidRPr="001E262B">
        <w:rPr>
          <w:rFonts w:cstheme="minorHAnsi"/>
          <w:sz w:val="22"/>
          <w:szCs w:val="22"/>
        </w:rPr>
        <w:t>6</w:t>
      </w:r>
      <w:r w:rsidRPr="001E262B">
        <w:rPr>
          <w:rFonts w:cstheme="minorHAnsi"/>
          <w:sz w:val="22"/>
          <w:szCs w:val="22"/>
        </w:rPr>
        <w:tab/>
        <w:t>La participation au Hackathon FLIQ est gratuite et ouverte aux étudiants, aux professionnels en début de carrière et aux étudiants préuniversitaires âgés de plus de 16 ans. L</w:t>
      </w:r>
      <w:r w:rsidR="00E70120" w:rsidRPr="001E262B">
        <w:rPr>
          <w:rFonts w:cstheme="minorHAnsi"/>
          <w:sz w:val="22"/>
          <w:szCs w:val="22"/>
        </w:rPr>
        <w:t>'</w:t>
      </w:r>
      <w:r w:rsidRPr="001E262B">
        <w:rPr>
          <w:rFonts w:cstheme="minorHAnsi"/>
          <w:b/>
          <w:bCs/>
          <w:sz w:val="22"/>
          <w:szCs w:val="22"/>
        </w:rPr>
        <w:t>inscription préalable est désormais ouverte</w:t>
      </w:r>
      <w:r w:rsidRPr="001E262B">
        <w:rPr>
          <w:rFonts w:cstheme="minorHAnsi"/>
          <w:sz w:val="22"/>
          <w:szCs w:val="22"/>
        </w:rPr>
        <w:t xml:space="preserve"> et les participants sont invités à s</w:t>
      </w:r>
      <w:r w:rsidR="00E70120" w:rsidRPr="001E262B">
        <w:rPr>
          <w:rFonts w:cstheme="minorHAnsi"/>
          <w:sz w:val="22"/>
          <w:szCs w:val="22"/>
        </w:rPr>
        <w:t>'</w:t>
      </w:r>
      <w:r w:rsidRPr="001E262B">
        <w:rPr>
          <w:rFonts w:cstheme="minorHAnsi"/>
          <w:sz w:val="22"/>
          <w:szCs w:val="22"/>
        </w:rPr>
        <w:t xml:space="preserve">inscrire suffisamment tôt en cliquant </w:t>
      </w:r>
      <w:hyperlink r:id="rId13" w:anchor="/fr" w:history="1">
        <w:r w:rsidRPr="001E262B">
          <w:rPr>
            <w:rStyle w:val="Hyperlink"/>
            <w:rFonts w:cstheme="minorHAnsi"/>
            <w:b/>
            <w:bCs/>
            <w:sz w:val="22"/>
            <w:szCs w:val="22"/>
          </w:rPr>
          <w:t>ici</w:t>
        </w:r>
      </w:hyperlink>
      <w:r w:rsidRPr="001E262B">
        <w:rPr>
          <w:rFonts w:cstheme="minorHAnsi"/>
          <w:sz w:val="22"/>
          <w:szCs w:val="22"/>
        </w:rPr>
        <w:t>, afin de recevoir les dernières informations et d'accéder aux ressources de préparation.</w:t>
      </w:r>
    </w:p>
    <w:p w14:paraId="3D0FFF61" w14:textId="10FBB7E8" w:rsidR="00B769DC" w:rsidRPr="001E262B" w:rsidRDefault="00B769DC" w:rsidP="00B769DC">
      <w:pPr>
        <w:rPr>
          <w:rFonts w:cstheme="minorHAnsi"/>
          <w:sz w:val="22"/>
          <w:szCs w:val="22"/>
        </w:rPr>
      </w:pPr>
      <w:r w:rsidRPr="001E262B">
        <w:rPr>
          <w:rFonts w:cstheme="minorHAnsi"/>
          <w:sz w:val="22"/>
          <w:szCs w:val="22"/>
        </w:rPr>
        <w:t xml:space="preserve">Les énoncés des problèmes seront publiés le </w:t>
      </w:r>
      <w:r w:rsidRPr="001E262B">
        <w:rPr>
          <w:rFonts w:cstheme="minorHAnsi"/>
          <w:b/>
          <w:bCs/>
          <w:sz w:val="22"/>
          <w:szCs w:val="22"/>
        </w:rPr>
        <w:t>16 mai 2025</w:t>
      </w:r>
      <w:r w:rsidRPr="001E262B">
        <w:rPr>
          <w:rFonts w:cstheme="minorHAnsi"/>
          <w:sz w:val="22"/>
          <w:szCs w:val="22"/>
        </w:rPr>
        <w:t>. Toutefois, des projets de descriptifs seront disponibles d</w:t>
      </w:r>
      <w:r w:rsidR="00E70120" w:rsidRPr="001E262B">
        <w:rPr>
          <w:rFonts w:cstheme="minorHAnsi"/>
          <w:sz w:val="22"/>
          <w:szCs w:val="22"/>
        </w:rPr>
        <w:t>'</w:t>
      </w:r>
      <w:r w:rsidRPr="001E262B">
        <w:rPr>
          <w:rFonts w:cstheme="minorHAnsi"/>
          <w:sz w:val="22"/>
          <w:szCs w:val="22"/>
        </w:rPr>
        <w:t xml:space="preserve">ici au </w:t>
      </w:r>
      <w:r w:rsidRPr="001E262B">
        <w:rPr>
          <w:rFonts w:cstheme="minorHAnsi"/>
          <w:b/>
          <w:bCs/>
          <w:sz w:val="22"/>
          <w:szCs w:val="22"/>
        </w:rPr>
        <w:t>7 mai 2025</w:t>
      </w:r>
      <w:r w:rsidRPr="001E262B">
        <w:rPr>
          <w:rFonts w:cstheme="minorHAnsi"/>
          <w:sz w:val="22"/>
          <w:szCs w:val="22"/>
        </w:rPr>
        <w:t>, ce qui permettra aux participants de s</w:t>
      </w:r>
      <w:r w:rsidR="00E70120" w:rsidRPr="001E262B">
        <w:rPr>
          <w:rFonts w:cstheme="minorHAnsi"/>
          <w:sz w:val="22"/>
          <w:szCs w:val="22"/>
        </w:rPr>
        <w:t>'</w:t>
      </w:r>
      <w:r w:rsidRPr="001E262B">
        <w:rPr>
          <w:rFonts w:cstheme="minorHAnsi"/>
          <w:sz w:val="22"/>
          <w:szCs w:val="22"/>
        </w:rPr>
        <w:t>inscrire à des épreuves spécifiques et de commencer les préparatifs préliminaires en vue de la manifestation.</w:t>
      </w:r>
    </w:p>
    <w:p w14:paraId="29C50E19" w14:textId="2E582787" w:rsidR="00B769DC" w:rsidRPr="001E262B" w:rsidRDefault="00B769DC" w:rsidP="00B769DC">
      <w:pPr>
        <w:rPr>
          <w:rFonts w:cstheme="minorHAnsi"/>
          <w:sz w:val="22"/>
          <w:szCs w:val="22"/>
        </w:rPr>
      </w:pPr>
      <w:r w:rsidRPr="001E262B">
        <w:rPr>
          <w:rFonts w:cstheme="minorHAnsi"/>
          <w:sz w:val="22"/>
          <w:szCs w:val="22"/>
        </w:rPr>
        <w:t>Les présentations finales et l</w:t>
      </w:r>
      <w:r w:rsidR="00E70120" w:rsidRPr="001E262B">
        <w:rPr>
          <w:rFonts w:cstheme="minorHAnsi"/>
          <w:sz w:val="22"/>
          <w:szCs w:val="22"/>
        </w:rPr>
        <w:t>'</w:t>
      </w:r>
      <w:r w:rsidRPr="001E262B">
        <w:rPr>
          <w:rFonts w:cstheme="minorHAnsi"/>
          <w:sz w:val="22"/>
          <w:szCs w:val="22"/>
        </w:rPr>
        <w:t xml:space="preserve">évaluation auront lieu le </w:t>
      </w:r>
      <w:r w:rsidRPr="001E262B">
        <w:rPr>
          <w:rFonts w:cstheme="minorHAnsi"/>
          <w:b/>
          <w:bCs/>
          <w:sz w:val="22"/>
          <w:szCs w:val="22"/>
        </w:rPr>
        <w:t>19 mai 2025</w:t>
      </w:r>
      <w:r w:rsidRPr="001E262B">
        <w:rPr>
          <w:rFonts w:cstheme="minorHAnsi"/>
          <w:sz w:val="22"/>
          <w:szCs w:val="22"/>
        </w:rPr>
        <w:t>, avec possibilité de prolongation jusqu</w:t>
      </w:r>
      <w:r w:rsidR="00E70120" w:rsidRPr="001E262B">
        <w:rPr>
          <w:rFonts w:cstheme="minorHAnsi"/>
          <w:sz w:val="22"/>
          <w:szCs w:val="22"/>
        </w:rPr>
        <w:t>'</w:t>
      </w:r>
      <w:r w:rsidRPr="001E262B">
        <w:rPr>
          <w:rFonts w:cstheme="minorHAnsi"/>
          <w:sz w:val="22"/>
          <w:szCs w:val="22"/>
        </w:rPr>
        <w:t xml:space="preserve">au </w:t>
      </w:r>
      <w:r w:rsidRPr="001E262B">
        <w:rPr>
          <w:rFonts w:cstheme="minorHAnsi"/>
          <w:b/>
          <w:bCs/>
          <w:sz w:val="22"/>
          <w:szCs w:val="22"/>
        </w:rPr>
        <w:t>20 mai 2025</w:t>
      </w:r>
      <w:r w:rsidRPr="001E262B">
        <w:rPr>
          <w:rFonts w:cstheme="minorHAnsi"/>
          <w:sz w:val="22"/>
          <w:szCs w:val="22"/>
        </w:rPr>
        <w:t xml:space="preserve">, en fonction du volume de candidatures. Les lauréats seront annoncés peu après et récompensés à la fois en ligne et dans le cadre du volet </w:t>
      </w:r>
      <w:r w:rsidR="007D158F" w:rsidRPr="001E262B">
        <w:rPr>
          <w:rFonts w:cstheme="minorHAnsi"/>
          <w:sz w:val="22"/>
          <w:szCs w:val="22"/>
        </w:rPr>
        <w:t>"</w:t>
      </w:r>
      <w:r w:rsidRPr="001E262B">
        <w:rPr>
          <w:rFonts w:cstheme="minorHAnsi"/>
          <w:sz w:val="22"/>
          <w:szCs w:val="22"/>
        </w:rPr>
        <w:t>L'informatique quantique au service du bien social</w:t>
      </w:r>
      <w:r w:rsidR="007D158F" w:rsidRPr="001E262B">
        <w:rPr>
          <w:rFonts w:cstheme="minorHAnsi"/>
          <w:sz w:val="22"/>
          <w:szCs w:val="22"/>
        </w:rPr>
        <w:t>"</w:t>
      </w:r>
      <w:r w:rsidRPr="001E262B">
        <w:rPr>
          <w:rFonts w:cstheme="minorHAnsi"/>
          <w:sz w:val="22"/>
          <w:szCs w:val="22"/>
        </w:rPr>
        <w:t xml:space="preserve"> du </w:t>
      </w:r>
      <w:hyperlink r:id="rId14" w:anchor="/fr" w:history="1">
        <w:r w:rsidRPr="001E262B">
          <w:rPr>
            <w:rStyle w:val="Hyperlink"/>
            <w:rFonts w:cstheme="minorHAnsi"/>
            <w:sz w:val="22"/>
            <w:szCs w:val="22"/>
          </w:rPr>
          <w:t>Sommet mondial sur l</w:t>
        </w:r>
        <w:r w:rsidR="00E70120" w:rsidRPr="001E262B">
          <w:rPr>
            <w:rStyle w:val="Hyperlink"/>
            <w:rFonts w:cstheme="minorHAnsi"/>
            <w:sz w:val="22"/>
            <w:szCs w:val="22"/>
          </w:rPr>
          <w:t>'</w:t>
        </w:r>
        <w:r w:rsidRPr="001E262B">
          <w:rPr>
            <w:rStyle w:val="Hyperlink"/>
            <w:rFonts w:cstheme="minorHAnsi"/>
            <w:sz w:val="22"/>
            <w:szCs w:val="22"/>
          </w:rPr>
          <w:t>intelligence artificielle</w:t>
        </w:r>
      </w:hyperlink>
      <w:r w:rsidRPr="001E262B">
        <w:rPr>
          <w:rFonts w:cstheme="minorHAnsi"/>
          <w:sz w:val="22"/>
          <w:szCs w:val="22"/>
        </w:rPr>
        <w:t xml:space="preserve"> au service du bien social, qui se tiendra à Genève (Suisse) du 8 au 11 juillet 2025.</w:t>
      </w:r>
    </w:p>
    <w:p w14:paraId="07BA911A" w14:textId="0AAF7D96" w:rsidR="00B769DC" w:rsidRPr="001E262B" w:rsidRDefault="00B769DC" w:rsidP="004D4D4B">
      <w:pPr>
        <w:keepNext/>
        <w:keepLines/>
        <w:rPr>
          <w:rFonts w:cstheme="minorHAnsi"/>
          <w:sz w:val="22"/>
          <w:szCs w:val="22"/>
        </w:rPr>
      </w:pPr>
      <w:r w:rsidRPr="001E262B">
        <w:rPr>
          <w:rFonts w:cstheme="minorHAnsi"/>
          <w:sz w:val="22"/>
          <w:szCs w:val="22"/>
        </w:rPr>
        <w:t>7</w:t>
      </w:r>
      <w:r w:rsidRPr="001E262B">
        <w:rPr>
          <w:rFonts w:cstheme="minorHAnsi"/>
          <w:sz w:val="22"/>
          <w:szCs w:val="22"/>
        </w:rPr>
        <w:tab/>
        <w:t xml:space="preserve">La cagnotte totale du </w:t>
      </w:r>
      <w:r w:rsidR="00F31305" w:rsidRPr="001E262B">
        <w:rPr>
          <w:rFonts w:cstheme="minorHAnsi"/>
          <w:sz w:val="22"/>
          <w:szCs w:val="22"/>
        </w:rPr>
        <w:t>h</w:t>
      </w:r>
      <w:r w:rsidRPr="001E262B">
        <w:rPr>
          <w:rFonts w:cstheme="minorHAnsi"/>
          <w:sz w:val="22"/>
          <w:szCs w:val="22"/>
        </w:rPr>
        <w:t>ackathon s</w:t>
      </w:r>
      <w:r w:rsidR="00E70120" w:rsidRPr="001E262B">
        <w:rPr>
          <w:rFonts w:cstheme="minorHAnsi"/>
          <w:sz w:val="22"/>
          <w:szCs w:val="22"/>
        </w:rPr>
        <w:t>'</w:t>
      </w:r>
      <w:r w:rsidRPr="001E262B">
        <w:rPr>
          <w:rFonts w:cstheme="minorHAnsi"/>
          <w:sz w:val="22"/>
          <w:szCs w:val="22"/>
        </w:rPr>
        <w:t xml:space="preserve">élève à 10 000 USD, répartis dans trois </w:t>
      </w:r>
      <w:proofErr w:type="gramStart"/>
      <w:r w:rsidRPr="001E262B">
        <w:rPr>
          <w:rFonts w:cstheme="minorHAnsi"/>
          <w:sz w:val="22"/>
          <w:szCs w:val="22"/>
        </w:rPr>
        <w:t>catégories:</w:t>
      </w:r>
      <w:proofErr w:type="gramEnd"/>
    </w:p>
    <w:p w14:paraId="1B5D58E1" w14:textId="662994B8" w:rsidR="00B769DC" w:rsidRPr="001E262B" w:rsidRDefault="007D158F" w:rsidP="004D4D4B">
      <w:pPr>
        <w:pStyle w:val="enumlev1"/>
        <w:keepNext/>
        <w:keepLines/>
        <w:rPr>
          <w:rFonts w:cstheme="minorHAnsi"/>
          <w:sz w:val="22"/>
          <w:szCs w:val="22"/>
        </w:rPr>
      </w:pPr>
      <w:r w:rsidRPr="001E262B">
        <w:rPr>
          <w:rFonts w:cstheme="minorHAnsi"/>
          <w:sz w:val="22"/>
          <w:szCs w:val="22"/>
        </w:rPr>
        <w:t>•</w:t>
      </w:r>
      <w:r w:rsidR="00B769DC" w:rsidRPr="001E262B">
        <w:rPr>
          <w:rFonts w:cstheme="minorHAnsi"/>
          <w:sz w:val="22"/>
          <w:szCs w:val="22"/>
        </w:rPr>
        <w:tab/>
      </w:r>
      <w:r w:rsidR="00B769DC" w:rsidRPr="001E262B">
        <w:rPr>
          <w:rFonts w:cstheme="minorHAnsi"/>
          <w:b/>
          <w:bCs/>
          <w:sz w:val="22"/>
          <w:szCs w:val="22"/>
        </w:rPr>
        <w:t xml:space="preserve">Prix des retombées </w:t>
      </w:r>
      <w:proofErr w:type="gramStart"/>
      <w:r w:rsidR="00B769DC" w:rsidRPr="001E262B">
        <w:rPr>
          <w:rFonts w:cstheme="minorHAnsi"/>
          <w:b/>
          <w:bCs/>
          <w:sz w:val="22"/>
          <w:szCs w:val="22"/>
        </w:rPr>
        <w:t>communautaire</w:t>
      </w:r>
      <w:r w:rsidR="00B769DC" w:rsidRPr="001E262B">
        <w:rPr>
          <w:rFonts w:cstheme="minorHAnsi"/>
          <w:sz w:val="22"/>
          <w:szCs w:val="22"/>
        </w:rPr>
        <w:t>:</w:t>
      </w:r>
      <w:proofErr w:type="gramEnd"/>
      <w:r w:rsidR="00B769DC" w:rsidRPr="001E262B">
        <w:rPr>
          <w:rFonts w:cstheme="minorHAnsi"/>
          <w:sz w:val="22"/>
          <w:szCs w:val="22"/>
        </w:rPr>
        <w:t xml:space="preserve"> </w:t>
      </w:r>
      <w:r w:rsidRPr="001E262B">
        <w:rPr>
          <w:rFonts w:cstheme="minorHAnsi"/>
          <w:sz w:val="22"/>
          <w:szCs w:val="22"/>
        </w:rPr>
        <w:t>d</w:t>
      </w:r>
      <w:r w:rsidR="00B769DC" w:rsidRPr="001E262B">
        <w:rPr>
          <w:rFonts w:cstheme="minorHAnsi"/>
          <w:sz w:val="22"/>
          <w:szCs w:val="22"/>
        </w:rPr>
        <w:t>eux prix de 1 000 USD chacun seront décernés aux personnes ou aux groupes dont les activités ont le plus de retombées, comme l</w:t>
      </w:r>
      <w:r w:rsidR="00E70120" w:rsidRPr="001E262B">
        <w:rPr>
          <w:rFonts w:cstheme="minorHAnsi"/>
          <w:sz w:val="22"/>
          <w:szCs w:val="22"/>
        </w:rPr>
        <w:t>'</w:t>
      </w:r>
      <w:r w:rsidR="00B769DC" w:rsidRPr="001E262B">
        <w:rPr>
          <w:rFonts w:cstheme="minorHAnsi"/>
          <w:sz w:val="22"/>
          <w:szCs w:val="22"/>
        </w:rPr>
        <w:t xml:space="preserve">organisation de manifestations locales liées au </w:t>
      </w:r>
      <w:r w:rsidR="00F31305" w:rsidRPr="001E262B">
        <w:rPr>
          <w:rFonts w:cstheme="minorHAnsi"/>
          <w:sz w:val="22"/>
          <w:szCs w:val="22"/>
        </w:rPr>
        <w:t>h</w:t>
      </w:r>
      <w:r w:rsidR="00B769DC" w:rsidRPr="001E262B">
        <w:rPr>
          <w:rFonts w:cstheme="minorHAnsi"/>
          <w:sz w:val="22"/>
          <w:szCs w:val="22"/>
        </w:rPr>
        <w:t>ackathon ou à l</w:t>
      </w:r>
      <w:r w:rsidR="00E70120" w:rsidRPr="001E262B">
        <w:rPr>
          <w:rFonts w:cstheme="minorHAnsi"/>
          <w:sz w:val="22"/>
          <w:szCs w:val="22"/>
        </w:rPr>
        <w:t>'</w:t>
      </w:r>
      <w:r w:rsidR="00B769DC" w:rsidRPr="001E262B">
        <w:rPr>
          <w:rFonts w:cstheme="minorHAnsi"/>
          <w:sz w:val="22"/>
          <w:szCs w:val="22"/>
        </w:rPr>
        <w:t>inscription des participants.</w:t>
      </w:r>
    </w:p>
    <w:p w14:paraId="67277FAF" w14:textId="6A60777E" w:rsidR="00B769DC" w:rsidRPr="001E262B" w:rsidRDefault="007D158F" w:rsidP="007D158F">
      <w:pPr>
        <w:pStyle w:val="enumlev1"/>
        <w:rPr>
          <w:rFonts w:cstheme="minorHAnsi"/>
          <w:sz w:val="22"/>
          <w:szCs w:val="22"/>
        </w:rPr>
      </w:pPr>
      <w:r w:rsidRPr="001E262B">
        <w:rPr>
          <w:rFonts w:cstheme="minorHAnsi"/>
          <w:sz w:val="22"/>
          <w:szCs w:val="22"/>
        </w:rPr>
        <w:t>•</w:t>
      </w:r>
      <w:r w:rsidR="00B769DC" w:rsidRPr="001E262B">
        <w:rPr>
          <w:rFonts w:cstheme="minorHAnsi"/>
          <w:sz w:val="22"/>
          <w:szCs w:val="22"/>
        </w:rPr>
        <w:tab/>
      </w:r>
      <w:r w:rsidR="00B769DC" w:rsidRPr="001E262B">
        <w:rPr>
          <w:rFonts w:cstheme="minorHAnsi"/>
          <w:b/>
          <w:bCs/>
          <w:sz w:val="22"/>
          <w:szCs w:val="22"/>
        </w:rPr>
        <w:t xml:space="preserve">Lauréats du défi </w:t>
      </w:r>
      <w:proofErr w:type="gramStart"/>
      <w:r w:rsidR="00B769DC" w:rsidRPr="001E262B">
        <w:rPr>
          <w:rFonts w:cstheme="minorHAnsi"/>
          <w:b/>
          <w:bCs/>
          <w:sz w:val="22"/>
          <w:szCs w:val="22"/>
        </w:rPr>
        <w:t>individuel</w:t>
      </w:r>
      <w:r w:rsidR="00B769DC" w:rsidRPr="001E262B">
        <w:rPr>
          <w:rFonts w:cstheme="minorHAnsi"/>
          <w:sz w:val="22"/>
          <w:szCs w:val="22"/>
        </w:rPr>
        <w:t>:</w:t>
      </w:r>
      <w:proofErr w:type="gramEnd"/>
      <w:r w:rsidR="00B769DC" w:rsidRPr="001E262B">
        <w:rPr>
          <w:rFonts w:cstheme="minorHAnsi"/>
          <w:sz w:val="22"/>
          <w:szCs w:val="22"/>
        </w:rPr>
        <w:t xml:space="preserve"> </w:t>
      </w:r>
      <w:r w:rsidRPr="001E262B">
        <w:rPr>
          <w:rFonts w:cstheme="minorHAnsi"/>
          <w:sz w:val="22"/>
          <w:szCs w:val="22"/>
        </w:rPr>
        <w:t>h</w:t>
      </w:r>
      <w:r w:rsidR="00B769DC" w:rsidRPr="001E262B">
        <w:rPr>
          <w:rFonts w:cstheme="minorHAnsi"/>
          <w:sz w:val="22"/>
          <w:szCs w:val="22"/>
        </w:rPr>
        <w:t>uit lauréats (un par défi) recevront chacun 500 USD.</w:t>
      </w:r>
    </w:p>
    <w:p w14:paraId="715A5581" w14:textId="4A9324FA" w:rsidR="00B769DC" w:rsidRPr="001E262B" w:rsidRDefault="007D158F" w:rsidP="007D158F">
      <w:pPr>
        <w:pStyle w:val="enumlev1"/>
        <w:rPr>
          <w:rFonts w:cstheme="minorHAnsi"/>
          <w:sz w:val="22"/>
          <w:szCs w:val="22"/>
        </w:rPr>
      </w:pPr>
      <w:r w:rsidRPr="001E262B">
        <w:rPr>
          <w:rFonts w:cstheme="minorHAnsi"/>
          <w:sz w:val="22"/>
          <w:szCs w:val="22"/>
        </w:rPr>
        <w:t>•</w:t>
      </w:r>
      <w:r w:rsidR="00B769DC" w:rsidRPr="001E262B">
        <w:rPr>
          <w:rFonts w:cstheme="minorHAnsi"/>
          <w:sz w:val="22"/>
          <w:szCs w:val="22"/>
        </w:rPr>
        <w:tab/>
      </w:r>
      <w:r w:rsidR="00B769DC" w:rsidRPr="001E262B">
        <w:rPr>
          <w:rFonts w:cstheme="minorHAnsi"/>
          <w:b/>
          <w:bCs/>
          <w:sz w:val="22"/>
          <w:szCs w:val="22"/>
        </w:rPr>
        <w:t xml:space="preserve">Lauréats du volet </w:t>
      </w:r>
      <w:proofErr w:type="gramStart"/>
      <w:r w:rsidR="00B769DC" w:rsidRPr="001E262B">
        <w:rPr>
          <w:rFonts w:cstheme="minorHAnsi"/>
          <w:b/>
          <w:bCs/>
          <w:sz w:val="22"/>
          <w:szCs w:val="22"/>
        </w:rPr>
        <w:t>général</w:t>
      </w:r>
      <w:r w:rsidR="00B769DC" w:rsidRPr="001E262B">
        <w:rPr>
          <w:rFonts w:cstheme="minorHAnsi"/>
          <w:sz w:val="22"/>
          <w:szCs w:val="22"/>
        </w:rPr>
        <w:t>:</w:t>
      </w:r>
      <w:proofErr w:type="gramEnd"/>
      <w:r w:rsidR="00B769DC" w:rsidRPr="001E262B">
        <w:rPr>
          <w:rFonts w:cstheme="minorHAnsi"/>
          <w:sz w:val="22"/>
          <w:szCs w:val="22"/>
        </w:rPr>
        <w:t xml:space="preserve"> </w:t>
      </w:r>
      <w:r w:rsidRPr="001E262B">
        <w:rPr>
          <w:rFonts w:cstheme="minorHAnsi"/>
          <w:sz w:val="22"/>
          <w:szCs w:val="22"/>
        </w:rPr>
        <w:t>l</w:t>
      </w:r>
      <w:r w:rsidR="00B769DC" w:rsidRPr="001E262B">
        <w:rPr>
          <w:rFonts w:cstheme="minorHAnsi"/>
          <w:sz w:val="22"/>
          <w:szCs w:val="22"/>
        </w:rPr>
        <w:t>es créateurs de la meilleure solution globale dans chacun des quatre volets recevront 1 000 USD.</w:t>
      </w:r>
    </w:p>
    <w:p w14:paraId="318F3C83" w14:textId="66DBA0E5" w:rsidR="00B769DC" w:rsidRPr="001E262B" w:rsidRDefault="00B769DC" w:rsidP="00B769DC">
      <w:pPr>
        <w:rPr>
          <w:rFonts w:cstheme="minorHAnsi"/>
          <w:sz w:val="22"/>
          <w:szCs w:val="22"/>
        </w:rPr>
      </w:pPr>
      <w:r w:rsidRPr="001E262B">
        <w:rPr>
          <w:rFonts w:cstheme="minorHAnsi"/>
          <w:sz w:val="22"/>
          <w:szCs w:val="22"/>
        </w:rPr>
        <w:t>8</w:t>
      </w:r>
      <w:r w:rsidRPr="001E262B">
        <w:rPr>
          <w:rFonts w:cstheme="minorHAnsi"/>
          <w:sz w:val="22"/>
          <w:szCs w:val="22"/>
        </w:rPr>
        <w:tab/>
        <w:t xml:space="preserve">Outre les prix en espèces, certains lauréats se verront octroyer des bourses de voyage pour assister à la session </w:t>
      </w:r>
      <w:r w:rsidR="00E70120" w:rsidRPr="001E262B">
        <w:rPr>
          <w:rFonts w:cstheme="minorHAnsi"/>
          <w:sz w:val="22"/>
          <w:szCs w:val="22"/>
        </w:rPr>
        <w:t>"</w:t>
      </w:r>
      <w:r w:rsidRPr="001E262B">
        <w:rPr>
          <w:rFonts w:cstheme="minorHAnsi"/>
          <w:sz w:val="22"/>
          <w:szCs w:val="22"/>
        </w:rPr>
        <w:t>L'informatique quantique au service du bien social</w:t>
      </w:r>
      <w:r w:rsidR="00E70120" w:rsidRPr="001E262B">
        <w:rPr>
          <w:rFonts w:cstheme="minorHAnsi"/>
          <w:sz w:val="22"/>
          <w:szCs w:val="22"/>
        </w:rPr>
        <w:t>"</w:t>
      </w:r>
      <w:r w:rsidRPr="001E262B">
        <w:rPr>
          <w:rFonts w:cstheme="minorHAnsi"/>
          <w:sz w:val="22"/>
          <w:szCs w:val="22"/>
        </w:rPr>
        <w:t>, dans le cadre du Sommet mondial sur l</w:t>
      </w:r>
      <w:r w:rsidR="00E70120" w:rsidRPr="001E262B">
        <w:rPr>
          <w:rFonts w:cstheme="minorHAnsi"/>
          <w:sz w:val="22"/>
          <w:szCs w:val="22"/>
        </w:rPr>
        <w:t>'</w:t>
      </w:r>
      <w:r w:rsidRPr="001E262B">
        <w:rPr>
          <w:rFonts w:cstheme="minorHAnsi"/>
          <w:sz w:val="22"/>
          <w:szCs w:val="22"/>
        </w:rPr>
        <w:t xml:space="preserve">intelligence artificielle au service du bien social. Les participants sélectionnés bénéficieront des avantages </w:t>
      </w:r>
      <w:proofErr w:type="gramStart"/>
      <w:r w:rsidRPr="001E262B">
        <w:rPr>
          <w:rFonts w:cstheme="minorHAnsi"/>
          <w:sz w:val="22"/>
          <w:szCs w:val="22"/>
        </w:rPr>
        <w:t>suivants:</w:t>
      </w:r>
      <w:proofErr w:type="gramEnd"/>
    </w:p>
    <w:p w14:paraId="5F1130CD" w14:textId="35FEF590" w:rsidR="00B769DC" w:rsidRPr="001E262B" w:rsidRDefault="007D158F" w:rsidP="007D158F">
      <w:pPr>
        <w:pStyle w:val="enumlev1"/>
        <w:rPr>
          <w:rFonts w:cstheme="minorHAnsi"/>
          <w:sz w:val="22"/>
          <w:szCs w:val="22"/>
        </w:rPr>
      </w:pPr>
      <w:r w:rsidRPr="001E262B">
        <w:rPr>
          <w:rFonts w:cstheme="minorHAnsi"/>
          <w:sz w:val="22"/>
          <w:szCs w:val="22"/>
        </w:rPr>
        <w:t>•</w:t>
      </w:r>
      <w:r w:rsidR="00B769DC" w:rsidRPr="001E262B">
        <w:rPr>
          <w:rFonts w:cstheme="minorHAnsi"/>
          <w:sz w:val="22"/>
          <w:szCs w:val="22"/>
        </w:rPr>
        <w:tab/>
        <w:t>Des possibilités de mise en relation et de mentorat uniques avec des dirigeants mondiaux du secteur de l'informatique quantique.</w:t>
      </w:r>
    </w:p>
    <w:p w14:paraId="3189FFB1" w14:textId="69C5BD16" w:rsidR="00B769DC" w:rsidRPr="001E262B" w:rsidRDefault="007D158F" w:rsidP="007D158F">
      <w:pPr>
        <w:pStyle w:val="enumlev1"/>
        <w:rPr>
          <w:rFonts w:cstheme="minorHAnsi"/>
          <w:sz w:val="22"/>
          <w:szCs w:val="22"/>
        </w:rPr>
      </w:pPr>
      <w:r w:rsidRPr="001E262B">
        <w:rPr>
          <w:rFonts w:cstheme="minorHAnsi"/>
          <w:sz w:val="22"/>
          <w:szCs w:val="22"/>
        </w:rPr>
        <w:t>•</w:t>
      </w:r>
      <w:r w:rsidR="00B769DC" w:rsidRPr="001E262B">
        <w:rPr>
          <w:rFonts w:cstheme="minorHAnsi"/>
          <w:sz w:val="22"/>
          <w:szCs w:val="22"/>
        </w:rPr>
        <w:tab/>
        <w:t>Une plate-forme pour présenter leurs projets à un public international composé de spécialistes, de décideurs politiques et de chercheurs.</w:t>
      </w:r>
    </w:p>
    <w:p w14:paraId="1622ED43" w14:textId="0C0F048A" w:rsidR="00B769DC" w:rsidRPr="001E262B" w:rsidRDefault="007D158F" w:rsidP="007D158F">
      <w:pPr>
        <w:pStyle w:val="enumlev1"/>
        <w:rPr>
          <w:rFonts w:cstheme="minorHAnsi"/>
          <w:sz w:val="22"/>
          <w:szCs w:val="22"/>
        </w:rPr>
      </w:pPr>
      <w:r w:rsidRPr="001E262B">
        <w:rPr>
          <w:rFonts w:cstheme="minorHAnsi"/>
          <w:sz w:val="22"/>
          <w:szCs w:val="22"/>
        </w:rPr>
        <w:t>•</w:t>
      </w:r>
      <w:r w:rsidR="00B769DC" w:rsidRPr="001E262B">
        <w:rPr>
          <w:rFonts w:cstheme="minorHAnsi"/>
          <w:sz w:val="22"/>
          <w:szCs w:val="22"/>
        </w:rPr>
        <w:tab/>
        <w:t>Une visite au CERN, offrant une vue des coulisses de la recherche de pointe dans le domaine de la physique.</w:t>
      </w:r>
    </w:p>
    <w:p w14:paraId="54F4F383" w14:textId="2DB0C9CD" w:rsidR="00B769DC" w:rsidRPr="001E262B" w:rsidRDefault="00B769DC" w:rsidP="00B769DC">
      <w:pPr>
        <w:rPr>
          <w:rFonts w:cstheme="minorHAnsi"/>
          <w:sz w:val="22"/>
          <w:szCs w:val="22"/>
        </w:rPr>
      </w:pPr>
      <w:r w:rsidRPr="001E262B">
        <w:rPr>
          <w:rFonts w:cstheme="minorHAnsi"/>
          <w:sz w:val="22"/>
          <w:szCs w:val="22"/>
        </w:rPr>
        <w:t xml:space="preserve">Les bénéficiaires seront sélectionnés par le jury du </w:t>
      </w:r>
      <w:r w:rsidR="00F31305" w:rsidRPr="001E262B">
        <w:rPr>
          <w:rFonts w:cstheme="minorHAnsi"/>
          <w:sz w:val="22"/>
          <w:szCs w:val="22"/>
        </w:rPr>
        <w:t>h</w:t>
      </w:r>
      <w:r w:rsidRPr="001E262B">
        <w:rPr>
          <w:rFonts w:cstheme="minorHAnsi"/>
          <w:sz w:val="22"/>
          <w:szCs w:val="22"/>
        </w:rPr>
        <w:t>ackathon en fonction des incidences, de l</w:t>
      </w:r>
      <w:r w:rsidR="00E70120" w:rsidRPr="001E262B">
        <w:rPr>
          <w:rFonts w:cstheme="minorHAnsi"/>
          <w:sz w:val="22"/>
          <w:szCs w:val="22"/>
        </w:rPr>
        <w:t>'</w:t>
      </w:r>
      <w:r w:rsidRPr="001E262B">
        <w:rPr>
          <w:rFonts w:cstheme="minorHAnsi"/>
          <w:sz w:val="22"/>
          <w:szCs w:val="22"/>
        </w:rPr>
        <w:t xml:space="preserve">innovation et de la pertinence de leurs solutions, sous réserve de la disponibilité des fonds. De plus amples informations seront disponibles sur la page web du </w:t>
      </w:r>
      <w:r w:rsidR="00F31305" w:rsidRPr="001E262B">
        <w:rPr>
          <w:rFonts w:cstheme="minorHAnsi"/>
          <w:sz w:val="22"/>
          <w:szCs w:val="22"/>
        </w:rPr>
        <w:t>h</w:t>
      </w:r>
      <w:r w:rsidRPr="001E262B">
        <w:rPr>
          <w:rFonts w:cstheme="minorHAnsi"/>
          <w:sz w:val="22"/>
          <w:szCs w:val="22"/>
        </w:rPr>
        <w:t>ackathon.</w:t>
      </w:r>
    </w:p>
    <w:p w14:paraId="542ED011" w14:textId="4C2386AC" w:rsidR="00B769DC" w:rsidRPr="001E262B" w:rsidRDefault="00B769DC" w:rsidP="00B769DC">
      <w:pPr>
        <w:rPr>
          <w:rFonts w:cstheme="minorHAnsi"/>
          <w:sz w:val="22"/>
          <w:szCs w:val="22"/>
        </w:rPr>
      </w:pPr>
      <w:r w:rsidRPr="001E262B">
        <w:rPr>
          <w:rFonts w:cstheme="minorHAnsi"/>
          <w:sz w:val="22"/>
          <w:szCs w:val="22"/>
        </w:rPr>
        <w:lastRenderedPageBreak/>
        <w:t>9</w:t>
      </w:r>
      <w:r w:rsidRPr="001E262B">
        <w:rPr>
          <w:rFonts w:cstheme="minorHAnsi"/>
          <w:sz w:val="22"/>
          <w:szCs w:val="22"/>
        </w:rPr>
        <w:tab/>
        <w:t xml:space="preserve">Des renseignements sur le Hackathon FLIQ, y compris le calendrier, le format et les énoncés de problèmes proposés, seront disponibles </w:t>
      </w:r>
      <w:hyperlink r:id="rId15" w:anchor="/fr" w:history="1">
        <w:r w:rsidRPr="001E262B">
          <w:rPr>
            <w:rStyle w:val="Hyperlink"/>
            <w:rFonts w:cstheme="minorHAnsi"/>
            <w:sz w:val="22"/>
            <w:szCs w:val="22"/>
          </w:rPr>
          <w:t>ici</w:t>
        </w:r>
      </w:hyperlink>
      <w:r w:rsidRPr="001E262B">
        <w:rPr>
          <w:rFonts w:cstheme="minorHAnsi"/>
          <w:sz w:val="22"/>
          <w:szCs w:val="22"/>
        </w:rPr>
        <w:t>. Veuillez consulter régulièrement la page d'accueil pour prendre connaissance des dernières informations.</w:t>
      </w:r>
    </w:p>
    <w:p w14:paraId="22F0F019" w14:textId="62B61021" w:rsidR="00B769DC" w:rsidRPr="001E262B" w:rsidRDefault="00B769DC" w:rsidP="00B769DC">
      <w:pPr>
        <w:rPr>
          <w:rFonts w:cstheme="minorHAnsi"/>
          <w:sz w:val="22"/>
          <w:szCs w:val="22"/>
        </w:rPr>
      </w:pPr>
      <w:r w:rsidRPr="001E262B">
        <w:rPr>
          <w:rFonts w:cstheme="minorHAnsi"/>
          <w:sz w:val="22"/>
          <w:szCs w:val="22"/>
        </w:rPr>
        <w:t>10</w:t>
      </w:r>
      <w:r w:rsidRPr="001E262B">
        <w:rPr>
          <w:rFonts w:cstheme="minorHAnsi"/>
          <w:sz w:val="22"/>
          <w:szCs w:val="22"/>
        </w:rPr>
        <w:tab/>
        <w:t>Pour en savoir plus ou pour toute</w:t>
      </w:r>
      <w:r w:rsidR="0013022F" w:rsidRPr="001E262B">
        <w:rPr>
          <w:rFonts w:cstheme="minorHAnsi"/>
          <w:sz w:val="22"/>
          <w:szCs w:val="22"/>
        </w:rPr>
        <w:t>s</w:t>
      </w:r>
      <w:r w:rsidRPr="001E262B">
        <w:rPr>
          <w:rFonts w:cstheme="minorHAnsi"/>
          <w:sz w:val="22"/>
          <w:szCs w:val="22"/>
        </w:rPr>
        <w:t xml:space="preserve"> questions concernant le </w:t>
      </w:r>
      <w:r w:rsidR="00F31305" w:rsidRPr="001E262B">
        <w:rPr>
          <w:rFonts w:cstheme="minorHAnsi"/>
          <w:sz w:val="22"/>
          <w:szCs w:val="22"/>
        </w:rPr>
        <w:t>h</w:t>
      </w:r>
      <w:r w:rsidRPr="001E262B">
        <w:rPr>
          <w:rFonts w:cstheme="minorHAnsi"/>
          <w:sz w:val="22"/>
          <w:szCs w:val="22"/>
        </w:rPr>
        <w:t xml:space="preserve">ackathon, veuillez contacter Mme Gillian Makamara, à l'adresse </w:t>
      </w:r>
      <w:hyperlink r:id="rId16" w:history="1">
        <w:r w:rsidR="007D158F" w:rsidRPr="001E262B">
          <w:rPr>
            <w:rStyle w:val="Hyperlink"/>
            <w:rFonts w:cstheme="minorHAnsi"/>
            <w:sz w:val="22"/>
            <w:szCs w:val="22"/>
          </w:rPr>
          <w:t>quantum@itu.int</w:t>
        </w:r>
      </w:hyperlink>
      <w:r w:rsidRPr="001E262B">
        <w:rPr>
          <w:rFonts w:cstheme="minorHAnsi"/>
          <w:sz w:val="22"/>
          <w:szCs w:val="22"/>
        </w:rPr>
        <w:t>.</w:t>
      </w:r>
    </w:p>
    <w:p w14:paraId="23038710" w14:textId="52E74D7C" w:rsidR="00B769DC" w:rsidRPr="001E262B" w:rsidRDefault="00B769DC" w:rsidP="00B769DC">
      <w:pPr>
        <w:rPr>
          <w:rFonts w:cstheme="minorHAnsi"/>
          <w:sz w:val="22"/>
          <w:szCs w:val="22"/>
        </w:rPr>
      </w:pPr>
      <w:r w:rsidRPr="001E262B">
        <w:rPr>
          <w:rFonts w:cstheme="minorHAnsi"/>
          <w:sz w:val="22"/>
          <w:szCs w:val="22"/>
        </w:rPr>
        <w:t>Veuillez agréer, Madame, Monsieur, l'assurance de ma considération distinguée</w:t>
      </w:r>
      <w:r w:rsidR="0013022F" w:rsidRPr="001E262B">
        <w:rPr>
          <w:rFonts w:cstheme="minorHAnsi"/>
          <w:sz w:val="22"/>
          <w:szCs w:val="22"/>
        </w:rPr>
        <w:t>.</w:t>
      </w:r>
    </w:p>
    <w:p w14:paraId="558FB742" w14:textId="1A794B7B" w:rsidR="002937DB" w:rsidRPr="001E262B" w:rsidRDefault="002365FD" w:rsidP="001E262B">
      <w:pPr>
        <w:spacing w:before="840"/>
        <w:rPr>
          <w:rFonts w:cstheme="minorHAnsi"/>
          <w:bCs/>
          <w:sz w:val="22"/>
          <w:szCs w:val="22"/>
        </w:rPr>
      </w:pPr>
      <w:r>
        <w:rPr>
          <w:rFonts w:cstheme="minorHAnsi"/>
          <w:bCs/>
          <w:noProof/>
          <w:sz w:val="22"/>
          <w:szCs w:val="22"/>
        </w:rPr>
        <w:drawing>
          <wp:anchor distT="0" distB="0" distL="114300" distR="114300" simplePos="0" relativeHeight="251658240" behindDoc="0" locked="0" layoutInCell="1" allowOverlap="1" wp14:anchorId="3A5162BC" wp14:editId="289AA3CF">
            <wp:simplePos x="0" y="0"/>
            <wp:positionH relativeFrom="margin">
              <wp:align>left</wp:align>
            </wp:positionH>
            <wp:positionV relativeFrom="paragraph">
              <wp:posOffset>64770</wp:posOffset>
            </wp:positionV>
            <wp:extent cx="692186" cy="330217"/>
            <wp:effectExtent l="0" t="0" r="0" b="0"/>
            <wp:wrapNone/>
            <wp:docPr id="1678736731"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36731" name="Picture 2" descr="A black text on a whit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307FB4" w:rsidRPr="001E262B">
        <w:rPr>
          <w:rFonts w:cstheme="minorHAnsi"/>
          <w:bCs/>
          <w:sz w:val="22"/>
          <w:szCs w:val="22"/>
        </w:rPr>
        <w:t>Seizo Onoe</w:t>
      </w:r>
      <w:r w:rsidR="00B60868" w:rsidRPr="001E262B">
        <w:rPr>
          <w:rFonts w:cstheme="minorHAnsi"/>
          <w:bCs/>
          <w:sz w:val="22"/>
          <w:szCs w:val="22"/>
        </w:rPr>
        <w:br/>
      </w:r>
      <w:r w:rsidR="00307FB4" w:rsidRPr="001E262B">
        <w:rPr>
          <w:rFonts w:cstheme="minorHAnsi"/>
          <w:bCs/>
          <w:sz w:val="22"/>
          <w:szCs w:val="22"/>
        </w:rPr>
        <w:t>Directeur du Bureau de la normalisation</w:t>
      </w:r>
      <w:r w:rsidR="00B60868" w:rsidRPr="001E262B">
        <w:rPr>
          <w:rFonts w:cstheme="minorHAnsi"/>
          <w:bCs/>
          <w:sz w:val="22"/>
          <w:szCs w:val="22"/>
        </w:rPr>
        <w:br/>
      </w:r>
      <w:r w:rsidR="00307FB4" w:rsidRPr="001E262B">
        <w:rPr>
          <w:rFonts w:cstheme="minorHAnsi"/>
          <w:bCs/>
          <w:sz w:val="22"/>
          <w:szCs w:val="22"/>
        </w:rPr>
        <w:t>des télécommunications</w:t>
      </w:r>
    </w:p>
    <w:sectPr w:rsidR="002937DB" w:rsidRPr="001E262B" w:rsidSect="00A15179">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56C7B530"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6D7441AD" w:rsidR="00697BC1" w:rsidRDefault="002365FD"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7D158F">
      <w:rPr>
        <w:noProof/>
        <w:sz w:val="18"/>
        <w:szCs w:val="16"/>
      </w:rPr>
      <w:t>44</w:t>
    </w:r>
  </w:p>
  <w:p w14:paraId="54B168C5" w14:textId="77777777" w:rsidR="001E262B" w:rsidRPr="00697BC1" w:rsidRDefault="001E262B" w:rsidP="00697BC1">
    <w:pPr>
      <w:pStyle w:val="Header"/>
      <w:rPr>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1D8B"/>
    <w:rsid w:val="000039EE"/>
    <w:rsid w:val="00005622"/>
    <w:rsid w:val="0002519E"/>
    <w:rsid w:val="00035B43"/>
    <w:rsid w:val="00036F4F"/>
    <w:rsid w:val="00066C11"/>
    <w:rsid w:val="000758B3"/>
    <w:rsid w:val="00085F5A"/>
    <w:rsid w:val="000B0D96"/>
    <w:rsid w:val="000B59D8"/>
    <w:rsid w:val="000C1F6B"/>
    <w:rsid w:val="000C25CC"/>
    <w:rsid w:val="000C56BE"/>
    <w:rsid w:val="001026FD"/>
    <w:rsid w:val="001077FD"/>
    <w:rsid w:val="00115DD7"/>
    <w:rsid w:val="0013022F"/>
    <w:rsid w:val="00167472"/>
    <w:rsid w:val="00167F92"/>
    <w:rsid w:val="00173738"/>
    <w:rsid w:val="001B1F66"/>
    <w:rsid w:val="001B79A3"/>
    <w:rsid w:val="001E262B"/>
    <w:rsid w:val="002152A3"/>
    <w:rsid w:val="002365FD"/>
    <w:rsid w:val="0023667A"/>
    <w:rsid w:val="002437AF"/>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77F13"/>
    <w:rsid w:val="0048088B"/>
    <w:rsid w:val="004977C9"/>
    <w:rsid w:val="004B732E"/>
    <w:rsid w:val="004D4D4B"/>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7D158F"/>
    <w:rsid w:val="00810105"/>
    <w:rsid w:val="008157E0"/>
    <w:rsid w:val="00850477"/>
    <w:rsid w:val="00854E1D"/>
    <w:rsid w:val="008567E8"/>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769DC"/>
    <w:rsid w:val="00B8573E"/>
    <w:rsid w:val="00BB24C0"/>
    <w:rsid w:val="00BD6ECF"/>
    <w:rsid w:val="00C26F2E"/>
    <w:rsid w:val="00C302E3"/>
    <w:rsid w:val="00C37059"/>
    <w:rsid w:val="00C41B89"/>
    <w:rsid w:val="00C45376"/>
    <w:rsid w:val="00C511AB"/>
    <w:rsid w:val="00C9028F"/>
    <w:rsid w:val="00C97068"/>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0120"/>
    <w:rsid w:val="00E72AE1"/>
    <w:rsid w:val="00ED6A7A"/>
    <w:rsid w:val="00EE4C36"/>
    <w:rsid w:val="00EF6A23"/>
    <w:rsid w:val="00F31305"/>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iforgood.itu.int/the-future-leaders-in-quantum-hackath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quantum2025.org/f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quantum@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antumcoalition.io/about-us" TargetMode="External"/><Relationship Id="rId5" Type="http://schemas.openxmlformats.org/officeDocument/2006/relationships/webSettings" Target="webSettings.xml"/><Relationship Id="rId15" Type="http://schemas.openxmlformats.org/officeDocument/2006/relationships/hyperlink" Target="https://aiforgood.itu.int/the-future-leaders-in-quantum-hackathon/" TargetMode="External"/><Relationship Id="rId10" Type="http://schemas.openxmlformats.org/officeDocument/2006/relationships/hyperlink" Target="https://aiforgood.itu.int/the-future-leaders-in-quantum-hackath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uantum@itu.int" TargetMode="External"/><Relationship Id="rId14" Type="http://schemas.openxmlformats.org/officeDocument/2006/relationships/hyperlink" Target="https://aiforgood.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51</TotalTime>
  <Pages>3</Pages>
  <Words>1162</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8504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9</cp:revision>
  <cp:lastPrinted>2025-05-07T07:36:00Z</cp:lastPrinted>
  <dcterms:created xsi:type="dcterms:W3CDTF">2025-05-01T12:43:00Z</dcterms:created>
  <dcterms:modified xsi:type="dcterms:W3CDTF">2025-05-07T07:37:00Z</dcterms:modified>
</cp:coreProperties>
</file>