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393"/>
        <w:gridCol w:w="5057"/>
      </w:tblGrid>
      <w:tr w:rsidR="00EF6A23" w:rsidRPr="00106D04" w14:paraId="3FDAE1F3" w14:textId="77777777" w:rsidTr="003F083D">
        <w:trPr>
          <w:cantSplit/>
        </w:trPr>
        <w:tc>
          <w:tcPr>
            <w:tcW w:w="0" w:type="auto"/>
            <w:vAlign w:val="center"/>
          </w:tcPr>
          <w:p w14:paraId="3DE42CAA" w14:textId="77777777" w:rsidR="00EF6A23" w:rsidRPr="00106D04" w:rsidRDefault="00EF6A23" w:rsidP="00D14F31">
            <w:pPr>
              <w:tabs>
                <w:tab w:val="right" w:pos="8732"/>
              </w:tabs>
              <w:spacing w:before="0"/>
              <w:rPr>
                <w:b/>
                <w:bCs/>
                <w:iCs/>
                <w:color w:val="FFFFFF"/>
                <w:sz w:val="30"/>
                <w:szCs w:val="30"/>
              </w:rPr>
            </w:pPr>
            <w:r w:rsidRPr="00106D04">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106D04" w:rsidRDefault="00EF6A23" w:rsidP="00EF6A23">
            <w:pPr>
              <w:spacing w:before="0"/>
              <w:rPr>
                <w:rFonts w:cs="Times New Roman Bold"/>
                <w:b/>
                <w:bCs/>
                <w:iCs/>
                <w:smallCaps/>
                <w:sz w:val="34"/>
                <w:szCs w:val="34"/>
              </w:rPr>
            </w:pPr>
            <w:r w:rsidRPr="00106D04">
              <w:rPr>
                <w:rFonts w:cs="Times New Roman Bold"/>
                <w:b/>
                <w:bCs/>
                <w:iCs/>
                <w:smallCaps/>
                <w:sz w:val="34"/>
                <w:szCs w:val="34"/>
              </w:rPr>
              <w:t>Union internationale des télécommunications</w:t>
            </w:r>
          </w:p>
          <w:p w14:paraId="089E66D0" w14:textId="77777777" w:rsidR="00EF6A23" w:rsidRPr="00106D04" w:rsidRDefault="00EF6A23" w:rsidP="00EF6A23">
            <w:pPr>
              <w:spacing w:before="0"/>
              <w:rPr>
                <w:color w:val="FFFFFF"/>
                <w:sz w:val="26"/>
                <w:szCs w:val="26"/>
              </w:rPr>
            </w:pPr>
            <w:r w:rsidRPr="00106D04">
              <w:rPr>
                <w:rFonts w:cs="Times New Roman Bold"/>
                <w:b/>
                <w:bCs/>
                <w:iCs/>
                <w:smallCaps/>
                <w:sz w:val="28"/>
                <w:szCs w:val="28"/>
              </w:rPr>
              <w:t>B</w:t>
            </w:r>
            <w:r w:rsidRPr="00106D04">
              <w:rPr>
                <w:b/>
                <w:bCs/>
                <w:iCs/>
                <w:smallCaps/>
                <w:sz w:val="28"/>
                <w:szCs w:val="28"/>
              </w:rPr>
              <w:t>ureau de la Normalisation des Télécommunications</w:t>
            </w:r>
          </w:p>
        </w:tc>
      </w:tr>
      <w:tr w:rsidR="00036F4F" w:rsidRPr="001018E1" w14:paraId="18B25741" w14:textId="77777777" w:rsidTr="001018E1">
        <w:trPr>
          <w:cantSplit/>
        </w:trPr>
        <w:tc>
          <w:tcPr>
            <w:tcW w:w="0" w:type="auto"/>
          </w:tcPr>
          <w:p w14:paraId="4B1AFD72" w14:textId="77777777" w:rsidR="00036F4F" w:rsidRPr="001018E1" w:rsidRDefault="00036F4F" w:rsidP="00A5280F">
            <w:pPr>
              <w:tabs>
                <w:tab w:val="left" w:pos="4111"/>
              </w:tabs>
              <w:spacing w:before="10"/>
              <w:ind w:left="57"/>
              <w:rPr>
                <w:rFonts w:cstheme="minorHAnsi"/>
                <w:sz w:val="22"/>
                <w:szCs w:val="22"/>
              </w:rPr>
            </w:pPr>
          </w:p>
        </w:tc>
        <w:tc>
          <w:tcPr>
            <w:tcW w:w="3369" w:type="dxa"/>
          </w:tcPr>
          <w:p w14:paraId="6579D3E8" w14:textId="77777777" w:rsidR="00036F4F" w:rsidRPr="001018E1" w:rsidRDefault="00036F4F" w:rsidP="00A5280F">
            <w:pPr>
              <w:tabs>
                <w:tab w:val="left" w:pos="4111"/>
              </w:tabs>
              <w:spacing w:before="10"/>
              <w:ind w:left="57"/>
              <w:rPr>
                <w:rFonts w:cstheme="minorHAnsi"/>
                <w:b/>
                <w:sz w:val="22"/>
                <w:szCs w:val="22"/>
              </w:rPr>
            </w:pPr>
          </w:p>
        </w:tc>
        <w:tc>
          <w:tcPr>
            <w:tcW w:w="5081" w:type="dxa"/>
          </w:tcPr>
          <w:p w14:paraId="0DC34ECA" w14:textId="43D953CD" w:rsidR="00036F4F" w:rsidRPr="001018E1" w:rsidRDefault="00036F4F" w:rsidP="001018E1">
            <w:pPr>
              <w:tabs>
                <w:tab w:val="clear" w:pos="794"/>
                <w:tab w:val="clear" w:pos="1191"/>
                <w:tab w:val="clear" w:pos="1588"/>
                <w:tab w:val="clear" w:pos="1985"/>
                <w:tab w:val="left" w:pos="284"/>
              </w:tabs>
              <w:spacing w:before="240" w:after="240"/>
              <w:ind w:left="288" w:hanging="230"/>
              <w:rPr>
                <w:rFonts w:cstheme="minorHAnsi"/>
                <w:sz w:val="22"/>
                <w:szCs w:val="22"/>
              </w:rPr>
            </w:pPr>
            <w:r w:rsidRPr="001018E1">
              <w:rPr>
                <w:rFonts w:cstheme="minorHAnsi"/>
                <w:sz w:val="22"/>
                <w:szCs w:val="22"/>
              </w:rPr>
              <w:t>Genève, le</w:t>
            </w:r>
            <w:r w:rsidR="004419E9" w:rsidRPr="001018E1">
              <w:rPr>
                <w:rFonts w:cstheme="minorHAnsi"/>
                <w:sz w:val="22"/>
                <w:szCs w:val="22"/>
              </w:rPr>
              <w:t xml:space="preserve"> </w:t>
            </w:r>
            <w:r w:rsidR="00AB663C" w:rsidRPr="001018E1">
              <w:rPr>
                <w:rFonts w:cstheme="minorHAnsi"/>
                <w:sz w:val="22"/>
                <w:szCs w:val="22"/>
              </w:rPr>
              <w:t>9 avril 2025</w:t>
            </w:r>
          </w:p>
        </w:tc>
      </w:tr>
      <w:tr w:rsidR="001018E1" w:rsidRPr="001018E1" w14:paraId="16CDDFEF" w14:textId="77777777" w:rsidTr="001018E1">
        <w:trPr>
          <w:cantSplit/>
          <w:trHeight w:val="340"/>
        </w:trPr>
        <w:tc>
          <w:tcPr>
            <w:tcW w:w="0" w:type="auto"/>
          </w:tcPr>
          <w:p w14:paraId="3EFF375D" w14:textId="58556577" w:rsidR="001018E1" w:rsidRPr="001018E1" w:rsidRDefault="001018E1" w:rsidP="001018E1">
            <w:pPr>
              <w:tabs>
                <w:tab w:val="left" w:pos="4111"/>
              </w:tabs>
              <w:spacing w:before="10"/>
              <w:rPr>
                <w:rFonts w:cstheme="minorHAnsi"/>
                <w:b/>
                <w:bCs/>
                <w:sz w:val="22"/>
                <w:szCs w:val="22"/>
              </w:rPr>
            </w:pPr>
            <w:proofErr w:type="gramStart"/>
            <w:r w:rsidRPr="001018E1">
              <w:rPr>
                <w:rFonts w:cstheme="minorHAnsi"/>
                <w:b/>
                <w:bCs/>
                <w:sz w:val="22"/>
                <w:szCs w:val="22"/>
              </w:rPr>
              <w:t>Réf.:</w:t>
            </w:r>
            <w:proofErr w:type="gramEnd"/>
          </w:p>
        </w:tc>
        <w:tc>
          <w:tcPr>
            <w:tcW w:w="3369" w:type="dxa"/>
          </w:tcPr>
          <w:p w14:paraId="5FFBBC9B" w14:textId="50436EFC" w:rsidR="001018E1" w:rsidRPr="001018E1" w:rsidRDefault="001018E1" w:rsidP="00A5280F">
            <w:pPr>
              <w:tabs>
                <w:tab w:val="left" w:pos="4111"/>
              </w:tabs>
              <w:spacing w:before="10"/>
              <w:ind w:left="57"/>
              <w:rPr>
                <w:rFonts w:cstheme="minorHAnsi"/>
                <w:b/>
                <w:sz w:val="22"/>
                <w:szCs w:val="22"/>
              </w:rPr>
            </w:pPr>
            <w:r w:rsidRPr="001018E1">
              <w:rPr>
                <w:rFonts w:cstheme="minorHAnsi"/>
                <w:b/>
                <w:sz w:val="22"/>
                <w:szCs w:val="22"/>
              </w:rPr>
              <w:t>Circulaire TSB 43</w:t>
            </w:r>
          </w:p>
          <w:p w14:paraId="577F6DA2" w14:textId="3BF70ACE" w:rsidR="001018E1" w:rsidRPr="001018E1" w:rsidRDefault="001018E1" w:rsidP="00307FB4">
            <w:pPr>
              <w:tabs>
                <w:tab w:val="left" w:pos="4111"/>
              </w:tabs>
              <w:spacing w:before="10"/>
              <w:ind w:left="57"/>
              <w:rPr>
                <w:rFonts w:cstheme="minorHAnsi"/>
                <w:sz w:val="22"/>
                <w:szCs w:val="22"/>
              </w:rPr>
            </w:pPr>
            <w:r w:rsidRPr="001018E1">
              <w:rPr>
                <w:rFonts w:cstheme="minorHAnsi"/>
                <w:sz w:val="22"/>
                <w:szCs w:val="22"/>
              </w:rPr>
              <w:t>TB</w:t>
            </w:r>
          </w:p>
        </w:tc>
        <w:tc>
          <w:tcPr>
            <w:tcW w:w="5081" w:type="dxa"/>
            <w:vMerge w:val="restart"/>
          </w:tcPr>
          <w:p w14:paraId="35271D8E" w14:textId="43A35592" w:rsidR="001018E1" w:rsidRPr="001018E1" w:rsidRDefault="001018E1" w:rsidP="00307FB4">
            <w:pPr>
              <w:tabs>
                <w:tab w:val="left" w:pos="4111"/>
              </w:tabs>
              <w:spacing w:before="0"/>
              <w:ind w:left="426" w:hanging="426"/>
              <w:rPr>
                <w:rFonts w:cstheme="minorHAnsi"/>
                <w:sz w:val="22"/>
                <w:szCs w:val="22"/>
              </w:rPr>
            </w:pPr>
            <w:bookmarkStart w:id="0" w:name="Addressee_F"/>
            <w:bookmarkEnd w:id="0"/>
            <w:r w:rsidRPr="001018E1">
              <w:rPr>
                <w:rFonts w:cstheme="minorHAnsi"/>
                <w:sz w:val="22"/>
                <w:szCs w:val="22"/>
              </w:rPr>
              <w:t>–</w:t>
            </w:r>
            <w:r w:rsidRPr="001018E1">
              <w:rPr>
                <w:rFonts w:cstheme="minorHAnsi"/>
                <w:sz w:val="22"/>
                <w:szCs w:val="22"/>
              </w:rPr>
              <w:tab/>
            </w:r>
            <w:r w:rsidRPr="001018E1">
              <w:rPr>
                <w:rFonts w:cstheme="minorHAnsi"/>
                <w:color w:val="000000"/>
                <w:sz w:val="22"/>
                <w:szCs w:val="22"/>
              </w:rPr>
              <w:t xml:space="preserve">Aux Administrations des États Membres de </w:t>
            </w:r>
            <w:proofErr w:type="gramStart"/>
            <w:r w:rsidRPr="001018E1">
              <w:rPr>
                <w:rFonts w:cstheme="minorHAnsi"/>
                <w:color w:val="000000"/>
                <w:sz w:val="22"/>
                <w:szCs w:val="22"/>
              </w:rPr>
              <w:t>l'Union</w:t>
            </w:r>
            <w:r w:rsidRPr="001018E1">
              <w:rPr>
                <w:rFonts w:cstheme="minorHAnsi"/>
                <w:sz w:val="22"/>
                <w:szCs w:val="22"/>
              </w:rPr>
              <w:t>;</w:t>
            </w:r>
            <w:proofErr w:type="gramEnd"/>
          </w:p>
          <w:p w14:paraId="421555BF" w14:textId="0197D2A9" w:rsidR="001018E1" w:rsidRPr="001018E1" w:rsidRDefault="001018E1" w:rsidP="00307FB4">
            <w:pPr>
              <w:tabs>
                <w:tab w:val="left" w:pos="4111"/>
              </w:tabs>
              <w:spacing w:before="0"/>
              <w:ind w:left="426" w:hanging="426"/>
              <w:rPr>
                <w:rFonts w:cstheme="minorHAnsi"/>
                <w:sz w:val="22"/>
                <w:szCs w:val="22"/>
              </w:rPr>
            </w:pPr>
            <w:r w:rsidRPr="001018E1">
              <w:rPr>
                <w:rFonts w:cstheme="minorHAnsi"/>
                <w:sz w:val="22"/>
                <w:szCs w:val="22"/>
              </w:rPr>
              <w:t>–</w:t>
            </w:r>
            <w:r w:rsidRPr="001018E1">
              <w:rPr>
                <w:rFonts w:cstheme="minorHAnsi"/>
                <w:sz w:val="22"/>
                <w:szCs w:val="22"/>
              </w:rPr>
              <w:tab/>
            </w:r>
            <w:r w:rsidRPr="001018E1">
              <w:rPr>
                <w:rFonts w:cstheme="minorHAnsi"/>
                <w:color w:val="000000"/>
                <w:sz w:val="22"/>
                <w:szCs w:val="22"/>
              </w:rPr>
              <w:t>À l'État de Palestine (Rés. 99 (Rév. Dubaï, 2018)</w:t>
            </w:r>
            <w:proofErr w:type="gramStart"/>
            <w:r w:rsidRPr="001018E1">
              <w:rPr>
                <w:rFonts w:cstheme="minorHAnsi"/>
                <w:color w:val="000000"/>
                <w:sz w:val="22"/>
                <w:szCs w:val="22"/>
              </w:rPr>
              <w:t>);</w:t>
            </w:r>
            <w:proofErr w:type="gramEnd"/>
          </w:p>
          <w:p w14:paraId="38A5A6AE" w14:textId="24577CC2" w:rsidR="001018E1" w:rsidRPr="001018E1" w:rsidRDefault="001018E1" w:rsidP="00307FB4">
            <w:pPr>
              <w:tabs>
                <w:tab w:val="left" w:pos="4111"/>
              </w:tabs>
              <w:spacing w:before="0"/>
              <w:ind w:left="426" w:hanging="426"/>
              <w:rPr>
                <w:rFonts w:cstheme="minorHAnsi"/>
                <w:sz w:val="22"/>
                <w:szCs w:val="22"/>
              </w:rPr>
            </w:pPr>
            <w:r w:rsidRPr="001018E1">
              <w:rPr>
                <w:rFonts w:cstheme="minorHAnsi"/>
                <w:sz w:val="22"/>
                <w:szCs w:val="22"/>
              </w:rPr>
              <w:t>–</w:t>
            </w:r>
            <w:r w:rsidRPr="001018E1">
              <w:rPr>
                <w:rFonts w:cstheme="minorHAnsi"/>
                <w:sz w:val="22"/>
                <w:szCs w:val="22"/>
              </w:rPr>
              <w:tab/>
            </w:r>
            <w:r w:rsidRPr="001018E1">
              <w:rPr>
                <w:rFonts w:cstheme="minorHAnsi"/>
                <w:color w:val="000000"/>
                <w:sz w:val="22"/>
                <w:szCs w:val="22"/>
              </w:rPr>
              <w:t xml:space="preserve">Aux </w:t>
            </w:r>
            <w:r w:rsidRPr="001018E1">
              <w:rPr>
                <w:rFonts w:cstheme="minorHAnsi"/>
                <w:sz w:val="22"/>
                <w:szCs w:val="22"/>
              </w:rPr>
              <w:t>Membres du Secteur de l'UIT-</w:t>
            </w:r>
            <w:proofErr w:type="gramStart"/>
            <w:r w:rsidRPr="001018E1">
              <w:rPr>
                <w:rFonts w:cstheme="minorHAnsi"/>
                <w:sz w:val="22"/>
                <w:szCs w:val="22"/>
              </w:rPr>
              <w:t>T;</w:t>
            </w:r>
            <w:proofErr w:type="gramEnd"/>
          </w:p>
          <w:p w14:paraId="45F82FBC" w14:textId="4B59E38F" w:rsidR="001018E1" w:rsidRPr="001018E1" w:rsidRDefault="001018E1" w:rsidP="00307FB4">
            <w:pPr>
              <w:tabs>
                <w:tab w:val="left" w:pos="4111"/>
              </w:tabs>
              <w:spacing w:before="0"/>
              <w:ind w:left="426" w:hanging="426"/>
              <w:rPr>
                <w:rFonts w:cstheme="minorHAnsi"/>
                <w:sz w:val="22"/>
                <w:szCs w:val="22"/>
              </w:rPr>
            </w:pPr>
            <w:r w:rsidRPr="001018E1">
              <w:rPr>
                <w:rFonts w:cstheme="minorHAnsi"/>
                <w:sz w:val="22"/>
                <w:szCs w:val="22"/>
              </w:rPr>
              <w:t>–</w:t>
            </w:r>
            <w:r w:rsidRPr="001018E1">
              <w:rPr>
                <w:rFonts w:cstheme="minorHAnsi"/>
                <w:sz w:val="22"/>
                <w:szCs w:val="22"/>
              </w:rPr>
              <w:tab/>
            </w:r>
            <w:r w:rsidRPr="001018E1">
              <w:rPr>
                <w:rFonts w:cstheme="minorHAnsi"/>
                <w:color w:val="000000"/>
                <w:sz w:val="22"/>
                <w:szCs w:val="22"/>
              </w:rPr>
              <w:t xml:space="preserve">Aux </w:t>
            </w:r>
            <w:r w:rsidRPr="001018E1">
              <w:rPr>
                <w:rFonts w:cstheme="minorHAnsi"/>
                <w:sz w:val="22"/>
                <w:szCs w:val="22"/>
              </w:rPr>
              <w:t>Associés de l'UIT-</w:t>
            </w:r>
            <w:proofErr w:type="gramStart"/>
            <w:r w:rsidRPr="001018E1">
              <w:rPr>
                <w:rFonts w:cstheme="minorHAnsi"/>
                <w:sz w:val="22"/>
                <w:szCs w:val="22"/>
              </w:rPr>
              <w:t>T;</w:t>
            </w:r>
            <w:proofErr w:type="gramEnd"/>
          </w:p>
          <w:p w14:paraId="652E1051" w14:textId="77777777" w:rsidR="001018E1" w:rsidRPr="001018E1" w:rsidRDefault="001018E1" w:rsidP="00307FB4">
            <w:pPr>
              <w:tabs>
                <w:tab w:val="left" w:pos="4111"/>
              </w:tabs>
              <w:spacing w:before="0"/>
              <w:ind w:left="426" w:hanging="426"/>
              <w:rPr>
                <w:rFonts w:cstheme="minorHAnsi"/>
                <w:sz w:val="22"/>
                <w:szCs w:val="22"/>
              </w:rPr>
            </w:pPr>
            <w:r w:rsidRPr="001018E1">
              <w:rPr>
                <w:rFonts w:cstheme="minorHAnsi"/>
                <w:sz w:val="22"/>
                <w:szCs w:val="22"/>
              </w:rPr>
              <w:t>–</w:t>
            </w:r>
            <w:r w:rsidRPr="001018E1">
              <w:rPr>
                <w:rFonts w:cstheme="minorHAnsi"/>
                <w:sz w:val="22"/>
                <w:szCs w:val="22"/>
              </w:rPr>
              <w:tab/>
            </w:r>
            <w:r w:rsidRPr="001018E1">
              <w:rPr>
                <w:rFonts w:cstheme="minorHAnsi"/>
                <w:color w:val="000000"/>
                <w:sz w:val="22"/>
                <w:szCs w:val="22"/>
              </w:rPr>
              <w:t>Aux é</w:t>
            </w:r>
            <w:r w:rsidRPr="001018E1">
              <w:rPr>
                <w:rFonts w:cstheme="minorHAnsi"/>
                <w:sz w:val="22"/>
                <w:szCs w:val="22"/>
              </w:rPr>
              <w:t>tablissements universitaires participant aux travaux de l'UIT</w:t>
            </w:r>
          </w:p>
          <w:p w14:paraId="3334E492" w14:textId="77777777" w:rsidR="001018E1" w:rsidRPr="001018E1" w:rsidRDefault="001018E1" w:rsidP="00AB663C">
            <w:pPr>
              <w:tabs>
                <w:tab w:val="clear" w:pos="794"/>
                <w:tab w:val="left" w:pos="226"/>
                <w:tab w:val="left" w:pos="4111"/>
              </w:tabs>
              <w:spacing w:before="0"/>
              <w:ind w:left="226" w:hanging="226"/>
              <w:rPr>
                <w:rFonts w:cstheme="minorHAnsi"/>
                <w:b/>
                <w:bCs/>
                <w:sz w:val="22"/>
                <w:szCs w:val="22"/>
              </w:rPr>
            </w:pPr>
            <w:proofErr w:type="gramStart"/>
            <w:r w:rsidRPr="001018E1">
              <w:rPr>
                <w:rFonts w:cstheme="minorHAnsi"/>
                <w:b/>
                <w:bCs/>
                <w:sz w:val="22"/>
                <w:szCs w:val="22"/>
              </w:rPr>
              <w:t>Copie:</w:t>
            </w:r>
            <w:proofErr w:type="gramEnd"/>
          </w:p>
          <w:p w14:paraId="0F317328" w14:textId="77777777" w:rsidR="001018E1" w:rsidRPr="001018E1" w:rsidRDefault="001018E1" w:rsidP="00AB663C">
            <w:pPr>
              <w:tabs>
                <w:tab w:val="clear" w:pos="794"/>
                <w:tab w:val="left" w:pos="4111"/>
              </w:tabs>
              <w:spacing w:before="0"/>
              <w:ind w:left="426" w:hanging="426"/>
              <w:rPr>
                <w:rFonts w:cstheme="minorHAnsi"/>
                <w:sz w:val="22"/>
                <w:szCs w:val="22"/>
              </w:rPr>
            </w:pPr>
            <w:r w:rsidRPr="001018E1">
              <w:rPr>
                <w:rFonts w:cstheme="minorHAnsi"/>
                <w:sz w:val="22"/>
                <w:szCs w:val="22"/>
              </w:rPr>
              <w:t>–</w:t>
            </w:r>
            <w:r w:rsidRPr="001018E1">
              <w:rPr>
                <w:rFonts w:cstheme="minorHAnsi"/>
                <w:sz w:val="22"/>
                <w:szCs w:val="22"/>
              </w:rPr>
              <w:tab/>
              <w:t xml:space="preserve">Aux présidents et vice-présidents des commissions </w:t>
            </w:r>
            <w:proofErr w:type="gramStart"/>
            <w:r w:rsidRPr="001018E1">
              <w:rPr>
                <w:rFonts w:cstheme="minorHAnsi"/>
                <w:sz w:val="22"/>
                <w:szCs w:val="22"/>
              </w:rPr>
              <w:t>d'études;</w:t>
            </w:r>
            <w:proofErr w:type="gramEnd"/>
          </w:p>
          <w:p w14:paraId="771B8F42" w14:textId="77777777" w:rsidR="001018E1" w:rsidRPr="001018E1" w:rsidRDefault="001018E1" w:rsidP="00AB663C">
            <w:pPr>
              <w:tabs>
                <w:tab w:val="clear" w:pos="794"/>
                <w:tab w:val="left" w:pos="4111"/>
              </w:tabs>
              <w:spacing w:before="0"/>
              <w:ind w:left="426" w:hanging="426"/>
              <w:rPr>
                <w:rFonts w:cstheme="minorHAnsi"/>
                <w:sz w:val="22"/>
                <w:szCs w:val="22"/>
              </w:rPr>
            </w:pPr>
            <w:r w:rsidRPr="001018E1">
              <w:rPr>
                <w:rFonts w:cstheme="minorHAnsi"/>
                <w:sz w:val="22"/>
                <w:szCs w:val="22"/>
              </w:rPr>
              <w:t>–</w:t>
            </w:r>
            <w:r w:rsidRPr="001018E1">
              <w:rPr>
                <w:rFonts w:cstheme="minorHAnsi"/>
                <w:sz w:val="22"/>
                <w:szCs w:val="22"/>
              </w:rPr>
              <w:tab/>
              <w:t xml:space="preserve">Au Directeur du Bureau de développement des </w:t>
            </w:r>
            <w:proofErr w:type="gramStart"/>
            <w:r w:rsidRPr="001018E1">
              <w:rPr>
                <w:rFonts w:cstheme="minorHAnsi"/>
                <w:sz w:val="22"/>
                <w:szCs w:val="22"/>
              </w:rPr>
              <w:t>télécommunications;</w:t>
            </w:r>
            <w:proofErr w:type="gramEnd"/>
          </w:p>
          <w:p w14:paraId="461460AE" w14:textId="7753CCFC" w:rsidR="001018E1" w:rsidRPr="001018E1" w:rsidRDefault="001018E1" w:rsidP="00AB663C">
            <w:pPr>
              <w:tabs>
                <w:tab w:val="left" w:pos="4111"/>
              </w:tabs>
              <w:spacing w:before="0"/>
              <w:ind w:left="426" w:hanging="426"/>
              <w:rPr>
                <w:rFonts w:cstheme="minorHAnsi"/>
                <w:sz w:val="22"/>
                <w:szCs w:val="22"/>
              </w:rPr>
            </w:pPr>
            <w:r w:rsidRPr="001018E1">
              <w:rPr>
                <w:rFonts w:cstheme="minorHAnsi"/>
                <w:sz w:val="22"/>
                <w:szCs w:val="22"/>
              </w:rPr>
              <w:t>–</w:t>
            </w:r>
            <w:r w:rsidRPr="001018E1">
              <w:rPr>
                <w:rFonts w:cstheme="minorHAnsi"/>
                <w:sz w:val="22"/>
                <w:szCs w:val="22"/>
              </w:rPr>
              <w:tab/>
              <w:t>Au Directeur du Bureau des radiocommunications</w:t>
            </w:r>
          </w:p>
        </w:tc>
      </w:tr>
      <w:tr w:rsidR="001018E1" w:rsidRPr="001018E1" w14:paraId="06A3F0E7" w14:textId="77777777" w:rsidTr="001018E1">
        <w:trPr>
          <w:cantSplit/>
          <w:trHeight w:val="340"/>
        </w:trPr>
        <w:tc>
          <w:tcPr>
            <w:tcW w:w="0" w:type="auto"/>
          </w:tcPr>
          <w:p w14:paraId="5CF43A7B" w14:textId="68D01B15" w:rsidR="001018E1" w:rsidRPr="001018E1" w:rsidRDefault="001018E1" w:rsidP="001018E1">
            <w:pPr>
              <w:tabs>
                <w:tab w:val="left" w:pos="4111"/>
              </w:tabs>
              <w:spacing w:before="10"/>
              <w:rPr>
                <w:rFonts w:cstheme="minorHAnsi"/>
                <w:sz w:val="22"/>
                <w:szCs w:val="22"/>
              </w:rPr>
            </w:pPr>
            <w:proofErr w:type="gramStart"/>
            <w:r w:rsidRPr="001018E1">
              <w:rPr>
                <w:rFonts w:cstheme="minorHAnsi"/>
                <w:sz w:val="22"/>
                <w:szCs w:val="22"/>
              </w:rPr>
              <w:t>Tél.:</w:t>
            </w:r>
            <w:proofErr w:type="gramEnd"/>
          </w:p>
        </w:tc>
        <w:tc>
          <w:tcPr>
            <w:tcW w:w="3369" w:type="dxa"/>
          </w:tcPr>
          <w:p w14:paraId="2074781F" w14:textId="12ABE792" w:rsidR="001018E1" w:rsidRPr="001018E1" w:rsidRDefault="001018E1" w:rsidP="00AB663C">
            <w:pPr>
              <w:tabs>
                <w:tab w:val="left" w:pos="4111"/>
              </w:tabs>
              <w:spacing w:before="10"/>
              <w:ind w:left="57"/>
              <w:rPr>
                <w:rFonts w:cstheme="minorHAnsi"/>
                <w:b/>
                <w:sz w:val="22"/>
                <w:szCs w:val="22"/>
              </w:rPr>
            </w:pPr>
            <w:r w:rsidRPr="001018E1">
              <w:rPr>
                <w:rFonts w:cstheme="minorHAnsi"/>
                <w:sz w:val="22"/>
                <w:szCs w:val="22"/>
              </w:rPr>
              <w:t xml:space="preserve">+41 22 730 </w:t>
            </w:r>
            <w:r w:rsidRPr="001018E1">
              <w:rPr>
                <w:rFonts w:cstheme="minorHAnsi"/>
                <w:color w:val="000000"/>
                <w:sz w:val="22"/>
                <w:szCs w:val="22"/>
              </w:rPr>
              <w:t>5930</w:t>
            </w:r>
          </w:p>
        </w:tc>
        <w:tc>
          <w:tcPr>
            <w:tcW w:w="5081" w:type="dxa"/>
            <w:vMerge/>
          </w:tcPr>
          <w:p w14:paraId="2F310545" w14:textId="3DD9BCD5" w:rsidR="001018E1" w:rsidRPr="001018E1" w:rsidRDefault="001018E1" w:rsidP="00AB663C">
            <w:pPr>
              <w:tabs>
                <w:tab w:val="left" w:pos="4111"/>
              </w:tabs>
              <w:spacing w:before="0"/>
              <w:ind w:left="426" w:hanging="426"/>
              <w:rPr>
                <w:rFonts w:cstheme="minorHAnsi"/>
                <w:sz w:val="22"/>
                <w:szCs w:val="22"/>
              </w:rPr>
            </w:pPr>
          </w:p>
        </w:tc>
      </w:tr>
      <w:tr w:rsidR="001018E1" w:rsidRPr="001018E1" w14:paraId="724FD23E" w14:textId="77777777" w:rsidTr="001018E1">
        <w:trPr>
          <w:cantSplit/>
        </w:trPr>
        <w:tc>
          <w:tcPr>
            <w:tcW w:w="0" w:type="auto"/>
          </w:tcPr>
          <w:p w14:paraId="73149CCD" w14:textId="67DF97F0" w:rsidR="001018E1" w:rsidRPr="001018E1" w:rsidRDefault="001018E1" w:rsidP="001018E1">
            <w:pPr>
              <w:tabs>
                <w:tab w:val="left" w:pos="4111"/>
              </w:tabs>
              <w:spacing w:before="10"/>
              <w:rPr>
                <w:rFonts w:cstheme="minorHAnsi"/>
                <w:sz w:val="22"/>
                <w:szCs w:val="22"/>
              </w:rPr>
            </w:pPr>
            <w:proofErr w:type="gramStart"/>
            <w:r w:rsidRPr="001018E1">
              <w:rPr>
                <w:rFonts w:cstheme="minorHAnsi"/>
                <w:sz w:val="22"/>
                <w:szCs w:val="22"/>
              </w:rPr>
              <w:t>Télécopie:</w:t>
            </w:r>
            <w:proofErr w:type="gramEnd"/>
          </w:p>
        </w:tc>
        <w:tc>
          <w:tcPr>
            <w:tcW w:w="3369" w:type="dxa"/>
          </w:tcPr>
          <w:p w14:paraId="78D06186" w14:textId="07D4D278" w:rsidR="001018E1" w:rsidRPr="001018E1" w:rsidRDefault="001018E1" w:rsidP="00AB663C">
            <w:pPr>
              <w:tabs>
                <w:tab w:val="left" w:pos="4111"/>
              </w:tabs>
              <w:spacing w:before="0"/>
              <w:ind w:left="57"/>
              <w:rPr>
                <w:rFonts w:cstheme="minorHAnsi"/>
                <w:sz w:val="22"/>
                <w:szCs w:val="22"/>
              </w:rPr>
            </w:pPr>
            <w:r w:rsidRPr="001018E1">
              <w:rPr>
                <w:rFonts w:cstheme="minorHAnsi"/>
                <w:sz w:val="22"/>
                <w:szCs w:val="22"/>
              </w:rPr>
              <w:t>+41 22 730 5853</w:t>
            </w:r>
          </w:p>
        </w:tc>
        <w:tc>
          <w:tcPr>
            <w:tcW w:w="5081" w:type="dxa"/>
            <w:vMerge/>
          </w:tcPr>
          <w:p w14:paraId="6D3A5806" w14:textId="709EED55" w:rsidR="001018E1" w:rsidRPr="001018E1" w:rsidRDefault="001018E1" w:rsidP="00AB663C">
            <w:pPr>
              <w:tabs>
                <w:tab w:val="left" w:pos="4111"/>
              </w:tabs>
              <w:spacing w:before="0"/>
              <w:ind w:left="426" w:hanging="426"/>
              <w:rPr>
                <w:rFonts w:cstheme="minorHAnsi"/>
                <w:b/>
                <w:sz w:val="22"/>
                <w:szCs w:val="22"/>
              </w:rPr>
            </w:pPr>
          </w:p>
        </w:tc>
      </w:tr>
      <w:tr w:rsidR="001018E1" w:rsidRPr="001018E1" w14:paraId="030F9AE5" w14:textId="77777777" w:rsidTr="001018E1">
        <w:trPr>
          <w:cantSplit/>
          <w:trHeight w:val="586"/>
        </w:trPr>
        <w:tc>
          <w:tcPr>
            <w:tcW w:w="0" w:type="auto"/>
            <w:tcBorders>
              <w:bottom w:val="nil"/>
            </w:tcBorders>
          </w:tcPr>
          <w:p w14:paraId="7B417C4C" w14:textId="0146160B" w:rsidR="001018E1" w:rsidRPr="001018E1" w:rsidRDefault="001018E1" w:rsidP="001018E1">
            <w:pPr>
              <w:tabs>
                <w:tab w:val="left" w:pos="4111"/>
              </w:tabs>
              <w:spacing w:before="10"/>
              <w:rPr>
                <w:rFonts w:cstheme="minorHAnsi"/>
                <w:sz w:val="22"/>
                <w:szCs w:val="22"/>
              </w:rPr>
            </w:pPr>
            <w:proofErr w:type="gramStart"/>
            <w:r w:rsidRPr="001018E1">
              <w:rPr>
                <w:rFonts w:cstheme="minorHAnsi"/>
                <w:sz w:val="22"/>
                <w:szCs w:val="22"/>
              </w:rPr>
              <w:t>Courriel:</w:t>
            </w:r>
            <w:proofErr w:type="gramEnd"/>
          </w:p>
        </w:tc>
        <w:tc>
          <w:tcPr>
            <w:tcW w:w="3369" w:type="dxa"/>
            <w:tcBorders>
              <w:bottom w:val="nil"/>
            </w:tcBorders>
          </w:tcPr>
          <w:p w14:paraId="1A4A5F7B" w14:textId="78C85DD6" w:rsidR="001018E1" w:rsidRPr="001018E1" w:rsidRDefault="001018E1" w:rsidP="00AB663C">
            <w:pPr>
              <w:tabs>
                <w:tab w:val="left" w:pos="4111"/>
              </w:tabs>
              <w:spacing w:before="0"/>
              <w:ind w:left="57"/>
              <w:rPr>
                <w:rFonts w:cstheme="minorHAnsi"/>
                <w:sz w:val="22"/>
                <w:szCs w:val="22"/>
              </w:rPr>
            </w:pPr>
            <w:hyperlink r:id="rId9" w:history="1">
              <w:r w:rsidRPr="001018E1">
                <w:rPr>
                  <w:rStyle w:val="Hyperlink"/>
                  <w:rFonts w:cstheme="minorHAnsi"/>
                  <w:sz w:val="22"/>
                  <w:szCs w:val="22"/>
                </w:rPr>
                <w:t>tsbfgainn@itu.int</w:t>
              </w:r>
            </w:hyperlink>
          </w:p>
        </w:tc>
        <w:tc>
          <w:tcPr>
            <w:tcW w:w="5081" w:type="dxa"/>
            <w:vMerge/>
            <w:tcBorders>
              <w:bottom w:val="nil"/>
            </w:tcBorders>
          </w:tcPr>
          <w:p w14:paraId="323DAC81" w14:textId="31B8ABBF" w:rsidR="001018E1" w:rsidRPr="001018E1" w:rsidRDefault="001018E1" w:rsidP="00AB663C">
            <w:pPr>
              <w:tabs>
                <w:tab w:val="left" w:pos="4111"/>
              </w:tabs>
              <w:spacing w:before="0"/>
              <w:ind w:left="426" w:hanging="426"/>
              <w:rPr>
                <w:rFonts w:cstheme="minorHAnsi"/>
                <w:b/>
                <w:sz w:val="22"/>
                <w:szCs w:val="22"/>
              </w:rPr>
            </w:pPr>
          </w:p>
        </w:tc>
      </w:tr>
      <w:tr w:rsidR="00AB663C" w:rsidRPr="001018E1" w14:paraId="5435C04A" w14:textId="77777777" w:rsidTr="00C41B89">
        <w:trPr>
          <w:cantSplit/>
          <w:trHeight w:val="397"/>
        </w:trPr>
        <w:tc>
          <w:tcPr>
            <w:tcW w:w="0" w:type="auto"/>
          </w:tcPr>
          <w:p w14:paraId="2A0B9B4F" w14:textId="77777777" w:rsidR="00AB663C" w:rsidRPr="001018E1" w:rsidRDefault="00AB663C" w:rsidP="001018E1">
            <w:pPr>
              <w:tabs>
                <w:tab w:val="left" w:pos="4111"/>
              </w:tabs>
              <w:rPr>
                <w:rFonts w:cstheme="minorHAnsi"/>
                <w:b/>
                <w:bCs/>
                <w:sz w:val="22"/>
                <w:szCs w:val="22"/>
              </w:rPr>
            </w:pPr>
            <w:proofErr w:type="gramStart"/>
            <w:r w:rsidRPr="001018E1">
              <w:rPr>
                <w:rFonts w:cstheme="minorHAnsi"/>
                <w:b/>
                <w:bCs/>
                <w:sz w:val="22"/>
                <w:szCs w:val="22"/>
              </w:rPr>
              <w:t>Objet:</w:t>
            </w:r>
            <w:proofErr w:type="gramEnd"/>
          </w:p>
        </w:tc>
        <w:tc>
          <w:tcPr>
            <w:tcW w:w="0" w:type="auto"/>
            <w:gridSpan w:val="2"/>
          </w:tcPr>
          <w:p w14:paraId="1A51EE75" w14:textId="1F2DAE85" w:rsidR="00AB663C" w:rsidRPr="001018E1" w:rsidRDefault="00AB663C" w:rsidP="00AB663C">
            <w:pPr>
              <w:tabs>
                <w:tab w:val="left" w:pos="4111"/>
              </w:tabs>
              <w:spacing w:after="120"/>
              <w:ind w:left="57"/>
              <w:rPr>
                <w:rFonts w:cstheme="minorHAnsi"/>
                <w:b/>
                <w:bCs/>
                <w:sz w:val="22"/>
                <w:szCs w:val="22"/>
              </w:rPr>
            </w:pPr>
            <w:r w:rsidRPr="001018E1">
              <w:rPr>
                <w:rFonts w:cstheme="minorHAnsi"/>
                <w:b/>
                <w:bCs/>
                <w:color w:val="000000"/>
                <w:sz w:val="22"/>
                <w:szCs w:val="22"/>
              </w:rPr>
              <w:t>Invitation à participer à la troisième réunion du Groupe spécialisé de l'UIT-T sur l'Intelligence artificielle native au service des réseaux de télécommunication (FG</w:t>
            </w:r>
            <w:r w:rsidRPr="001018E1">
              <w:rPr>
                <w:rFonts w:cstheme="minorHAnsi"/>
                <w:b/>
                <w:bCs/>
                <w:color w:val="000000"/>
                <w:sz w:val="22"/>
                <w:szCs w:val="22"/>
              </w:rPr>
              <w:noBreakHyphen/>
              <w:t xml:space="preserve">AINN) et au Build-a-thon organisé sur le </w:t>
            </w:r>
            <w:proofErr w:type="gramStart"/>
            <w:r w:rsidRPr="001018E1">
              <w:rPr>
                <w:rFonts w:cstheme="minorHAnsi"/>
                <w:b/>
                <w:bCs/>
                <w:color w:val="000000"/>
                <w:sz w:val="22"/>
                <w:szCs w:val="22"/>
              </w:rPr>
              <w:t>thème:</w:t>
            </w:r>
            <w:proofErr w:type="gramEnd"/>
            <w:r w:rsidRPr="001018E1">
              <w:rPr>
                <w:rFonts w:cstheme="minorHAnsi"/>
                <w:b/>
                <w:bCs/>
                <w:color w:val="000000"/>
                <w:sz w:val="22"/>
                <w:szCs w:val="22"/>
              </w:rPr>
              <w:t xml:space="preserve"> "Élaborer des validations de concept et des démonstrations pour l'AINN", New Delhi (Inde), 11-13 juin 2025</w:t>
            </w:r>
          </w:p>
        </w:tc>
      </w:tr>
    </w:tbl>
    <w:p w14:paraId="2D1EC328" w14:textId="77777777" w:rsidR="00517A03" w:rsidRPr="001018E1" w:rsidRDefault="00517A03" w:rsidP="001018E1">
      <w:pPr>
        <w:pStyle w:val="Normalaftertitle"/>
        <w:spacing w:before="120"/>
        <w:rPr>
          <w:rFonts w:cstheme="minorHAnsi"/>
          <w:sz w:val="22"/>
          <w:szCs w:val="22"/>
        </w:rPr>
      </w:pPr>
      <w:bookmarkStart w:id="1" w:name="StartTyping_F"/>
      <w:bookmarkEnd w:id="1"/>
      <w:r w:rsidRPr="001018E1">
        <w:rPr>
          <w:rFonts w:cstheme="minorHAnsi"/>
          <w:sz w:val="22"/>
          <w:szCs w:val="22"/>
        </w:rPr>
        <w:t>Madame, Monsieur,</w:t>
      </w:r>
    </w:p>
    <w:p w14:paraId="6E167E2E" w14:textId="509232E4" w:rsidR="00C736E0" w:rsidRPr="001018E1" w:rsidRDefault="00C736E0" w:rsidP="00C736E0">
      <w:pPr>
        <w:rPr>
          <w:rFonts w:cstheme="minorHAnsi"/>
          <w:bCs/>
          <w:sz w:val="22"/>
          <w:szCs w:val="22"/>
        </w:rPr>
      </w:pPr>
      <w:r w:rsidRPr="001018E1">
        <w:rPr>
          <w:rFonts w:cstheme="minorHAnsi"/>
          <w:bCs/>
          <w:sz w:val="22"/>
          <w:szCs w:val="22"/>
        </w:rPr>
        <w:t>1</w:t>
      </w:r>
      <w:r w:rsidRPr="001018E1">
        <w:rPr>
          <w:rFonts w:cstheme="minorHAnsi"/>
          <w:bCs/>
          <w:sz w:val="22"/>
          <w:szCs w:val="22"/>
        </w:rPr>
        <w:tab/>
        <w:t>J</w:t>
      </w:r>
      <w:r w:rsidR="00AB663C" w:rsidRPr="001018E1">
        <w:rPr>
          <w:rFonts w:cstheme="minorHAnsi"/>
          <w:bCs/>
          <w:sz w:val="22"/>
          <w:szCs w:val="22"/>
        </w:rPr>
        <w:t>'</w:t>
      </w:r>
      <w:r w:rsidRPr="001018E1">
        <w:rPr>
          <w:rFonts w:cstheme="minorHAnsi"/>
          <w:bCs/>
          <w:sz w:val="22"/>
          <w:szCs w:val="22"/>
        </w:rPr>
        <w:t>ai l</w:t>
      </w:r>
      <w:r w:rsidR="00AB663C" w:rsidRPr="001018E1">
        <w:rPr>
          <w:rFonts w:cstheme="minorHAnsi"/>
          <w:bCs/>
          <w:sz w:val="22"/>
          <w:szCs w:val="22"/>
        </w:rPr>
        <w:t>'</w:t>
      </w:r>
      <w:r w:rsidRPr="001018E1">
        <w:rPr>
          <w:rFonts w:cstheme="minorHAnsi"/>
          <w:bCs/>
          <w:sz w:val="22"/>
          <w:szCs w:val="22"/>
        </w:rPr>
        <w:t>honneur de vous annoncer qu</w:t>
      </w:r>
      <w:r w:rsidR="00AB663C" w:rsidRPr="001018E1">
        <w:rPr>
          <w:rFonts w:cstheme="minorHAnsi"/>
          <w:bCs/>
          <w:sz w:val="22"/>
          <w:szCs w:val="22"/>
        </w:rPr>
        <w:t>'</w:t>
      </w:r>
      <w:r w:rsidRPr="001018E1">
        <w:rPr>
          <w:rFonts w:cstheme="minorHAnsi"/>
          <w:bCs/>
          <w:sz w:val="22"/>
          <w:szCs w:val="22"/>
        </w:rPr>
        <w:t>à l</w:t>
      </w:r>
      <w:r w:rsidR="00AB663C" w:rsidRPr="001018E1">
        <w:rPr>
          <w:rFonts w:cstheme="minorHAnsi"/>
          <w:bCs/>
          <w:sz w:val="22"/>
          <w:szCs w:val="22"/>
        </w:rPr>
        <w:t>'</w:t>
      </w:r>
      <w:r w:rsidRPr="001018E1">
        <w:rPr>
          <w:rFonts w:cstheme="minorHAnsi"/>
          <w:bCs/>
          <w:sz w:val="22"/>
          <w:szCs w:val="22"/>
        </w:rPr>
        <w:t xml:space="preserve">aimable invitation du Département des télécommunications du </w:t>
      </w:r>
      <w:proofErr w:type="gramStart"/>
      <w:r w:rsidRPr="001018E1">
        <w:rPr>
          <w:rFonts w:cstheme="minorHAnsi"/>
          <w:bCs/>
          <w:sz w:val="22"/>
          <w:szCs w:val="22"/>
        </w:rPr>
        <w:t>Ministère des communications</w:t>
      </w:r>
      <w:proofErr w:type="gramEnd"/>
      <w:r w:rsidRPr="001018E1">
        <w:rPr>
          <w:rFonts w:cstheme="minorHAnsi"/>
          <w:bCs/>
          <w:sz w:val="22"/>
          <w:szCs w:val="22"/>
        </w:rPr>
        <w:t xml:space="preserve"> (DOT) de l</w:t>
      </w:r>
      <w:r w:rsidR="00AB663C" w:rsidRPr="001018E1">
        <w:rPr>
          <w:rFonts w:cstheme="minorHAnsi"/>
          <w:bCs/>
          <w:sz w:val="22"/>
          <w:szCs w:val="22"/>
        </w:rPr>
        <w:t>'</w:t>
      </w:r>
      <w:r w:rsidRPr="001018E1">
        <w:rPr>
          <w:rFonts w:cstheme="minorHAnsi"/>
          <w:bCs/>
          <w:sz w:val="22"/>
          <w:szCs w:val="22"/>
        </w:rPr>
        <w:t xml:space="preserve">Inde, la troisième réunion du </w:t>
      </w:r>
      <w:hyperlink r:id="rId10" w:anchor="/fr" w:history="1">
        <w:r w:rsidRPr="001018E1">
          <w:rPr>
            <w:rStyle w:val="Hyperlink"/>
            <w:rFonts w:cstheme="minorHAnsi"/>
            <w:b/>
            <w:sz w:val="22"/>
            <w:szCs w:val="22"/>
          </w:rPr>
          <w:t>Groupe spécialisé de l</w:t>
        </w:r>
        <w:r w:rsidR="00AB663C" w:rsidRPr="001018E1">
          <w:rPr>
            <w:rStyle w:val="Hyperlink"/>
            <w:rFonts w:cstheme="minorHAnsi"/>
            <w:b/>
            <w:sz w:val="22"/>
            <w:szCs w:val="22"/>
          </w:rPr>
          <w:t>'</w:t>
        </w:r>
        <w:r w:rsidRPr="001018E1">
          <w:rPr>
            <w:rStyle w:val="Hyperlink"/>
            <w:rFonts w:cstheme="minorHAnsi"/>
            <w:b/>
            <w:sz w:val="22"/>
            <w:szCs w:val="22"/>
          </w:rPr>
          <w:t>UIT-T sur l'Intelligence artificielle native au service des réseaux de télécommunication</w:t>
        </w:r>
      </w:hyperlink>
      <w:r w:rsidRPr="001018E1">
        <w:rPr>
          <w:rFonts w:cstheme="minorHAnsi"/>
          <w:b/>
          <w:sz w:val="22"/>
          <w:szCs w:val="22"/>
        </w:rPr>
        <w:t xml:space="preserve"> (FG-AINN)</w:t>
      </w:r>
      <w:r w:rsidRPr="001018E1">
        <w:rPr>
          <w:rFonts w:cstheme="minorHAnsi"/>
          <w:bCs/>
          <w:sz w:val="22"/>
          <w:szCs w:val="22"/>
        </w:rPr>
        <w:t xml:space="preserve"> se tiendra les 11 et 12 juin 2025, à New Delhi (Inde).</w:t>
      </w:r>
    </w:p>
    <w:p w14:paraId="6FF3AF55" w14:textId="399BE80C" w:rsidR="00C736E0" w:rsidRPr="001018E1" w:rsidRDefault="00C736E0" w:rsidP="00C736E0">
      <w:pPr>
        <w:rPr>
          <w:rFonts w:cstheme="minorHAnsi"/>
          <w:bCs/>
          <w:sz w:val="22"/>
          <w:szCs w:val="22"/>
        </w:rPr>
      </w:pPr>
      <w:r w:rsidRPr="001018E1">
        <w:rPr>
          <w:rFonts w:cstheme="minorHAnsi"/>
          <w:bCs/>
          <w:sz w:val="22"/>
          <w:szCs w:val="22"/>
        </w:rPr>
        <w:t>2</w:t>
      </w:r>
      <w:r w:rsidRPr="001018E1">
        <w:rPr>
          <w:rFonts w:cstheme="minorHAnsi"/>
          <w:bCs/>
          <w:sz w:val="22"/>
          <w:szCs w:val="22"/>
        </w:rPr>
        <w:tab/>
        <w:t>La réunion sera suivie d</w:t>
      </w:r>
      <w:r w:rsidR="00AB663C" w:rsidRPr="001018E1">
        <w:rPr>
          <w:rFonts w:cstheme="minorHAnsi"/>
          <w:bCs/>
          <w:sz w:val="22"/>
          <w:szCs w:val="22"/>
        </w:rPr>
        <w:t>'</w:t>
      </w:r>
      <w:r w:rsidRPr="001018E1">
        <w:rPr>
          <w:rFonts w:cstheme="minorHAnsi"/>
          <w:bCs/>
          <w:sz w:val="22"/>
          <w:szCs w:val="22"/>
        </w:rPr>
        <w:t xml:space="preserve">un </w:t>
      </w:r>
      <w:r w:rsidRPr="001018E1">
        <w:rPr>
          <w:rFonts w:cstheme="minorHAnsi"/>
          <w:b/>
          <w:bCs/>
          <w:sz w:val="22"/>
          <w:szCs w:val="22"/>
        </w:rPr>
        <w:t xml:space="preserve">Build-a-thon sur le </w:t>
      </w:r>
      <w:proofErr w:type="gramStart"/>
      <w:r w:rsidRPr="001018E1">
        <w:rPr>
          <w:rFonts w:cstheme="minorHAnsi"/>
          <w:b/>
          <w:bCs/>
          <w:sz w:val="22"/>
          <w:szCs w:val="22"/>
        </w:rPr>
        <w:t>thème:</w:t>
      </w:r>
      <w:proofErr w:type="gramEnd"/>
      <w:r w:rsidRPr="001018E1">
        <w:rPr>
          <w:rFonts w:cstheme="minorHAnsi"/>
          <w:b/>
          <w:bCs/>
          <w:sz w:val="22"/>
          <w:szCs w:val="22"/>
        </w:rPr>
        <w:t xml:space="preserve"> "Élaborer des validations de concept et des démonstrations pour l</w:t>
      </w:r>
      <w:r w:rsidR="00AB663C" w:rsidRPr="001018E1">
        <w:rPr>
          <w:rFonts w:cstheme="minorHAnsi"/>
          <w:b/>
          <w:bCs/>
          <w:sz w:val="22"/>
          <w:szCs w:val="22"/>
        </w:rPr>
        <w:t>'</w:t>
      </w:r>
      <w:r w:rsidRPr="001018E1">
        <w:rPr>
          <w:rFonts w:cstheme="minorHAnsi"/>
          <w:b/>
          <w:bCs/>
          <w:sz w:val="22"/>
          <w:szCs w:val="22"/>
        </w:rPr>
        <w:t>AINN"</w:t>
      </w:r>
      <w:r w:rsidRPr="001018E1">
        <w:rPr>
          <w:rFonts w:cstheme="minorHAnsi"/>
          <w:bCs/>
          <w:sz w:val="22"/>
          <w:szCs w:val="22"/>
        </w:rPr>
        <w:t xml:space="preserve">, le 13 juin 2025.Ces deux manifestations se dérouleront dans les locaux du </w:t>
      </w:r>
      <w:r w:rsidRPr="001018E1">
        <w:rPr>
          <w:rFonts w:cstheme="minorHAnsi"/>
          <w:b/>
          <w:bCs/>
          <w:sz w:val="22"/>
          <w:szCs w:val="22"/>
        </w:rPr>
        <w:t>Vigyan Bhawan</w:t>
      </w:r>
      <w:r w:rsidRPr="001018E1">
        <w:rPr>
          <w:rFonts w:cstheme="minorHAnsi"/>
          <w:bCs/>
          <w:sz w:val="22"/>
          <w:szCs w:val="22"/>
        </w:rPr>
        <w:t xml:space="preserve"> situé sur </w:t>
      </w:r>
      <w:r w:rsidRPr="001018E1">
        <w:rPr>
          <w:rFonts w:cstheme="minorHAnsi"/>
          <w:b/>
          <w:bCs/>
          <w:sz w:val="22"/>
          <w:szCs w:val="22"/>
        </w:rPr>
        <w:t>Maulana Azad Road, New Delhi-110003, Inde</w:t>
      </w:r>
      <w:r w:rsidRPr="001018E1">
        <w:rPr>
          <w:rFonts w:cstheme="minorHAnsi"/>
          <w:bCs/>
          <w:sz w:val="22"/>
          <w:szCs w:val="22"/>
        </w:rPr>
        <w:t>.</w:t>
      </w:r>
    </w:p>
    <w:p w14:paraId="729A3D32" w14:textId="0FC5BABA" w:rsidR="00C736E0" w:rsidRPr="001018E1" w:rsidRDefault="00C736E0" w:rsidP="00C736E0">
      <w:pPr>
        <w:rPr>
          <w:rFonts w:cstheme="minorHAnsi"/>
          <w:bCs/>
          <w:sz w:val="22"/>
          <w:szCs w:val="22"/>
        </w:rPr>
      </w:pPr>
      <w:r w:rsidRPr="001018E1">
        <w:rPr>
          <w:rFonts w:cstheme="minorHAnsi"/>
          <w:bCs/>
          <w:sz w:val="22"/>
          <w:szCs w:val="22"/>
        </w:rPr>
        <w:t>3</w:t>
      </w:r>
      <w:r w:rsidRPr="001018E1">
        <w:rPr>
          <w:rFonts w:cstheme="minorHAnsi"/>
          <w:bCs/>
          <w:sz w:val="22"/>
          <w:szCs w:val="22"/>
        </w:rPr>
        <w:tab/>
        <w:t>La réunion débutera à 9 h</w:t>
      </w:r>
      <w:r w:rsidR="00AB663C" w:rsidRPr="001018E1">
        <w:rPr>
          <w:rFonts w:cstheme="minorHAnsi"/>
          <w:bCs/>
          <w:sz w:val="22"/>
          <w:szCs w:val="22"/>
        </w:rPr>
        <w:t>eures</w:t>
      </w:r>
      <w:r w:rsidRPr="001018E1">
        <w:rPr>
          <w:rFonts w:cstheme="minorHAnsi"/>
          <w:bCs/>
          <w:sz w:val="22"/>
          <w:szCs w:val="22"/>
        </w:rPr>
        <w:t xml:space="preserve"> le 11 juin 2025, et l'enregistrement ouvrira à 8 h</w:t>
      </w:r>
      <w:r w:rsidR="00AB663C" w:rsidRPr="001018E1">
        <w:rPr>
          <w:rFonts w:cstheme="minorHAnsi"/>
          <w:bCs/>
          <w:sz w:val="22"/>
          <w:szCs w:val="22"/>
        </w:rPr>
        <w:t>eures</w:t>
      </w:r>
      <w:r w:rsidRPr="001018E1">
        <w:rPr>
          <w:rFonts w:cstheme="minorHAnsi"/>
          <w:bCs/>
          <w:sz w:val="22"/>
          <w:szCs w:val="22"/>
        </w:rPr>
        <w:t xml:space="preserve"> le même jour. De plus amples précisions sur l'organisation pratique de la réunion seront disponibles sur la </w:t>
      </w:r>
      <w:hyperlink r:id="rId11" w:anchor="/fr" w:history="1">
        <w:r w:rsidRPr="001018E1">
          <w:rPr>
            <w:rStyle w:val="Hyperlink"/>
            <w:rFonts w:cstheme="minorHAnsi"/>
            <w:bCs/>
            <w:sz w:val="22"/>
            <w:szCs w:val="22"/>
          </w:rPr>
          <w:t>page web du Groupe spécialisé</w:t>
        </w:r>
      </w:hyperlink>
      <w:r w:rsidRPr="001018E1">
        <w:rPr>
          <w:rFonts w:cstheme="minorHAnsi"/>
          <w:bCs/>
          <w:sz w:val="22"/>
          <w:szCs w:val="22"/>
        </w:rPr>
        <w:t>. Les séances se dérouleront en anglais seulement.</w:t>
      </w:r>
    </w:p>
    <w:p w14:paraId="222AA7F8" w14:textId="77777777" w:rsidR="00C736E0" w:rsidRPr="001018E1" w:rsidRDefault="00C736E0" w:rsidP="00C736E0">
      <w:pPr>
        <w:rPr>
          <w:rFonts w:cstheme="minorHAnsi"/>
          <w:bCs/>
          <w:sz w:val="22"/>
          <w:szCs w:val="22"/>
        </w:rPr>
      </w:pPr>
      <w:r w:rsidRPr="001018E1">
        <w:rPr>
          <w:rFonts w:cstheme="minorHAnsi"/>
          <w:bCs/>
          <w:sz w:val="22"/>
          <w:szCs w:val="22"/>
        </w:rPr>
        <w:t>4</w:t>
      </w:r>
      <w:r w:rsidRPr="001018E1">
        <w:rPr>
          <w:rFonts w:cstheme="minorHAnsi"/>
          <w:bCs/>
          <w:sz w:val="22"/>
          <w:szCs w:val="22"/>
        </w:rPr>
        <w:tab/>
        <w:t xml:space="preserve">Les objectifs du Build-a-thon sont les </w:t>
      </w:r>
      <w:proofErr w:type="gramStart"/>
      <w:r w:rsidRPr="001018E1">
        <w:rPr>
          <w:rFonts w:cstheme="minorHAnsi"/>
          <w:bCs/>
          <w:sz w:val="22"/>
          <w:szCs w:val="22"/>
        </w:rPr>
        <w:t>suivants:</w:t>
      </w:r>
      <w:proofErr w:type="gramEnd"/>
    </w:p>
    <w:p w14:paraId="597A91DC" w14:textId="0F318D2E" w:rsidR="00C736E0" w:rsidRPr="001018E1" w:rsidRDefault="00C736E0" w:rsidP="00C736E0">
      <w:pPr>
        <w:pStyle w:val="enumlev1"/>
        <w:rPr>
          <w:rFonts w:cstheme="minorHAnsi"/>
          <w:sz w:val="22"/>
          <w:szCs w:val="22"/>
        </w:rPr>
      </w:pPr>
      <w:r w:rsidRPr="001018E1">
        <w:rPr>
          <w:rFonts w:cstheme="minorHAnsi"/>
          <w:sz w:val="22"/>
          <w:szCs w:val="22"/>
        </w:rPr>
        <w:t>•</w:t>
      </w:r>
      <w:r w:rsidRPr="001018E1">
        <w:rPr>
          <w:rFonts w:cstheme="minorHAnsi"/>
          <w:sz w:val="22"/>
          <w:szCs w:val="22"/>
        </w:rPr>
        <w:tab/>
        <w:t>Analyser les cas d</w:t>
      </w:r>
      <w:r w:rsidR="00AB663C" w:rsidRPr="001018E1">
        <w:rPr>
          <w:rFonts w:cstheme="minorHAnsi"/>
          <w:sz w:val="22"/>
          <w:szCs w:val="22"/>
        </w:rPr>
        <w:t>'</w:t>
      </w:r>
      <w:r w:rsidRPr="001018E1">
        <w:rPr>
          <w:rFonts w:cstheme="minorHAnsi"/>
          <w:sz w:val="22"/>
          <w:szCs w:val="22"/>
        </w:rPr>
        <w:t>utilisation de l</w:t>
      </w:r>
      <w:r w:rsidR="00AB663C" w:rsidRPr="001018E1">
        <w:rPr>
          <w:rFonts w:cstheme="minorHAnsi"/>
          <w:sz w:val="22"/>
          <w:szCs w:val="22"/>
        </w:rPr>
        <w:t>'</w:t>
      </w:r>
      <w:r w:rsidRPr="001018E1">
        <w:rPr>
          <w:rFonts w:cstheme="minorHAnsi"/>
          <w:sz w:val="22"/>
          <w:szCs w:val="22"/>
        </w:rPr>
        <w:t>AINN et les exigences applicables, et favoriser la sensibilisation.</w:t>
      </w:r>
    </w:p>
    <w:p w14:paraId="4E3A8AAD" w14:textId="10E2632E" w:rsidR="00C736E0" w:rsidRPr="001018E1" w:rsidRDefault="00C736E0" w:rsidP="00C736E0">
      <w:pPr>
        <w:pStyle w:val="enumlev1"/>
        <w:rPr>
          <w:rFonts w:cstheme="minorHAnsi"/>
          <w:sz w:val="22"/>
          <w:szCs w:val="22"/>
        </w:rPr>
      </w:pPr>
      <w:r w:rsidRPr="001018E1">
        <w:rPr>
          <w:rFonts w:cstheme="minorHAnsi"/>
          <w:sz w:val="22"/>
          <w:szCs w:val="22"/>
        </w:rPr>
        <w:t>•</w:t>
      </w:r>
      <w:r w:rsidRPr="001018E1">
        <w:rPr>
          <w:rFonts w:cstheme="minorHAnsi"/>
          <w:sz w:val="22"/>
          <w:szCs w:val="22"/>
        </w:rPr>
        <w:tab/>
        <w:t>Réaliser une analyse pratique de la faisabilité et des compromis au moyen de validations de concept pour des cas d</w:t>
      </w:r>
      <w:r w:rsidR="00AB663C" w:rsidRPr="001018E1">
        <w:rPr>
          <w:rFonts w:cstheme="minorHAnsi"/>
          <w:sz w:val="22"/>
          <w:szCs w:val="22"/>
        </w:rPr>
        <w:t>'</w:t>
      </w:r>
      <w:r w:rsidRPr="001018E1">
        <w:rPr>
          <w:rFonts w:cstheme="minorHAnsi"/>
          <w:sz w:val="22"/>
          <w:szCs w:val="22"/>
        </w:rPr>
        <w:t>utilisation spécifiques, ou de concepts architecturaux.</w:t>
      </w:r>
    </w:p>
    <w:p w14:paraId="36E6DBF3" w14:textId="2B903878" w:rsidR="00C736E0" w:rsidRPr="001018E1" w:rsidRDefault="00C736E0" w:rsidP="00C736E0">
      <w:pPr>
        <w:pStyle w:val="enumlev1"/>
        <w:rPr>
          <w:rFonts w:cstheme="minorHAnsi"/>
          <w:sz w:val="22"/>
          <w:szCs w:val="22"/>
        </w:rPr>
      </w:pPr>
      <w:r w:rsidRPr="001018E1">
        <w:rPr>
          <w:rFonts w:cstheme="minorHAnsi"/>
          <w:sz w:val="22"/>
          <w:szCs w:val="22"/>
        </w:rPr>
        <w:t>•</w:t>
      </w:r>
      <w:r w:rsidRPr="001018E1">
        <w:rPr>
          <w:rFonts w:cstheme="minorHAnsi"/>
          <w:sz w:val="22"/>
          <w:szCs w:val="22"/>
        </w:rPr>
        <w:tab/>
        <w:t>Sur la base d</w:t>
      </w:r>
      <w:r w:rsidR="00AB663C" w:rsidRPr="001018E1">
        <w:rPr>
          <w:rFonts w:cstheme="minorHAnsi"/>
          <w:sz w:val="22"/>
          <w:szCs w:val="22"/>
        </w:rPr>
        <w:t>'</w:t>
      </w:r>
      <w:r w:rsidRPr="001018E1">
        <w:rPr>
          <w:rFonts w:cstheme="minorHAnsi"/>
          <w:sz w:val="22"/>
          <w:szCs w:val="22"/>
        </w:rPr>
        <w:t>un atelier, apporter de nouveaux éléments au Groupe spécialisé en ce qui concerne les lacunes, les cas d</w:t>
      </w:r>
      <w:r w:rsidR="00AB663C" w:rsidRPr="001018E1">
        <w:rPr>
          <w:rFonts w:cstheme="minorHAnsi"/>
          <w:sz w:val="22"/>
          <w:szCs w:val="22"/>
        </w:rPr>
        <w:t>'</w:t>
      </w:r>
      <w:r w:rsidRPr="001018E1">
        <w:rPr>
          <w:rFonts w:cstheme="minorHAnsi"/>
          <w:sz w:val="22"/>
          <w:szCs w:val="22"/>
        </w:rPr>
        <w:t>utilisation, l</w:t>
      </w:r>
      <w:r w:rsidR="00AB663C" w:rsidRPr="001018E1">
        <w:rPr>
          <w:rFonts w:cstheme="minorHAnsi"/>
          <w:sz w:val="22"/>
          <w:szCs w:val="22"/>
        </w:rPr>
        <w:t>'</w:t>
      </w:r>
      <w:r w:rsidRPr="001018E1">
        <w:rPr>
          <w:rFonts w:cstheme="minorHAnsi"/>
          <w:sz w:val="22"/>
          <w:szCs w:val="22"/>
        </w:rPr>
        <w:t>architecture et la validation de concept.</w:t>
      </w:r>
    </w:p>
    <w:p w14:paraId="5190CF98" w14:textId="7B41327F" w:rsidR="00C736E0" w:rsidRPr="001018E1" w:rsidRDefault="00C736E0" w:rsidP="00C736E0">
      <w:pPr>
        <w:pStyle w:val="enumlev1"/>
        <w:rPr>
          <w:rFonts w:cstheme="minorHAnsi"/>
          <w:sz w:val="22"/>
          <w:szCs w:val="22"/>
        </w:rPr>
      </w:pPr>
      <w:r w:rsidRPr="001018E1">
        <w:rPr>
          <w:rFonts w:cstheme="minorHAnsi"/>
          <w:sz w:val="22"/>
          <w:szCs w:val="22"/>
        </w:rPr>
        <w:t>•</w:t>
      </w:r>
      <w:r w:rsidRPr="001018E1">
        <w:rPr>
          <w:rFonts w:cstheme="minorHAnsi"/>
          <w:sz w:val="22"/>
          <w:szCs w:val="22"/>
        </w:rPr>
        <w:tab/>
        <w:t>Nouer des discussions et des collaborations avec les parties prenantes pour faire progresser les réseaux fondés sur l'intelligence artificielle native, en particulier dans le cadre d</w:t>
      </w:r>
      <w:r w:rsidR="00AB663C" w:rsidRPr="001018E1">
        <w:rPr>
          <w:rFonts w:cstheme="minorHAnsi"/>
          <w:sz w:val="22"/>
          <w:szCs w:val="22"/>
        </w:rPr>
        <w:t>'</w:t>
      </w:r>
      <w:r w:rsidRPr="001018E1">
        <w:rPr>
          <w:rFonts w:cstheme="minorHAnsi"/>
          <w:sz w:val="22"/>
          <w:szCs w:val="22"/>
        </w:rPr>
        <w:t>une activité de codage participative sous la forme d'un Build-a-thon.</w:t>
      </w:r>
    </w:p>
    <w:p w14:paraId="3B78DDA6" w14:textId="6DD5FC0A" w:rsidR="00C736E0" w:rsidRPr="001018E1" w:rsidRDefault="00C736E0" w:rsidP="00C736E0">
      <w:pPr>
        <w:pStyle w:val="enumlev1"/>
        <w:rPr>
          <w:rFonts w:cstheme="minorHAnsi"/>
          <w:sz w:val="22"/>
          <w:szCs w:val="22"/>
        </w:rPr>
      </w:pPr>
      <w:r w:rsidRPr="001018E1">
        <w:rPr>
          <w:rFonts w:cstheme="minorHAnsi"/>
          <w:sz w:val="22"/>
          <w:szCs w:val="22"/>
        </w:rPr>
        <w:t>•</w:t>
      </w:r>
      <w:r w:rsidRPr="001018E1">
        <w:rPr>
          <w:rFonts w:cstheme="minorHAnsi"/>
          <w:sz w:val="22"/>
          <w:szCs w:val="22"/>
        </w:rPr>
        <w:tab/>
        <w:t>Offrir une expérience pratique dans le domaine des innovations en matière de réseaux fondées sur l</w:t>
      </w:r>
      <w:r w:rsidR="00AB663C" w:rsidRPr="001018E1">
        <w:rPr>
          <w:rFonts w:cstheme="minorHAnsi"/>
          <w:sz w:val="22"/>
          <w:szCs w:val="22"/>
        </w:rPr>
        <w:t>'</w:t>
      </w:r>
      <w:r w:rsidRPr="001018E1">
        <w:rPr>
          <w:rFonts w:cstheme="minorHAnsi"/>
          <w:sz w:val="22"/>
          <w:szCs w:val="22"/>
        </w:rPr>
        <w:t>IA.</w:t>
      </w:r>
    </w:p>
    <w:p w14:paraId="26DC0492" w14:textId="1D9338E7" w:rsidR="00C736E0" w:rsidRPr="001018E1" w:rsidRDefault="00C736E0" w:rsidP="00C736E0">
      <w:pPr>
        <w:rPr>
          <w:rFonts w:cstheme="minorHAnsi"/>
          <w:bCs/>
          <w:sz w:val="22"/>
          <w:szCs w:val="22"/>
        </w:rPr>
      </w:pPr>
      <w:r w:rsidRPr="001018E1">
        <w:rPr>
          <w:rFonts w:cstheme="minorHAnsi"/>
          <w:bCs/>
          <w:sz w:val="22"/>
          <w:szCs w:val="22"/>
        </w:rPr>
        <w:t>Cette manifestation servira de tremplin pour amener les chercheurs, les professionnels du secteur et les décideurs à stimuler l</w:t>
      </w:r>
      <w:r w:rsidR="00AB663C" w:rsidRPr="001018E1">
        <w:rPr>
          <w:rFonts w:cstheme="minorHAnsi"/>
          <w:bCs/>
          <w:sz w:val="22"/>
          <w:szCs w:val="22"/>
        </w:rPr>
        <w:t>'</w:t>
      </w:r>
      <w:r w:rsidRPr="001018E1">
        <w:rPr>
          <w:rFonts w:cstheme="minorHAnsi"/>
          <w:bCs/>
          <w:sz w:val="22"/>
          <w:szCs w:val="22"/>
        </w:rPr>
        <w:t xml:space="preserve">innovation dans le domaine des réseaux fondés sur l'intelligence artificielle native. Le Build-a-thon comprendra des séances interactives pour les participants, en présentiel et à distance, qui </w:t>
      </w:r>
      <w:r w:rsidRPr="001018E1">
        <w:rPr>
          <w:rFonts w:cstheme="minorHAnsi"/>
          <w:bCs/>
          <w:sz w:val="22"/>
          <w:szCs w:val="22"/>
        </w:rPr>
        <w:lastRenderedPageBreak/>
        <w:t>seront l</w:t>
      </w:r>
      <w:r w:rsidR="00AB663C" w:rsidRPr="001018E1">
        <w:rPr>
          <w:rFonts w:cstheme="minorHAnsi"/>
          <w:bCs/>
          <w:sz w:val="22"/>
          <w:szCs w:val="22"/>
        </w:rPr>
        <w:t>'</w:t>
      </w:r>
      <w:r w:rsidRPr="001018E1">
        <w:rPr>
          <w:rFonts w:cstheme="minorHAnsi"/>
          <w:bCs/>
          <w:sz w:val="22"/>
          <w:szCs w:val="22"/>
        </w:rPr>
        <w:t>occasion pour les experts de mener des discussions et de présenter des exposés dans les domaines de l</w:t>
      </w:r>
      <w:r w:rsidR="00AB663C" w:rsidRPr="001018E1">
        <w:rPr>
          <w:rFonts w:cstheme="minorHAnsi"/>
          <w:bCs/>
          <w:sz w:val="22"/>
          <w:szCs w:val="22"/>
        </w:rPr>
        <w:t>'</w:t>
      </w:r>
      <w:r w:rsidRPr="001018E1">
        <w:rPr>
          <w:rFonts w:cstheme="minorHAnsi"/>
          <w:bCs/>
          <w:sz w:val="22"/>
          <w:szCs w:val="22"/>
        </w:rPr>
        <w:t>AINN.</w:t>
      </w:r>
    </w:p>
    <w:p w14:paraId="61A811A8" w14:textId="5573CE33" w:rsidR="00C736E0" w:rsidRPr="001018E1" w:rsidRDefault="00C736E0" w:rsidP="00C736E0">
      <w:pPr>
        <w:rPr>
          <w:rFonts w:cstheme="minorHAnsi"/>
          <w:bCs/>
          <w:sz w:val="22"/>
          <w:szCs w:val="22"/>
        </w:rPr>
      </w:pPr>
      <w:r w:rsidRPr="001018E1">
        <w:rPr>
          <w:rFonts w:cstheme="minorHAnsi"/>
          <w:bCs/>
          <w:sz w:val="22"/>
          <w:szCs w:val="22"/>
        </w:rPr>
        <w:t>5</w:t>
      </w:r>
      <w:r w:rsidRPr="001018E1">
        <w:rPr>
          <w:rFonts w:cstheme="minorHAnsi"/>
          <w:bCs/>
          <w:sz w:val="22"/>
          <w:szCs w:val="22"/>
        </w:rPr>
        <w:tab/>
        <w:t>L</w:t>
      </w:r>
      <w:r w:rsidR="00AB663C" w:rsidRPr="001018E1">
        <w:rPr>
          <w:rFonts w:cstheme="minorHAnsi"/>
          <w:bCs/>
          <w:sz w:val="22"/>
          <w:szCs w:val="22"/>
        </w:rPr>
        <w:t>'</w:t>
      </w:r>
      <w:r w:rsidRPr="001018E1">
        <w:rPr>
          <w:rFonts w:cstheme="minorHAnsi"/>
          <w:bCs/>
          <w:sz w:val="22"/>
          <w:szCs w:val="22"/>
        </w:rPr>
        <w:t>objectif de cette réunion est d</w:t>
      </w:r>
      <w:r w:rsidR="00AB663C" w:rsidRPr="001018E1">
        <w:rPr>
          <w:rFonts w:cstheme="minorHAnsi"/>
          <w:bCs/>
          <w:sz w:val="22"/>
          <w:szCs w:val="22"/>
        </w:rPr>
        <w:t>'</w:t>
      </w:r>
      <w:r w:rsidRPr="001018E1">
        <w:rPr>
          <w:rFonts w:cstheme="minorHAnsi"/>
          <w:bCs/>
          <w:sz w:val="22"/>
          <w:szCs w:val="22"/>
        </w:rPr>
        <w:t>examiner les contributions écrites et de progresser dans l</w:t>
      </w:r>
      <w:r w:rsidR="00AB663C" w:rsidRPr="001018E1">
        <w:rPr>
          <w:rFonts w:cstheme="minorHAnsi"/>
          <w:bCs/>
          <w:sz w:val="22"/>
          <w:szCs w:val="22"/>
        </w:rPr>
        <w:t>'</w:t>
      </w:r>
      <w:r w:rsidRPr="001018E1">
        <w:rPr>
          <w:rFonts w:cstheme="minorHAnsi"/>
          <w:bCs/>
          <w:sz w:val="22"/>
          <w:szCs w:val="22"/>
        </w:rPr>
        <w:t xml:space="preserve">élaboration des produits attendus. Les documents, les modalités de participation à distance et d'autres informations connexes relatives à la réunion seront disponibles sur la </w:t>
      </w:r>
      <w:hyperlink r:id="rId12" w:anchor="/fr" w:history="1">
        <w:r w:rsidRPr="001018E1">
          <w:rPr>
            <w:rStyle w:val="Hyperlink"/>
            <w:rFonts w:cstheme="minorHAnsi"/>
            <w:bCs/>
            <w:sz w:val="22"/>
            <w:szCs w:val="22"/>
          </w:rPr>
          <w:t>page web du Groupe</w:t>
        </w:r>
        <w:r w:rsidR="003603A4" w:rsidRPr="001018E1">
          <w:rPr>
            <w:rStyle w:val="Hyperlink"/>
            <w:rFonts w:cstheme="minorHAnsi"/>
            <w:bCs/>
            <w:sz w:val="22"/>
            <w:szCs w:val="22"/>
          </w:rPr>
          <w:t> </w:t>
        </w:r>
        <w:r w:rsidRPr="001018E1">
          <w:rPr>
            <w:rStyle w:val="Hyperlink"/>
            <w:rFonts w:cstheme="minorHAnsi"/>
            <w:bCs/>
            <w:sz w:val="22"/>
            <w:szCs w:val="22"/>
          </w:rPr>
          <w:t>FG-AINN</w:t>
        </w:r>
      </w:hyperlink>
      <w:r w:rsidRPr="001018E1">
        <w:rPr>
          <w:rFonts w:cstheme="minorHAnsi"/>
          <w:bCs/>
          <w:sz w:val="22"/>
          <w:szCs w:val="22"/>
        </w:rPr>
        <w:t>.</w:t>
      </w:r>
    </w:p>
    <w:p w14:paraId="07BA31DA" w14:textId="5A95DD07" w:rsidR="00C736E0" w:rsidRPr="001018E1" w:rsidRDefault="00C736E0" w:rsidP="00C736E0">
      <w:pPr>
        <w:rPr>
          <w:rFonts w:cstheme="minorHAnsi"/>
          <w:bCs/>
          <w:sz w:val="22"/>
          <w:szCs w:val="22"/>
        </w:rPr>
      </w:pPr>
      <w:r w:rsidRPr="001018E1">
        <w:rPr>
          <w:rFonts w:cstheme="minorHAnsi"/>
          <w:bCs/>
          <w:sz w:val="22"/>
          <w:szCs w:val="22"/>
        </w:rPr>
        <w:t>Les contributions écrites sont particulièrement utiles pour permettre au groupe d'atteindre ses objectifs et sont vivement encouragées en vue de faire progresser les travaux du Groupe FG-AINN. Elles doivent être soumises au secrétariat (</w:t>
      </w:r>
      <w:hyperlink r:id="rId13" w:history="1">
        <w:r w:rsidRPr="001018E1">
          <w:rPr>
            <w:rStyle w:val="Hyperlink"/>
            <w:rFonts w:cstheme="minorHAnsi"/>
            <w:bCs/>
            <w:sz w:val="22"/>
            <w:szCs w:val="22"/>
          </w:rPr>
          <w:t>tsbfgainn@itu.int</w:t>
        </w:r>
      </w:hyperlink>
      <w:r w:rsidRPr="001018E1">
        <w:rPr>
          <w:rFonts w:cstheme="minorHAnsi"/>
          <w:bCs/>
          <w:sz w:val="22"/>
          <w:szCs w:val="22"/>
        </w:rPr>
        <w:t>) sous forme électronique. Les gabarits à utiliser se trouvent sur la page d'accueil du Groupe FG-AINN. La date limite de soumission des contributions à la réunion est le</w:t>
      </w:r>
      <w:r w:rsidRPr="001018E1">
        <w:rPr>
          <w:rFonts w:cstheme="minorHAnsi"/>
          <w:b/>
          <w:bCs/>
          <w:sz w:val="22"/>
          <w:szCs w:val="22"/>
        </w:rPr>
        <w:t xml:space="preserve"> 4 juin 2025.</w:t>
      </w:r>
    </w:p>
    <w:p w14:paraId="0D17272E" w14:textId="29BA4AC3" w:rsidR="00C736E0" w:rsidRPr="001018E1" w:rsidRDefault="00C736E0" w:rsidP="00C736E0">
      <w:pPr>
        <w:rPr>
          <w:rFonts w:cstheme="minorHAnsi"/>
          <w:bCs/>
          <w:sz w:val="22"/>
          <w:szCs w:val="22"/>
        </w:rPr>
      </w:pPr>
      <w:r w:rsidRPr="001018E1">
        <w:rPr>
          <w:rFonts w:cstheme="minorHAnsi"/>
          <w:bCs/>
          <w:sz w:val="22"/>
          <w:szCs w:val="22"/>
        </w:rPr>
        <w:t>6</w:t>
      </w:r>
      <w:r w:rsidRPr="001018E1">
        <w:rPr>
          <w:rFonts w:cstheme="minorHAnsi"/>
          <w:bCs/>
          <w:sz w:val="22"/>
          <w:szCs w:val="22"/>
        </w:rPr>
        <w:tab/>
        <w:t>La participation à la réunion du Groupe FG-AINN et au Build-a-thon est ouverte aux États</w:t>
      </w:r>
      <w:r w:rsidR="003603A4" w:rsidRPr="001018E1">
        <w:rPr>
          <w:rFonts w:cstheme="minorHAnsi"/>
          <w:bCs/>
          <w:sz w:val="22"/>
          <w:szCs w:val="22"/>
        </w:rPr>
        <w:t> </w:t>
      </w:r>
      <w:r w:rsidRPr="001018E1">
        <w:rPr>
          <w:rFonts w:cstheme="minorHAnsi"/>
          <w:bCs/>
          <w:sz w:val="22"/>
          <w:szCs w:val="22"/>
        </w:rPr>
        <w:t>Membres, aux Membres de Secteur et aux Associés de l'UIT, aux établissements universitaires participant aux travaux de l'UIT ainsi qu'à toute personne issue d'un pays membre de l'UIT qui souhaite contribuer aux travaux. La participation est gratuite. Il sera possible de participer à la manifestation à distance.</w:t>
      </w:r>
    </w:p>
    <w:p w14:paraId="4C46BEEA" w14:textId="34A312D5" w:rsidR="00C736E0" w:rsidRPr="001018E1" w:rsidRDefault="00C736E0" w:rsidP="00C736E0">
      <w:pPr>
        <w:rPr>
          <w:rFonts w:cstheme="minorHAnsi"/>
          <w:bCs/>
          <w:sz w:val="22"/>
          <w:szCs w:val="22"/>
        </w:rPr>
      </w:pPr>
      <w:r w:rsidRPr="001018E1">
        <w:rPr>
          <w:rFonts w:cstheme="minorHAnsi"/>
          <w:bCs/>
          <w:sz w:val="22"/>
          <w:szCs w:val="22"/>
        </w:rPr>
        <w:t>7</w:t>
      </w:r>
      <w:r w:rsidRPr="001018E1">
        <w:rPr>
          <w:rFonts w:cstheme="minorHAnsi"/>
          <w:bCs/>
          <w:sz w:val="22"/>
          <w:szCs w:val="22"/>
        </w:rPr>
        <w:tab/>
        <w:t xml:space="preserve">Afin de permettre au Secrétariat de l'UIT de prendre les dispositions nécessaires concernant l'organisation de la réunion du Groupe spécialisé et du Build-a-thon, je vous saurais gré de bien vouloir vous inscrire à </w:t>
      </w:r>
      <w:proofErr w:type="gramStart"/>
      <w:r w:rsidRPr="001018E1">
        <w:rPr>
          <w:rFonts w:cstheme="minorHAnsi"/>
          <w:bCs/>
          <w:sz w:val="22"/>
          <w:szCs w:val="22"/>
        </w:rPr>
        <w:t>l'adresse:</w:t>
      </w:r>
      <w:proofErr w:type="gramEnd"/>
      <w:r w:rsidRPr="001018E1">
        <w:rPr>
          <w:rFonts w:cstheme="minorHAnsi"/>
          <w:bCs/>
          <w:sz w:val="22"/>
          <w:szCs w:val="22"/>
        </w:rPr>
        <w:t xml:space="preserve"> </w:t>
      </w:r>
      <w:hyperlink r:id="rId14" w:history="1">
        <w:r w:rsidRPr="001018E1">
          <w:rPr>
            <w:rStyle w:val="Hyperlink"/>
            <w:rFonts w:cstheme="minorHAnsi"/>
            <w:bCs/>
            <w:sz w:val="22"/>
            <w:szCs w:val="22"/>
          </w:rPr>
          <w:t>https://www.itu.int/net4/CRM/xreg/web/Registration.aspx?Event=C-00015246</w:t>
        </w:r>
      </w:hyperlink>
      <w:r w:rsidRPr="001018E1">
        <w:rPr>
          <w:rFonts w:cstheme="minorHAnsi"/>
          <w:bCs/>
          <w:sz w:val="22"/>
          <w:szCs w:val="22"/>
        </w:rPr>
        <w:t xml:space="preserve"> dès que possible, et au plus tard le </w:t>
      </w:r>
      <w:r w:rsidRPr="001018E1">
        <w:rPr>
          <w:rFonts w:cstheme="minorHAnsi"/>
          <w:b/>
          <w:bCs/>
          <w:sz w:val="22"/>
          <w:szCs w:val="22"/>
        </w:rPr>
        <w:t>1er juin 2025</w:t>
      </w:r>
      <w:r w:rsidRPr="001018E1">
        <w:rPr>
          <w:rFonts w:cstheme="minorHAnsi"/>
          <w:bCs/>
          <w:sz w:val="22"/>
          <w:szCs w:val="22"/>
        </w:rPr>
        <w:t xml:space="preserve">. Veuillez noter que l'inscription se fait exclusivement en ligne et est obligatoire pour tous les participants, </w:t>
      </w:r>
      <w:r w:rsidRPr="001018E1">
        <w:rPr>
          <w:rFonts w:cstheme="minorHAnsi"/>
          <w:b/>
          <w:bCs/>
          <w:sz w:val="22"/>
          <w:szCs w:val="22"/>
        </w:rPr>
        <w:t>qu'ils soient présents physiquement ou qu'ils participent à distance</w:t>
      </w:r>
      <w:r w:rsidRPr="001018E1">
        <w:rPr>
          <w:rFonts w:cstheme="minorHAnsi"/>
          <w:sz w:val="22"/>
          <w:szCs w:val="22"/>
        </w:rPr>
        <w:t xml:space="preserve">. </w:t>
      </w:r>
      <w:r w:rsidRPr="001018E1">
        <w:rPr>
          <w:rFonts w:cstheme="minorHAnsi"/>
          <w:bCs/>
          <w:sz w:val="22"/>
          <w:szCs w:val="22"/>
        </w:rPr>
        <w:t xml:space="preserve">Pour vous inscrire et accéder aux documents du Groupe FG-AINN, vous devez disposer d'un compte UIT. Vous pouvez le créer gratuitement et facilement en suivant les instructions disponibles sur la </w:t>
      </w:r>
      <w:hyperlink r:id="rId15" w:anchor="/fr" w:history="1">
        <w:r w:rsidRPr="001018E1">
          <w:rPr>
            <w:rStyle w:val="Hyperlink"/>
            <w:rFonts w:cstheme="minorHAnsi"/>
            <w:bCs/>
            <w:sz w:val="22"/>
            <w:szCs w:val="22"/>
          </w:rPr>
          <w:t>page web du Groupe FG-AINN</w:t>
        </w:r>
      </w:hyperlink>
      <w:r w:rsidRPr="001018E1">
        <w:rPr>
          <w:rFonts w:cstheme="minorHAnsi"/>
          <w:bCs/>
          <w:sz w:val="22"/>
          <w:szCs w:val="22"/>
        </w:rPr>
        <w:t>.</w:t>
      </w:r>
    </w:p>
    <w:p w14:paraId="5117017B" w14:textId="5B7810F3" w:rsidR="00C736E0" w:rsidRPr="001018E1" w:rsidRDefault="00C736E0" w:rsidP="00C736E0">
      <w:pPr>
        <w:rPr>
          <w:rFonts w:cstheme="minorHAnsi"/>
          <w:bCs/>
          <w:sz w:val="22"/>
          <w:szCs w:val="22"/>
        </w:rPr>
      </w:pPr>
      <w:r w:rsidRPr="001018E1">
        <w:rPr>
          <w:rFonts w:cstheme="minorHAnsi"/>
          <w:bCs/>
          <w:sz w:val="22"/>
          <w:szCs w:val="22"/>
        </w:rPr>
        <w:t>8</w:t>
      </w:r>
      <w:r w:rsidRPr="001018E1">
        <w:rPr>
          <w:rFonts w:cstheme="minorHAnsi"/>
          <w:bCs/>
          <w:sz w:val="22"/>
          <w:szCs w:val="22"/>
        </w:rPr>
        <w:tab/>
        <w:t xml:space="preserve">Vous trouverez des informations concernant notamment l'hébergement, le visa et les transports dans le document intitulé "Informations pratiques" figurant sur la </w:t>
      </w:r>
      <w:hyperlink r:id="rId16" w:anchor="/fr" w:history="1">
        <w:r w:rsidRPr="001018E1">
          <w:rPr>
            <w:rStyle w:val="Hyperlink"/>
            <w:rFonts w:cstheme="minorHAnsi"/>
            <w:bCs/>
            <w:sz w:val="22"/>
            <w:szCs w:val="22"/>
          </w:rPr>
          <w:t>page web du Groupe</w:t>
        </w:r>
        <w:r w:rsidR="003603A4" w:rsidRPr="001018E1">
          <w:rPr>
            <w:rStyle w:val="Hyperlink"/>
            <w:rFonts w:cstheme="minorHAnsi"/>
            <w:bCs/>
            <w:sz w:val="22"/>
            <w:szCs w:val="22"/>
          </w:rPr>
          <w:t> </w:t>
        </w:r>
        <w:r w:rsidRPr="001018E1">
          <w:rPr>
            <w:rStyle w:val="Hyperlink"/>
            <w:rFonts w:cstheme="minorHAnsi"/>
            <w:bCs/>
            <w:sz w:val="22"/>
            <w:szCs w:val="22"/>
          </w:rPr>
          <w:t>FG-AINN</w:t>
        </w:r>
      </w:hyperlink>
      <w:r w:rsidRPr="001018E1">
        <w:rPr>
          <w:rFonts w:cstheme="minorHAnsi"/>
          <w:bCs/>
          <w:sz w:val="22"/>
          <w:szCs w:val="22"/>
        </w:rPr>
        <w:t>.</w:t>
      </w:r>
    </w:p>
    <w:p w14:paraId="46F2C3C2" w14:textId="7CAE35CF" w:rsidR="00307FB4" w:rsidRPr="001018E1" w:rsidRDefault="00C736E0" w:rsidP="001018E1">
      <w:pPr>
        <w:rPr>
          <w:rFonts w:cstheme="minorHAnsi"/>
          <w:bCs/>
          <w:sz w:val="22"/>
          <w:szCs w:val="22"/>
        </w:rPr>
      </w:pPr>
      <w:r w:rsidRPr="001018E1">
        <w:rPr>
          <w:rFonts w:cstheme="minorHAnsi"/>
          <w:bCs/>
          <w:sz w:val="22"/>
          <w:szCs w:val="22"/>
        </w:rPr>
        <w:t>9</w:t>
      </w:r>
      <w:r w:rsidRPr="001018E1">
        <w:rPr>
          <w:rFonts w:cstheme="minorHAnsi"/>
          <w:bCs/>
          <w:sz w:val="22"/>
          <w:szCs w:val="22"/>
        </w:rPr>
        <w:tab/>
        <w:t>Nous vous rappelons que, pour les ressortissants de certains pays, l'entrée et le séjour, quelle qu'en soit la durée, sur le territoire de l'Inde, sont soumis à l'obtention d'un visa. Ce visa doit être obtenu auprès de la représentation de l'Inde (ambassade ou consulat) dans votre pays ou, à défaut, dans le pays le plus proche de votre pays de départ. Étant donné que le traitement des demandes de visa et la délivrance des visas peuvent prendre un certain temps, nous vous suggérons de vous renseigner directement auprès de la représentation concernée et de formuler votre demande au plus tôt.</w:t>
      </w:r>
    </w:p>
    <w:p w14:paraId="6A4CD67F" w14:textId="77777777" w:rsidR="00307FB4" w:rsidRPr="001018E1" w:rsidRDefault="00307FB4" w:rsidP="00307FB4">
      <w:pPr>
        <w:rPr>
          <w:rFonts w:cstheme="minorHAnsi"/>
          <w:bCs/>
          <w:sz w:val="22"/>
          <w:szCs w:val="22"/>
        </w:rPr>
      </w:pPr>
      <w:r w:rsidRPr="001018E1">
        <w:rPr>
          <w:rFonts w:cstheme="minorHAnsi"/>
          <w:bCs/>
          <w:sz w:val="22"/>
          <w:szCs w:val="22"/>
        </w:rPr>
        <w:t>Veuillez agréer, Madame, Monsieur, l'assurance de ma considération distinguée.</w:t>
      </w:r>
    </w:p>
    <w:p w14:paraId="558FB742" w14:textId="77A5E166" w:rsidR="002937DB" w:rsidRPr="001018E1" w:rsidRDefault="007D5158" w:rsidP="001018E1">
      <w:pPr>
        <w:spacing w:before="840"/>
        <w:rPr>
          <w:rFonts w:cstheme="minorHAnsi"/>
          <w:bCs/>
          <w:sz w:val="22"/>
          <w:szCs w:val="22"/>
        </w:rPr>
      </w:pPr>
      <w:r>
        <w:rPr>
          <w:rFonts w:cstheme="minorHAnsi"/>
          <w:bCs/>
          <w:noProof/>
          <w:sz w:val="22"/>
          <w:szCs w:val="22"/>
        </w:rPr>
        <w:drawing>
          <wp:anchor distT="0" distB="0" distL="114300" distR="114300" simplePos="0" relativeHeight="251658240" behindDoc="1" locked="0" layoutInCell="1" allowOverlap="1" wp14:anchorId="31C4F938" wp14:editId="7EEE72C2">
            <wp:simplePos x="0" y="0"/>
            <wp:positionH relativeFrom="margin">
              <wp:align>left</wp:align>
            </wp:positionH>
            <wp:positionV relativeFrom="paragraph">
              <wp:posOffset>99060</wp:posOffset>
            </wp:positionV>
            <wp:extent cx="692186" cy="330217"/>
            <wp:effectExtent l="0" t="0" r="0" b="0"/>
            <wp:wrapNone/>
            <wp:docPr id="1152042834"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42834" name="Picture 1" descr="A black text on a white background&#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307FB4" w:rsidRPr="001018E1">
        <w:rPr>
          <w:rFonts w:cstheme="minorHAnsi"/>
          <w:bCs/>
          <w:sz w:val="22"/>
          <w:szCs w:val="22"/>
        </w:rPr>
        <w:t>Seizo Onoe</w:t>
      </w:r>
      <w:r w:rsidR="00B60868" w:rsidRPr="001018E1">
        <w:rPr>
          <w:rFonts w:cstheme="minorHAnsi"/>
          <w:bCs/>
          <w:sz w:val="22"/>
          <w:szCs w:val="22"/>
        </w:rPr>
        <w:br/>
      </w:r>
      <w:r w:rsidR="00307FB4" w:rsidRPr="001018E1">
        <w:rPr>
          <w:rFonts w:cstheme="minorHAnsi"/>
          <w:bCs/>
          <w:sz w:val="22"/>
          <w:szCs w:val="22"/>
        </w:rPr>
        <w:t>Directeur du Bureau de la normalisation</w:t>
      </w:r>
      <w:r w:rsidR="00B60868" w:rsidRPr="001018E1">
        <w:rPr>
          <w:rFonts w:cstheme="minorHAnsi"/>
          <w:bCs/>
          <w:sz w:val="22"/>
          <w:szCs w:val="22"/>
        </w:rPr>
        <w:br/>
      </w:r>
      <w:r w:rsidR="00307FB4" w:rsidRPr="001018E1">
        <w:rPr>
          <w:rFonts w:cstheme="minorHAnsi"/>
          <w:bCs/>
          <w:sz w:val="22"/>
          <w:szCs w:val="22"/>
        </w:rPr>
        <w:t>des télécommunications</w:t>
      </w:r>
    </w:p>
    <w:sectPr w:rsidR="002937DB" w:rsidRPr="001018E1" w:rsidSect="00A15179">
      <w:head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5BFC5A88"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38B757A7" w:rsidR="00697BC1" w:rsidRPr="00697BC1" w:rsidRDefault="007D5158"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C736E0">
      <w:rPr>
        <w:noProof/>
        <w:sz w:val="18"/>
        <w:szCs w:val="16"/>
      </w:rPr>
      <w:t>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4A444C47"/>
    <w:multiLevelType w:val="hybridMultilevel"/>
    <w:tmpl w:val="138A1DA4"/>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4"/>
  </w:num>
  <w:num w:numId="3" w16cid:durableId="2075545744">
    <w:abstractNumId w:val="2"/>
  </w:num>
  <w:num w:numId="4" w16cid:durableId="1871449755">
    <w:abstractNumId w:val="0"/>
  </w:num>
  <w:num w:numId="5" w16cid:durableId="926038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0D6384"/>
    <w:rsid w:val="001018E1"/>
    <w:rsid w:val="001026FD"/>
    <w:rsid w:val="00106D04"/>
    <w:rsid w:val="001077FD"/>
    <w:rsid w:val="00115DD7"/>
    <w:rsid w:val="00167472"/>
    <w:rsid w:val="00167F92"/>
    <w:rsid w:val="00173738"/>
    <w:rsid w:val="001B79A3"/>
    <w:rsid w:val="002152A3"/>
    <w:rsid w:val="0023667A"/>
    <w:rsid w:val="002937DB"/>
    <w:rsid w:val="002E395D"/>
    <w:rsid w:val="00307FB4"/>
    <w:rsid w:val="003131F0"/>
    <w:rsid w:val="00333A80"/>
    <w:rsid w:val="00341117"/>
    <w:rsid w:val="003603A4"/>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83FE0"/>
    <w:rsid w:val="0079553B"/>
    <w:rsid w:val="00795679"/>
    <w:rsid w:val="007A40FE"/>
    <w:rsid w:val="007D5158"/>
    <w:rsid w:val="00810105"/>
    <w:rsid w:val="008157E0"/>
    <w:rsid w:val="00850477"/>
    <w:rsid w:val="00854E1D"/>
    <w:rsid w:val="00887FA6"/>
    <w:rsid w:val="008C4397"/>
    <w:rsid w:val="008C465A"/>
    <w:rsid w:val="008F2C9B"/>
    <w:rsid w:val="00923CD6"/>
    <w:rsid w:val="00935AA8"/>
    <w:rsid w:val="00971C9A"/>
    <w:rsid w:val="009D51FA"/>
    <w:rsid w:val="009E7028"/>
    <w:rsid w:val="009F1E23"/>
    <w:rsid w:val="00A15179"/>
    <w:rsid w:val="00A51537"/>
    <w:rsid w:val="00A5280F"/>
    <w:rsid w:val="00A5645A"/>
    <w:rsid w:val="00A60FC1"/>
    <w:rsid w:val="00A97C37"/>
    <w:rsid w:val="00AA131B"/>
    <w:rsid w:val="00AB663C"/>
    <w:rsid w:val="00AC37B5"/>
    <w:rsid w:val="00AD752F"/>
    <w:rsid w:val="00AF08A4"/>
    <w:rsid w:val="00AF0D7D"/>
    <w:rsid w:val="00B27B41"/>
    <w:rsid w:val="00B42659"/>
    <w:rsid w:val="00B46F2D"/>
    <w:rsid w:val="00B60868"/>
    <w:rsid w:val="00B8573E"/>
    <w:rsid w:val="00BA5958"/>
    <w:rsid w:val="00BB24C0"/>
    <w:rsid w:val="00BD6ECF"/>
    <w:rsid w:val="00C26F2E"/>
    <w:rsid w:val="00C302E3"/>
    <w:rsid w:val="00C41B89"/>
    <w:rsid w:val="00C45376"/>
    <w:rsid w:val="00C736E0"/>
    <w:rsid w:val="00C9028F"/>
    <w:rsid w:val="00CA0416"/>
    <w:rsid w:val="00CB1125"/>
    <w:rsid w:val="00CB4E80"/>
    <w:rsid w:val="00CD042E"/>
    <w:rsid w:val="00CF2560"/>
    <w:rsid w:val="00CF5B46"/>
    <w:rsid w:val="00D13E9C"/>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Style 58,超????,超?级链,하이퍼링크2"/>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tsbfgainn@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focusgroups/ainn/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en/ITU-T/focusgroups/ainn/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nn/Pages/default.aspx" TargetMode="External"/><Relationship Id="rId5" Type="http://schemas.openxmlformats.org/officeDocument/2006/relationships/webSettings" Target="webSettings.xml"/><Relationship Id="rId15" Type="http://schemas.openxmlformats.org/officeDocument/2006/relationships/hyperlink" Target="https://www.itu.int/en/ITU-T/focusgroups/ainn/Pages/default.aspx" TargetMode="External"/><Relationship Id="rId10" Type="http://schemas.openxmlformats.org/officeDocument/2006/relationships/hyperlink" Target="https://www.itu.int/en/ITU-T/focusgroups/ainn/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tsbfgainn@itu.int" TargetMode="External"/><Relationship Id="rId14" Type="http://schemas.openxmlformats.org/officeDocument/2006/relationships/hyperlink" Target="https://www.itu.int/net4/CRM/xreg/web/Registration.aspx?Event=C-0001524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52</TotalTime>
  <Pages>2</Pages>
  <Words>889</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6651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2025-04-16T06:58:00Z</cp:lastPrinted>
  <dcterms:created xsi:type="dcterms:W3CDTF">2025-04-15T10:32:00Z</dcterms:created>
  <dcterms:modified xsi:type="dcterms:W3CDTF">2025-04-16T06:58:00Z</dcterms:modified>
</cp:coreProperties>
</file>