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147EE9">
        <w:trPr>
          <w:cantSplit/>
          <w:trHeight w:val="15"/>
          <w:jc w:val="center"/>
        </w:trPr>
        <w:tc>
          <w:tcPr>
            <w:tcW w:w="1275" w:type="dxa"/>
            <w:vAlign w:val="center"/>
          </w:tcPr>
          <w:p w14:paraId="3A5475AA" w14:textId="77777777" w:rsidR="00B301D4" w:rsidRPr="003D69B8" w:rsidRDefault="00B301D4" w:rsidP="00147EE9">
            <w:pPr>
              <w:spacing w:before="0"/>
              <w:jc w:val="center"/>
              <w:rPr>
                <w:rFonts w:cs="Times New Roman Bold"/>
                <w:b/>
                <w:bCs/>
                <w:smallCaps/>
                <w:sz w:val="26"/>
                <w:szCs w:val="26"/>
              </w:rPr>
            </w:pPr>
            <w:r w:rsidRPr="003D69B8">
              <w:rPr>
                <w:noProof/>
              </w:rPr>
              <w:drawing>
                <wp:inline distT="0" distB="0" distL="0" distR="0" wp14:anchorId="3CF941BE" wp14:editId="3F248C81">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147EE9">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147EE9">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147EE9">
            <w:pPr>
              <w:spacing w:before="0"/>
              <w:jc w:val="center"/>
              <w:rPr>
                <w:rFonts w:ascii="Verdana" w:hAnsi="Verdana"/>
                <w:color w:val="FFFFFF"/>
                <w:sz w:val="26"/>
                <w:szCs w:val="26"/>
                <w:lang w:eastAsia="zh-CN"/>
              </w:rPr>
            </w:pPr>
          </w:p>
        </w:tc>
      </w:tr>
      <w:tr w:rsidR="00AC3F9D" w:rsidRPr="00813DA0" w14:paraId="13DA6A52" w14:textId="77777777" w:rsidTr="00147EE9">
        <w:tblPrEx>
          <w:tblCellMar>
            <w:left w:w="108" w:type="dxa"/>
            <w:right w:w="108" w:type="dxa"/>
          </w:tblCellMar>
        </w:tblPrEx>
        <w:trPr>
          <w:cantSplit/>
          <w:trHeight w:val="80"/>
          <w:jc w:val="center"/>
        </w:trPr>
        <w:tc>
          <w:tcPr>
            <w:tcW w:w="4874" w:type="dxa"/>
            <w:gridSpan w:val="2"/>
            <w:vAlign w:val="center"/>
          </w:tcPr>
          <w:p w14:paraId="5CF1F0E2" w14:textId="77777777" w:rsidR="00AC3F9D" w:rsidRPr="00B301D4" w:rsidRDefault="00AC3F9D" w:rsidP="00147EE9">
            <w:pPr>
              <w:pStyle w:val="Tabletext"/>
              <w:jc w:val="right"/>
              <w:rPr>
                <w:rFonts w:asciiTheme="minorHAnsi" w:hAnsiTheme="minorHAnsi" w:cstheme="minorHAnsi"/>
                <w:sz w:val="22"/>
                <w:szCs w:val="22"/>
                <w:lang w:val="en-GB"/>
              </w:rPr>
            </w:pPr>
          </w:p>
        </w:tc>
        <w:tc>
          <w:tcPr>
            <w:tcW w:w="5049" w:type="dxa"/>
            <w:gridSpan w:val="2"/>
            <w:vAlign w:val="center"/>
          </w:tcPr>
          <w:p w14:paraId="48B2F128" w14:textId="4AE0C2FE" w:rsidR="00AC3F9D" w:rsidRPr="00813DA0" w:rsidRDefault="00B301D4" w:rsidP="00B05B4C">
            <w:pPr>
              <w:pStyle w:val="Tabletext"/>
              <w:spacing w:before="240" w:after="240"/>
              <w:ind w:left="-108" w:firstLine="70"/>
              <w:rPr>
                <w:rFonts w:asciiTheme="minorHAnsi" w:hAnsiTheme="minorHAnsi" w:cstheme="minorHAnsi"/>
                <w:sz w:val="22"/>
                <w:szCs w:val="22"/>
              </w:rPr>
            </w:pPr>
            <w:r w:rsidRPr="00B6399C">
              <w:rPr>
                <w:sz w:val="22"/>
                <w:szCs w:val="22"/>
                <w:lang w:val="zh-CN"/>
              </w:rPr>
              <w:t>2025</w:t>
            </w:r>
            <w:r w:rsidRPr="00B6399C">
              <w:rPr>
                <w:sz w:val="22"/>
                <w:szCs w:val="22"/>
                <w:lang w:val="zh-CN"/>
              </w:rPr>
              <w:t>年</w:t>
            </w:r>
            <w:r w:rsidR="00147EE9">
              <w:rPr>
                <w:sz w:val="22"/>
                <w:szCs w:val="22"/>
              </w:rPr>
              <w:t>4</w:t>
            </w:r>
            <w:r w:rsidRPr="00B6399C">
              <w:rPr>
                <w:sz w:val="22"/>
                <w:szCs w:val="22"/>
                <w:lang w:val="zh-CN"/>
              </w:rPr>
              <w:t>月</w:t>
            </w:r>
            <w:r w:rsidR="00147EE9">
              <w:rPr>
                <w:sz w:val="22"/>
                <w:szCs w:val="22"/>
              </w:rPr>
              <w:t>7</w:t>
            </w:r>
            <w:r w:rsidRPr="00B6399C">
              <w:rPr>
                <w:sz w:val="22"/>
                <w:szCs w:val="22"/>
                <w:lang w:val="zh-CN"/>
              </w:rPr>
              <w:t>日</w:t>
            </w:r>
            <w:r w:rsidRPr="00B6399C">
              <w:rPr>
                <w:rFonts w:hint="eastAsia"/>
                <w:sz w:val="22"/>
                <w:szCs w:val="22"/>
              </w:rPr>
              <w:t>，日内瓦</w:t>
            </w:r>
          </w:p>
        </w:tc>
      </w:tr>
      <w:tr w:rsidR="009311FE" w:rsidRPr="00813DA0" w14:paraId="212478C2" w14:textId="77777777" w:rsidTr="00147EE9">
        <w:tblPrEx>
          <w:tblCellMar>
            <w:left w:w="108" w:type="dxa"/>
            <w:right w:w="108" w:type="dxa"/>
          </w:tblCellMar>
        </w:tblPrEx>
        <w:trPr>
          <w:cantSplit/>
          <w:trHeight w:val="746"/>
          <w:jc w:val="center"/>
        </w:trPr>
        <w:tc>
          <w:tcPr>
            <w:tcW w:w="1275" w:type="dxa"/>
          </w:tcPr>
          <w:p w14:paraId="3D2D76A6" w14:textId="072DE409" w:rsidR="009311FE" w:rsidRPr="00813DA0" w:rsidRDefault="009311FE" w:rsidP="00147EE9">
            <w:pPr>
              <w:pStyle w:val="Tabletext"/>
              <w:jc w:val="left"/>
              <w:rPr>
                <w:rFonts w:asciiTheme="minorHAnsi" w:hAnsiTheme="minorHAnsi" w:cstheme="minorHAnsi"/>
                <w:sz w:val="22"/>
                <w:szCs w:val="22"/>
              </w:rPr>
            </w:pPr>
            <w:r>
              <w:rPr>
                <w:rFonts w:asciiTheme="minorHAnsi" w:hAnsiTheme="minorHAnsi" w:cstheme="minorHAnsi" w:hint="eastAsia"/>
                <w:b/>
                <w:sz w:val="22"/>
                <w:szCs w:val="22"/>
              </w:rPr>
              <w:t>文号：</w:t>
            </w:r>
          </w:p>
        </w:tc>
        <w:tc>
          <w:tcPr>
            <w:tcW w:w="3599" w:type="dxa"/>
          </w:tcPr>
          <w:p w14:paraId="142D9440" w14:textId="7E9B569D" w:rsidR="009311FE" w:rsidRPr="00147EE9" w:rsidRDefault="009311FE" w:rsidP="00147EE9">
            <w:pPr>
              <w:pStyle w:val="Tabletext"/>
              <w:rPr>
                <w:rFonts w:asciiTheme="minorHAnsi" w:hAnsiTheme="minorHAnsi" w:cstheme="minorHAnsi"/>
                <w:b/>
                <w:bCs/>
                <w:sz w:val="22"/>
                <w:szCs w:val="22"/>
              </w:rPr>
            </w:pPr>
            <w:r w:rsidRPr="00147EE9">
              <w:rPr>
                <w:b/>
                <w:bCs/>
                <w:sz w:val="22"/>
                <w:szCs w:val="22"/>
                <w:lang w:val="zh-CN"/>
              </w:rPr>
              <w:t>电信标准化局第</w:t>
            </w:r>
            <w:r w:rsidR="00147EE9" w:rsidRPr="00147EE9">
              <w:rPr>
                <w:b/>
                <w:bCs/>
                <w:sz w:val="22"/>
                <w:szCs w:val="22"/>
              </w:rPr>
              <w:t>42</w:t>
            </w:r>
            <w:r w:rsidRPr="00147EE9">
              <w:rPr>
                <w:b/>
                <w:bCs/>
                <w:sz w:val="22"/>
                <w:szCs w:val="22"/>
                <w:lang w:val="zh-CN"/>
              </w:rPr>
              <w:t>号通函</w:t>
            </w:r>
          </w:p>
          <w:p w14:paraId="339D1BD7" w14:textId="00B41F99" w:rsidR="009311FE" w:rsidRPr="00147EE9" w:rsidRDefault="00147EE9" w:rsidP="00147EE9">
            <w:pPr>
              <w:pStyle w:val="Tabletext"/>
              <w:rPr>
                <w:rFonts w:asciiTheme="minorHAnsi" w:hAnsiTheme="minorHAnsi" w:cstheme="minorHAnsi"/>
                <w:b/>
                <w:bCs/>
                <w:sz w:val="22"/>
                <w:szCs w:val="22"/>
              </w:rPr>
            </w:pPr>
            <w:r w:rsidRPr="00AE0454">
              <w:rPr>
                <w:rFonts w:asciiTheme="minorHAnsi" w:eastAsiaTheme="minorEastAsia" w:hAnsiTheme="minorHAnsi" w:cstheme="minorHAnsi"/>
                <w:szCs w:val="22"/>
              </w:rPr>
              <w:t xml:space="preserve">TSB </w:t>
            </w:r>
            <w:r w:rsidRPr="00147EE9">
              <w:rPr>
                <w:rFonts w:asciiTheme="minorHAnsi" w:eastAsiaTheme="minorEastAsia" w:hAnsiTheme="minorHAnsi" w:cstheme="minorHAnsi"/>
                <w:sz w:val="22"/>
                <w:szCs w:val="22"/>
              </w:rPr>
              <w:t>Events</w:t>
            </w:r>
            <w:r w:rsidRPr="00AE0454">
              <w:rPr>
                <w:rFonts w:asciiTheme="minorHAnsi" w:eastAsiaTheme="minorEastAsia" w:hAnsiTheme="minorHAnsi" w:cstheme="minorHAnsi"/>
                <w:szCs w:val="22"/>
              </w:rPr>
              <w:t>/SC</w:t>
            </w:r>
          </w:p>
        </w:tc>
        <w:tc>
          <w:tcPr>
            <w:tcW w:w="5049" w:type="dxa"/>
            <w:gridSpan w:val="2"/>
            <w:vMerge w:val="restart"/>
          </w:tcPr>
          <w:p w14:paraId="7B07AD59" w14:textId="77777777" w:rsidR="009311FE" w:rsidRPr="00147EE9" w:rsidRDefault="009311FE" w:rsidP="00B05B4C">
            <w:pPr>
              <w:tabs>
                <w:tab w:val="clear" w:pos="794"/>
                <w:tab w:val="clear" w:pos="1191"/>
                <w:tab w:val="clear" w:pos="1588"/>
                <w:tab w:val="clear" w:pos="1985"/>
                <w:tab w:val="left" w:pos="662"/>
              </w:tabs>
              <w:spacing w:before="0"/>
              <w:ind w:left="407" w:hanging="425"/>
              <w:rPr>
                <w:rFonts w:cstheme="minorHAnsi"/>
                <w:szCs w:val="22"/>
                <w:lang w:eastAsia="zh-CN"/>
              </w:rPr>
            </w:pPr>
            <w:r w:rsidRPr="00147EE9">
              <w:rPr>
                <w:b/>
                <w:bCs/>
                <w:szCs w:val="22"/>
                <w:lang w:val="zh-CN" w:eastAsia="zh-CN"/>
              </w:rPr>
              <w:t>致：</w:t>
            </w:r>
          </w:p>
          <w:p w14:paraId="58156A83" w14:textId="184A1B3F" w:rsidR="00147EE9" w:rsidRPr="00147EE9" w:rsidRDefault="00147EE9" w:rsidP="00B05B4C">
            <w:pPr>
              <w:pStyle w:val="Tabletext"/>
              <w:tabs>
                <w:tab w:val="clear" w:pos="284"/>
                <w:tab w:val="clear" w:pos="567"/>
                <w:tab w:val="left" w:pos="501"/>
                <w:tab w:val="left" w:pos="627"/>
              </w:tabs>
              <w:spacing w:after="0"/>
              <w:ind w:left="407" w:hanging="425"/>
              <w:rPr>
                <w:rFonts w:asciiTheme="minorHAnsi" w:eastAsiaTheme="minorEastAsia" w:hAnsiTheme="minorHAnsi" w:cstheme="minorHAns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国际电联各成员国主管部门；</w:t>
            </w:r>
          </w:p>
          <w:p w14:paraId="48A3FC74" w14:textId="28376CFC" w:rsidR="00147EE9" w:rsidRPr="00147EE9" w:rsidRDefault="00147EE9" w:rsidP="00B05B4C">
            <w:pPr>
              <w:pStyle w:val="Tabletext"/>
              <w:tabs>
                <w:tab w:val="clear" w:pos="284"/>
                <w:tab w:val="clear" w:pos="567"/>
                <w:tab w:val="left" w:pos="501"/>
                <w:tab w:val="left" w:pos="627"/>
              </w:tabs>
              <w:spacing w:after="0"/>
              <w:ind w:left="407" w:hanging="425"/>
              <w:rPr>
                <w:rFonts w:eastAsiaTheme="minorEastAsia" w:cs="Calibr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巴勒斯坦国（第</w:t>
            </w:r>
            <w:r w:rsidRPr="00147EE9">
              <w:rPr>
                <w:rFonts w:asciiTheme="minorHAnsi" w:eastAsiaTheme="minorEastAsia" w:hAnsiTheme="minorHAnsi" w:cstheme="minorHAnsi"/>
                <w:sz w:val="22"/>
                <w:szCs w:val="22"/>
              </w:rPr>
              <w:t>99</w:t>
            </w:r>
            <w:r w:rsidRPr="00147EE9">
              <w:rPr>
                <w:rFonts w:asciiTheme="minorHAnsi" w:eastAsiaTheme="minorEastAsia" w:hAnsiTheme="minorHAnsi" w:cstheme="minorHAnsi" w:hint="eastAsia"/>
                <w:sz w:val="22"/>
                <w:szCs w:val="22"/>
              </w:rPr>
              <w:t>号决议（</w:t>
            </w:r>
            <w:r w:rsidRPr="00147EE9">
              <w:rPr>
                <w:rFonts w:asciiTheme="minorHAnsi" w:eastAsiaTheme="minorEastAsia" w:hAnsiTheme="minorHAnsi" w:cstheme="minorHAnsi"/>
                <w:sz w:val="22"/>
                <w:szCs w:val="22"/>
              </w:rPr>
              <w:t>2018</w:t>
            </w:r>
            <w:r w:rsidRPr="00147EE9">
              <w:rPr>
                <w:rFonts w:asciiTheme="minorHAnsi" w:eastAsiaTheme="minorEastAsia" w:hAnsiTheme="minorHAnsi" w:cstheme="minorHAnsi" w:hint="eastAsia"/>
                <w:sz w:val="22"/>
                <w:szCs w:val="22"/>
              </w:rPr>
              <w:t>年，迪拜，</w:t>
            </w:r>
            <w:r w:rsidRPr="00147EE9">
              <w:rPr>
                <w:rFonts w:asciiTheme="minorHAnsi" w:eastAsiaTheme="minorEastAsia" w:hAnsiTheme="minorHAnsi" w:cstheme="minorHAnsi"/>
                <w:sz w:val="22"/>
                <w:szCs w:val="22"/>
              </w:rPr>
              <w:br/>
            </w:r>
            <w:r w:rsidRPr="00147EE9">
              <w:rPr>
                <w:rFonts w:asciiTheme="minorHAnsi" w:eastAsiaTheme="minorEastAsia" w:hAnsiTheme="minorHAnsi" w:cstheme="minorHAnsi" w:hint="eastAsia"/>
                <w:sz w:val="22"/>
                <w:szCs w:val="22"/>
              </w:rPr>
              <w:t>修订版））；</w:t>
            </w:r>
          </w:p>
          <w:p w14:paraId="5618D850" w14:textId="77777777" w:rsidR="00147EE9" w:rsidRPr="009C0296" w:rsidRDefault="00147EE9" w:rsidP="00B05B4C">
            <w:pPr>
              <w:pStyle w:val="Tabletext"/>
              <w:tabs>
                <w:tab w:val="clear" w:pos="284"/>
                <w:tab w:val="clear" w:pos="567"/>
                <w:tab w:val="left" w:pos="501"/>
                <w:tab w:val="left" w:pos="627"/>
              </w:tabs>
              <w:spacing w:after="0"/>
              <w:ind w:left="407" w:hanging="425"/>
              <w:rPr>
                <w:rFonts w:asciiTheme="minorHAnsi" w:eastAsiaTheme="minorEastAsia" w:hAnsiTheme="minorHAnsi" w:cstheme="minorHAnsi"/>
                <w:sz w:val="22"/>
                <w:szCs w:val="22"/>
              </w:rPr>
            </w:pPr>
            <w:r w:rsidRPr="009C0296">
              <w:rPr>
                <w:rFonts w:asciiTheme="minorHAnsi" w:eastAsiaTheme="minorEastAsia" w:hAnsiTheme="minorHAnsi" w:cstheme="minorHAnsi"/>
                <w:sz w:val="22"/>
                <w:szCs w:val="22"/>
              </w:rPr>
              <w:t>-</w:t>
            </w:r>
            <w:r w:rsidRPr="009C0296">
              <w:rPr>
                <w:rFonts w:asciiTheme="minorHAnsi" w:eastAsiaTheme="minorEastAsia" w:hAnsiTheme="minorHAnsi" w:cstheme="minorHAnsi"/>
                <w:sz w:val="22"/>
                <w:szCs w:val="22"/>
              </w:rPr>
              <w:tab/>
              <w:t>ITU-T</w:t>
            </w:r>
            <w:r w:rsidRPr="00147EE9">
              <w:rPr>
                <w:rFonts w:asciiTheme="minorHAnsi" w:eastAsiaTheme="minorEastAsia" w:hAnsiTheme="minorHAnsi" w:cstheme="minorHAnsi" w:hint="eastAsia"/>
                <w:sz w:val="22"/>
                <w:szCs w:val="22"/>
                <w:lang w:val="fr-FR"/>
              </w:rPr>
              <w:t>部门成员</w:t>
            </w:r>
            <w:r w:rsidRPr="009C0296">
              <w:rPr>
                <w:rFonts w:asciiTheme="minorHAnsi" w:eastAsiaTheme="minorEastAsia" w:hAnsiTheme="minorHAnsi" w:cstheme="minorHAnsi" w:hint="eastAsia"/>
                <w:sz w:val="22"/>
                <w:szCs w:val="22"/>
              </w:rPr>
              <w:t>；</w:t>
            </w:r>
          </w:p>
          <w:p w14:paraId="122F5DAA" w14:textId="77777777" w:rsidR="00147EE9" w:rsidRPr="009C0296" w:rsidRDefault="00147EE9" w:rsidP="00B05B4C">
            <w:pPr>
              <w:pStyle w:val="Tabletext"/>
              <w:tabs>
                <w:tab w:val="clear" w:pos="284"/>
                <w:tab w:val="clear" w:pos="567"/>
                <w:tab w:val="left" w:pos="501"/>
                <w:tab w:val="left" w:pos="627"/>
              </w:tabs>
              <w:spacing w:after="0"/>
              <w:ind w:left="407" w:hanging="425"/>
              <w:rPr>
                <w:rFonts w:asciiTheme="minorHAnsi" w:eastAsiaTheme="minorEastAsia" w:hAnsiTheme="minorHAnsi" w:cstheme="minorHAnsi"/>
                <w:sz w:val="22"/>
                <w:szCs w:val="22"/>
              </w:rPr>
            </w:pPr>
            <w:r w:rsidRPr="009C0296">
              <w:rPr>
                <w:rFonts w:asciiTheme="minorHAnsi" w:eastAsiaTheme="minorEastAsia" w:hAnsiTheme="minorHAnsi" w:cstheme="minorHAnsi"/>
                <w:sz w:val="22"/>
                <w:szCs w:val="22"/>
              </w:rPr>
              <w:t>-</w:t>
            </w:r>
            <w:r w:rsidRPr="009C0296">
              <w:rPr>
                <w:rFonts w:asciiTheme="minorHAnsi" w:eastAsiaTheme="minorEastAsia" w:hAnsiTheme="minorHAnsi" w:cstheme="minorHAnsi"/>
                <w:sz w:val="22"/>
                <w:szCs w:val="22"/>
              </w:rPr>
              <w:tab/>
              <w:t>ITU-T</w:t>
            </w:r>
            <w:r w:rsidRPr="00147EE9">
              <w:rPr>
                <w:rFonts w:asciiTheme="minorHAnsi" w:eastAsiaTheme="minorEastAsia" w:hAnsiTheme="minorHAnsi" w:cstheme="minorHAnsi" w:hint="eastAsia"/>
                <w:sz w:val="22"/>
                <w:szCs w:val="22"/>
                <w:lang w:val="fr-FR"/>
              </w:rPr>
              <w:t>部门准成员</w:t>
            </w:r>
            <w:r w:rsidRPr="009C0296">
              <w:rPr>
                <w:rFonts w:asciiTheme="minorHAnsi" w:eastAsiaTheme="minorEastAsia" w:hAnsiTheme="minorHAnsi" w:cstheme="minorHAnsi" w:hint="eastAsia"/>
                <w:sz w:val="22"/>
                <w:szCs w:val="22"/>
              </w:rPr>
              <w:t>；</w:t>
            </w:r>
          </w:p>
          <w:p w14:paraId="7092202C" w14:textId="6E03F0BD" w:rsidR="009311FE" w:rsidRPr="00147EE9" w:rsidRDefault="00147EE9" w:rsidP="00B05B4C">
            <w:pPr>
              <w:pStyle w:val="Tabletext"/>
              <w:tabs>
                <w:tab w:val="clear" w:pos="284"/>
                <w:tab w:val="clear" w:pos="567"/>
                <w:tab w:val="left" w:pos="501"/>
                <w:tab w:val="left" w:pos="627"/>
              </w:tabs>
              <w:spacing w:after="0"/>
              <w:ind w:left="407" w:hanging="425"/>
              <w:rPr>
                <w:rFonts w:asciiTheme="minorHAnsi" w:hAnsiTheme="minorHAnsi" w:cstheme="minorHAnsi"/>
                <w:sz w:val="22"/>
                <w:szCs w:val="22"/>
              </w:rPr>
            </w:pPr>
            <w:r w:rsidRPr="00147EE9">
              <w:rPr>
                <w:rFonts w:asciiTheme="minorHAnsi" w:eastAsiaTheme="minorEastAsia" w:hAnsiTheme="minorHAnsi" w:cstheme="minorHAns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国际电联学术成员</w:t>
            </w:r>
            <w:r w:rsidR="009311FE" w:rsidRPr="00147EE9">
              <w:rPr>
                <w:sz w:val="22"/>
                <w:szCs w:val="22"/>
                <w:lang w:val="zh-CN"/>
              </w:rPr>
              <w:t>；</w:t>
            </w:r>
          </w:p>
          <w:p w14:paraId="30E9271B" w14:textId="77777777" w:rsidR="009311FE" w:rsidRPr="00147EE9" w:rsidRDefault="009311FE" w:rsidP="00B05B4C">
            <w:pPr>
              <w:pStyle w:val="Tabletext"/>
              <w:ind w:left="407" w:hanging="425"/>
              <w:rPr>
                <w:rFonts w:asciiTheme="minorHAnsi" w:hAnsiTheme="minorHAnsi" w:cstheme="minorHAnsi"/>
                <w:sz w:val="22"/>
                <w:szCs w:val="22"/>
              </w:rPr>
            </w:pPr>
            <w:r w:rsidRPr="00147EE9">
              <w:rPr>
                <w:b/>
                <w:bCs/>
                <w:sz w:val="22"/>
                <w:szCs w:val="22"/>
                <w:lang w:val="zh-CN"/>
              </w:rPr>
              <w:t>抄送：</w:t>
            </w:r>
          </w:p>
          <w:p w14:paraId="104FDC71" w14:textId="77777777" w:rsidR="00147EE9" w:rsidRPr="00147EE9" w:rsidRDefault="009311FE" w:rsidP="00B05B4C">
            <w:pPr>
              <w:pStyle w:val="Tabletext"/>
              <w:tabs>
                <w:tab w:val="clear" w:pos="284"/>
                <w:tab w:val="clear" w:pos="567"/>
                <w:tab w:val="left" w:pos="501"/>
                <w:tab w:val="left" w:pos="627"/>
              </w:tabs>
              <w:spacing w:after="0"/>
              <w:ind w:left="407" w:hanging="425"/>
              <w:rPr>
                <w:rFonts w:asciiTheme="minorHAnsi" w:eastAsiaTheme="minorEastAsia" w:hAnsiTheme="minorHAnsi" w:cstheme="minorHAnsi"/>
                <w:sz w:val="22"/>
                <w:szCs w:val="22"/>
              </w:rPr>
            </w:pPr>
            <w:r w:rsidRPr="00147EE9">
              <w:rPr>
                <w:rFonts w:asciiTheme="minorHAnsi" w:hAnsiTheme="minorHAnsi" w:cstheme="minorHAnsi"/>
                <w:sz w:val="22"/>
                <w:szCs w:val="22"/>
              </w:rPr>
              <w:t>-</w:t>
            </w:r>
            <w:r w:rsidRPr="00147EE9">
              <w:rPr>
                <w:rFonts w:asciiTheme="minorHAnsi" w:hAnsiTheme="minorHAnsi" w:cstheme="minorHAnsi"/>
                <w:sz w:val="22"/>
                <w:szCs w:val="22"/>
              </w:rPr>
              <w:tab/>
            </w:r>
            <w:r w:rsidR="00147EE9" w:rsidRPr="00147EE9">
              <w:rPr>
                <w:rFonts w:asciiTheme="minorHAnsi" w:eastAsiaTheme="minorEastAsia" w:hAnsiTheme="minorHAnsi" w:cstheme="minorHAnsi" w:hint="eastAsia"/>
                <w:sz w:val="22"/>
                <w:szCs w:val="22"/>
              </w:rPr>
              <w:t>各研究组正副主席；</w:t>
            </w:r>
          </w:p>
          <w:p w14:paraId="62C89292" w14:textId="77777777" w:rsidR="00147EE9" w:rsidRPr="00147EE9" w:rsidRDefault="00147EE9" w:rsidP="00B05B4C">
            <w:pPr>
              <w:pStyle w:val="Tabletext"/>
              <w:tabs>
                <w:tab w:val="clear" w:pos="284"/>
                <w:tab w:val="clear" w:pos="567"/>
                <w:tab w:val="left" w:pos="501"/>
                <w:tab w:val="left" w:pos="627"/>
              </w:tabs>
              <w:spacing w:after="0"/>
              <w:ind w:left="407" w:hanging="425"/>
              <w:rPr>
                <w:rFonts w:asciiTheme="minorHAnsi" w:eastAsiaTheme="minorEastAsia" w:hAnsiTheme="minorHAnsi" w:cstheme="minorHAnsi"/>
                <w:sz w:val="22"/>
                <w:szCs w:val="22"/>
              </w:rPr>
            </w:pPr>
            <w:r w:rsidRPr="00147EE9">
              <w:rPr>
                <w:rFonts w:asciiTheme="minorHAnsi" w:eastAsiaTheme="minorEastAsia" w:hAnsiTheme="minorHAnsi" w:cstheme="minorHAns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电信发展局主任；</w:t>
            </w:r>
          </w:p>
          <w:p w14:paraId="5DA98AA8" w14:textId="43ABDBBB" w:rsidR="009311FE" w:rsidRPr="00147EE9" w:rsidRDefault="00147EE9" w:rsidP="00B05B4C">
            <w:pPr>
              <w:pStyle w:val="Tabletext"/>
              <w:tabs>
                <w:tab w:val="clear" w:pos="284"/>
                <w:tab w:val="clear" w:pos="567"/>
                <w:tab w:val="left" w:pos="501"/>
                <w:tab w:val="left" w:pos="627"/>
              </w:tabs>
              <w:spacing w:after="0"/>
              <w:ind w:left="407" w:hanging="425"/>
              <w:rPr>
                <w:sz w:val="22"/>
                <w:szCs w:val="22"/>
                <w:lang w:val="zh-CN"/>
              </w:rPr>
            </w:pPr>
            <w:r w:rsidRPr="00147EE9">
              <w:rPr>
                <w:rFonts w:asciiTheme="minorHAnsi" w:eastAsiaTheme="minorEastAsia" w:hAnsiTheme="minorHAnsi" w:cstheme="minorHAns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无线电通信局主任；</w:t>
            </w:r>
          </w:p>
          <w:p w14:paraId="1D92BB34" w14:textId="77777777" w:rsidR="009311FE" w:rsidRPr="00813DA0" w:rsidRDefault="009311FE" w:rsidP="00147EE9">
            <w:pPr>
              <w:tabs>
                <w:tab w:val="clear" w:pos="794"/>
                <w:tab w:val="clear" w:pos="1191"/>
                <w:tab w:val="clear" w:pos="1588"/>
                <w:tab w:val="clear" w:pos="1985"/>
              </w:tabs>
              <w:spacing w:before="40" w:after="40"/>
              <w:ind w:hanging="391"/>
              <w:rPr>
                <w:rFonts w:cstheme="minorHAnsi"/>
                <w:szCs w:val="22"/>
                <w:lang w:eastAsia="zh-CN"/>
              </w:rPr>
            </w:pPr>
          </w:p>
        </w:tc>
      </w:tr>
      <w:tr w:rsidR="00147EE9" w:rsidRPr="00813DA0" w14:paraId="71524A86" w14:textId="77777777" w:rsidTr="00147EE9">
        <w:tblPrEx>
          <w:tblCellMar>
            <w:left w:w="108" w:type="dxa"/>
            <w:right w:w="108" w:type="dxa"/>
          </w:tblCellMar>
        </w:tblPrEx>
        <w:trPr>
          <w:cantSplit/>
          <w:trHeight w:val="221"/>
          <w:jc w:val="center"/>
        </w:trPr>
        <w:tc>
          <w:tcPr>
            <w:tcW w:w="1275" w:type="dxa"/>
          </w:tcPr>
          <w:p w14:paraId="0F396D2B" w14:textId="1D8FFA99" w:rsidR="00147EE9" w:rsidRPr="00813DA0" w:rsidRDefault="00147EE9" w:rsidP="00147EE9">
            <w:pPr>
              <w:pStyle w:val="Tabletext"/>
              <w:jc w:val="left"/>
              <w:rPr>
                <w:rFonts w:asciiTheme="minorHAnsi" w:hAnsiTheme="minorHAnsi" w:cstheme="minorHAnsi"/>
                <w:sz w:val="22"/>
                <w:szCs w:val="22"/>
              </w:rPr>
            </w:pPr>
            <w:r>
              <w:rPr>
                <w:rFonts w:asciiTheme="minorHAnsi" w:hAnsiTheme="minorHAnsi" w:cstheme="minorHAnsi" w:hint="eastAsia"/>
                <w:b/>
                <w:sz w:val="22"/>
                <w:szCs w:val="22"/>
              </w:rPr>
              <w:t>电话：</w:t>
            </w:r>
          </w:p>
        </w:tc>
        <w:tc>
          <w:tcPr>
            <w:tcW w:w="3599" w:type="dxa"/>
          </w:tcPr>
          <w:p w14:paraId="291DB110" w14:textId="4BACA16B" w:rsidR="00147EE9" w:rsidRPr="00813DA0" w:rsidRDefault="00147EE9" w:rsidP="00147EE9">
            <w:pPr>
              <w:pStyle w:val="Tabletext"/>
              <w:rPr>
                <w:rFonts w:asciiTheme="minorHAnsi" w:hAnsiTheme="minorHAnsi" w:cstheme="minorHAnsi"/>
                <w:b/>
                <w:sz w:val="22"/>
                <w:szCs w:val="22"/>
              </w:rPr>
            </w:pPr>
            <w:r w:rsidRPr="00FB70BC">
              <w:rPr>
                <w:rFonts w:asciiTheme="minorHAnsi" w:hAnsiTheme="minorHAnsi" w:cstheme="minorHAnsi"/>
                <w:szCs w:val="22"/>
              </w:rPr>
              <w:t>+41 22 730 5893</w:t>
            </w:r>
          </w:p>
        </w:tc>
        <w:tc>
          <w:tcPr>
            <w:tcW w:w="5049" w:type="dxa"/>
            <w:gridSpan w:val="2"/>
            <w:vMerge/>
          </w:tcPr>
          <w:p w14:paraId="731E6D41" w14:textId="77777777" w:rsidR="00147EE9" w:rsidRPr="00813DA0" w:rsidRDefault="00147EE9" w:rsidP="00147EE9">
            <w:pPr>
              <w:pStyle w:val="Tabletext"/>
              <w:ind w:left="142" w:hanging="391"/>
              <w:rPr>
                <w:rFonts w:asciiTheme="minorHAnsi" w:hAnsiTheme="minorHAnsi" w:cstheme="minorHAnsi"/>
                <w:sz w:val="22"/>
                <w:szCs w:val="22"/>
              </w:rPr>
            </w:pPr>
          </w:p>
        </w:tc>
      </w:tr>
      <w:tr w:rsidR="00147EE9" w:rsidRPr="00813DA0" w14:paraId="4304A3CE" w14:textId="77777777" w:rsidTr="00147EE9">
        <w:tblPrEx>
          <w:tblCellMar>
            <w:left w:w="108" w:type="dxa"/>
            <w:right w:w="108" w:type="dxa"/>
          </w:tblCellMar>
        </w:tblPrEx>
        <w:trPr>
          <w:cantSplit/>
          <w:trHeight w:val="328"/>
          <w:jc w:val="center"/>
        </w:trPr>
        <w:tc>
          <w:tcPr>
            <w:tcW w:w="1275" w:type="dxa"/>
          </w:tcPr>
          <w:p w14:paraId="4F690DD9" w14:textId="347AF11B" w:rsidR="00147EE9" w:rsidRPr="00B301D4" w:rsidRDefault="00147EE9" w:rsidP="00147EE9">
            <w:pPr>
              <w:pStyle w:val="Tabletext"/>
              <w:jc w:val="left"/>
              <w:rPr>
                <w:rFonts w:asciiTheme="minorHAnsi" w:hAnsiTheme="minorHAnsi" w:cstheme="minorHAnsi"/>
                <w:spacing w:val="-16"/>
                <w:sz w:val="22"/>
                <w:szCs w:val="22"/>
              </w:rPr>
            </w:pPr>
            <w:r>
              <w:rPr>
                <w:rFonts w:asciiTheme="minorHAnsi" w:hAnsiTheme="minorHAnsi" w:cstheme="minorHAnsi" w:hint="eastAsia"/>
                <w:b/>
                <w:sz w:val="22"/>
                <w:szCs w:val="22"/>
              </w:rPr>
              <w:t>传真：</w:t>
            </w:r>
          </w:p>
        </w:tc>
        <w:tc>
          <w:tcPr>
            <w:tcW w:w="3599" w:type="dxa"/>
          </w:tcPr>
          <w:p w14:paraId="52A6E7C6" w14:textId="3AD31834" w:rsidR="00147EE9" w:rsidRPr="00813DA0" w:rsidRDefault="00147EE9" w:rsidP="00147EE9">
            <w:pPr>
              <w:pStyle w:val="Tabletext"/>
              <w:rPr>
                <w:rFonts w:asciiTheme="minorHAnsi" w:hAnsiTheme="minorHAnsi" w:cstheme="minorHAnsi"/>
                <w:b/>
                <w:sz w:val="22"/>
                <w:szCs w:val="22"/>
              </w:rPr>
            </w:pPr>
            <w:r w:rsidRPr="00FB70BC">
              <w:rPr>
                <w:rFonts w:asciiTheme="minorHAnsi" w:hAnsiTheme="minorHAnsi" w:cstheme="minorHAnsi"/>
                <w:szCs w:val="22"/>
              </w:rPr>
              <w:t>+41 22 730 5853</w:t>
            </w:r>
          </w:p>
        </w:tc>
        <w:tc>
          <w:tcPr>
            <w:tcW w:w="5049" w:type="dxa"/>
            <w:gridSpan w:val="2"/>
            <w:vMerge/>
          </w:tcPr>
          <w:p w14:paraId="6816854C" w14:textId="77777777" w:rsidR="00147EE9" w:rsidRPr="00813DA0" w:rsidRDefault="00147EE9" w:rsidP="00147EE9">
            <w:pPr>
              <w:pStyle w:val="Tabletext"/>
              <w:ind w:left="142" w:hanging="391"/>
              <w:rPr>
                <w:rFonts w:asciiTheme="minorHAnsi" w:hAnsiTheme="minorHAnsi" w:cstheme="minorHAnsi"/>
                <w:sz w:val="22"/>
                <w:szCs w:val="22"/>
              </w:rPr>
            </w:pPr>
          </w:p>
        </w:tc>
      </w:tr>
      <w:tr w:rsidR="009311FE" w:rsidRPr="00813DA0" w14:paraId="6C2FCCD4" w14:textId="77777777" w:rsidTr="00F36FE7">
        <w:tblPrEx>
          <w:tblCellMar>
            <w:left w:w="108" w:type="dxa"/>
            <w:right w:w="108" w:type="dxa"/>
          </w:tblCellMar>
        </w:tblPrEx>
        <w:trPr>
          <w:cantSplit/>
          <w:trHeight w:val="2254"/>
          <w:jc w:val="center"/>
        </w:trPr>
        <w:tc>
          <w:tcPr>
            <w:tcW w:w="1275" w:type="dxa"/>
          </w:tcPr>
          <w:p w14:paraId="4F6664B7" w14:textId="77777777" w:rsidR="009311FE" w:rsidRDefault="009311FE" w:rsidP="00147EE9">
            <w:pPr>
              <w:pStyle w:val="Tabletext"/>
              <w:jc w:val="left"/>
              <w:rPr>
                <w:rFonts w:asciiTheme="minorHAnsi" w:hAnsiTheme="minorHAnsi" w:cstheme="minorHAnsi"/>
                <w:b/>
                <w:sz w:val="22"/>
                <w:szCs w:val="22"/>
              </w:rPr>
            </w:pPr>
            <w:r w:rsidRPr="00B301D4">
              <w:rPr>
                <w:rFonts w:asciiTheme="minorHAnsi" w:hAnsiTheme="minorHAnsi" w:cstheme="minorHAnsi" w:hint="eastAsia"/>
                <w:b/>
                <w:spacing w:val="-16"/>
                <w:sz w:val="22"/>
                <w:szCs w:val="22"/>
              </w:rPr>
              <w:t>电子邮件：</w:t>
            </w:r>
          </w:p>
        </w:tc>
        <w:tc>
          <w:tcPr>
            <w:tcW w:w="3599" w:type="dxa"/>
          </w:tcPr>
          <w:p w14:paraId="2632ADCE" w14:textId="6B7E7FA9" w:rsidR="009311FE" w:rsidRPr="00813DA0" w:rsidRDefault="00147EE9" w:rsidP="00147EE9">
            <w:pPr>
              <w:pStyle w:val="Tabletext"/>
              <w:rPr>
                <w:rFonts w:asciiTheme="minorHAnsi" w:hAnsiTheme="minorHAnsi" w:cstheme="minorHAnsi"/>
                <w:sz w:val="22"/>
                <w:szCs w:val="22"/>
              </w:rPr>
            </w:pPr>
            <w:r w:rsidRPr="00FB70BC">
              <w:rPr>
                <w:rStyle w:val="Hyperlink"/>
                <w:rFonts w:asciiTheme="minorHAnsi" w:hAnsiTheme="minorHAnsi" w:cstheme="minorHAnsi"/>
                <w:szCs w:val="22"/>
              </w:rPr>
              <w:t>tsbevents@itu.int</w:t>
            </w:r>
          </w:p>
        </w:tc>
        <w:tc>
          <w:tcPr>
            <w:tcW w:w="5049" w:type="dxa"/>
            <w:gridSpan w:val="2"/>
            <w:vMerge/>
          </w:tcPr>
          <w:p w14:paraId="01426BD7" w14:textId="77777777" w:rsidR="009311FE" w:rsidRPr="00813DA0" w:rsidRDefault="009311FE" w:rsidP="00147EE9">
            <w:pPr>
              <w:pStyle w:val="Tabletext"/>
              <w:ind w:left="142" w:hanging="391"/>
              <w:rPr>
                <w:rFonts w:asciiTheme="minorHAnsi" w:hAnsiTheme="minorHAnsi" w:cstheme="minorHAnsi"/>
                <w:sz w:val="22"/>
                <w:szCs w:val="22"/>
              </w:rPr>
            </w:pPr>
          </w:p>
        </w:tc>
      </w:tr>
      <w:tr w:rsidR="00B301D4" w:rsidRPr="00813DA0" w14:paraId="2D4C25A3" w14:textId="77777777" w:rsidTr="00147EE9">
        <w:tblPrEx>
          <w:tblCellMar>
            <w:left w:w="108" w:type="dxa"/>
            <w:right w:w="108" w:type="dxa"/>
          </w:tblCellMar>
        </w:tblPrEx>
        <w:trPr>
          <w:cantSplit/>
          <w:trHeight w:val="618"/>
          <w:jc w:val="center"/>
        </w:trPr>
        <w:tc>
          <w:tcPr>
            <w:tcW w:w="1275" w:type="dxa"/>
          </w:tcPr>
          <w:p w14:paraId="240CDE98" w14:textId="788AD6A0" w:rsidR="00B301D4" w:rsidRPr="00650ABE" w:rsidRDefault="00B301D4" w:rsidP="00147EE9">
            <w:pPr>
              <w:pStyle w:val="Tabletext"/>
              <w:rPr>
                <w:rFonts w:asciiTheme="minorHAnsi" w:hAnsiTheme="minorHAnsi" w:cstheme="minorHAnsi"/>
                <w:sz w:val="22"/>
                <w:szCs w:val="22"/>
              </w:rPr>
            </w:pPr>
            <w:r w:rsidRPr="00650ABE">
              <w:rPr>
                <w:rFonts w:asciiTheme="minorHAnsi" w:hAnsiTheme="minorHAnsi" w:cstheme="minorHAnsi" w:hint="eastAsia"/>
                <w:b/>
                <w:sz w:val="22"/>
                <w:szCs w:val="22"/>
              </w:rPr>
              <w:t>事由：</w:t>
            </w:r>
          </w:p>
        </w:tc>
        <w:tc>
          <w:tcPr>
            <w:tcW w:w="8648" w:type="dxa"/>
            <w:gridSpan w:val="3"/>
          </w:tcPr>
          <w:p w14:paraId="1CC42F02" w14:textId="1F5829E5" w:rsidR="00B301D4" w:rsidRPr="00650ABE" w:rsidRDefault="00147EE9" w:rsidP="00147EE9">
            <w:pPr>
              <w:pStyle w:val="Tabletext"/>
              <w:jc w:val="left"/>
              <w:rPr>
                <w:rFonts w:asciiTheme="minorHAnsi" w:hAnsiTheme="minorHAnsi" w:cstheme="minorHAnsi"/>
                <w:sz w:val="22"/>
                <w:szCs w:val="22"/>
              </w:rPr>
            </w:pPr>
            <w:r w:rsidRPr="00650ABE">
              <w:rPr>
                <w:rFonts w:asciiTheme="minorHAnsi" w:eastAsiaTheme="minorEastAsia" w:hAnsiTheme="minorHAnsi" w:cstheme="minorHAnsi" w:hint="eastAsia"/>
                <w:b/>
                <w:sz w:val="22"/>
                <w:szCs w:val="22"/>
              </w:rPr>
              <w:t>国际电联</w:t>
            </w:r>
            <w:r w:rsidRPr="00650ABE">
              <w:rPr>
                <w:rFonts w:asciiTheme="minorHAnsi" w:eastAsiaTheme="minorEastAsia" w:hAnsiTheme="minorHAnsi" w:cstheme="minorHAnsi"/>
                <w:b/>
                <w:sz w:val="22"/>
                <w:szCs w:val="22"/>
              </w:rPr>
              <w:t>-</w:t>
            </w:r>
            <w:r w:rsidRPr="00650ABE">
              <w:rPr>
                <w:rFonts w:asciiTheme="minorHAnsi" w:eastAsiaTheme="minorEastAsia" w:hAnsiTheme="minorHAnsi" w:cstheme="minorHAnsi" w:hint="eastAsia"/>
                <w:b/>
                <w:sz w:val="22"/>
                <w:szCs w:val="22"/>
              </w:rPr>
              <w:t>世卫组织利益攸关方关于“确保聆听安全”倡议的磋商</w:t>
            </w:r>
            <w:r w:rsidRPr="00650ABE">
              <w:rPr>
                <w:rFonts w:asciiTheme="minorHAnsi" w:eastAsiaTheme="minorEastAsia" w:hAnsiTheme="minorHAnsi" w:cstheme="minorHAnsi"/>
                <w:b/>
                <w:sz w:val="22"/>
                <w:szCs w:val="22"/>
              </w:rPr>
              <w:br/>
            </w:r>
            <w:r w:rsidRPr="00650ABE">
              <w:rPr>
                <w:rFonts w:asciiTheme="minorHAnsi" w:eastAsiaTheme="minorEastAsia" w:hAnsiTheme="minorHAnsi" w:cstheme="minorHAnsi" w:hint="eastAsia"/>
                <w:b/>
                <w:sz w:val="22"/>
                <w:szCs w:val="22"/>
              </w:rPr>
              <w:t>（</w:t>
            </w:r>
            <w:r w:rsidRPr="00650ABE">
              <w:rPr>
                <w:rFonts w:asciiTheme="minorHAnsi" w:eastAsiaTheme="minorEastAsia" w:hAnsiTheme="minorHAnsi" w:cstheme="minorHAnsi"/>
                <w:b/>
                <w:sz w:val="22"/>
                <w:szCs w:val="22"/>
              </w:rPr>
              <w:t>2025</w:t>
            </w:r>
            <w:r w:rsidRPr="00650ABE">
              <w:rPr>
                <w:rFonts w:asciiTheme="minorHAnsi" w:eastAsiaTheme="minorEastAsia" w:hAnsiTheme="minorHAnsi" w:cstheme="minorHAnsi" w:hint="eastAsia"/>
                <w:b/>
                <w:sz w:val="22"/>
                <w:szCs w:val="22"/>
              </w:rPr>
              <w:t>年</w:t>
            </w:r>
            <w:r w:rsidRPr="00650ABE">
              <w:rPr>
                <w:rFonts w:asciiTheme="minorHAnsi" w:eastAsiaTheme="minorEastAsia" w:hAnsiTheme="minorHAnsi" w:cstheme="minorHAnsi"/>
                <w:b/>
                <w:sz w:val="22"/>
                <w:szCs w:val="22"/>
              </w:rPr>
              <w:t>7</w:t>
            </w:r>
            <w:r w:rsidRPr="00650ABE">
              <w:rPr>
                <w:rFonts w:asciiTheme="minorHAnsi" w:eastAsiaTheme="minorEastAsia" w:hAnsiTheme="minorHAnsi" w:cstheme="minorHAnsi" w:hint="eastAsia"/>
                <w:b/>
                <w:sz w:val="22"/>
                <w:szCs w:val="22"/>
              </w:rPr>
              <w:t>月</w:t>
            </w:r>
            <w:r w:rsidRPr="00650ABE">
              <w:rPr>
                <w:rFonts w:asciiTheme="minorHAnsi" w:eastAsiaTheme="minorEastAsia" w:hAnsiTheme="minorHAnsi" w:cstheme="minorHAnsi"/>
                <w:b/>
                <w:sz w:val="22"/>
                <w:szCs w:val="22"/>
              </w:rPr>
              <w:t>1-3</w:t>
            </w:r>
            <w:r w:rsidRPr="00650ABE">
              <w:rPr>
                <w:rFonts w:asciiTheme="minorHAnsi" w:eastAsiaTheme="minorEastAsia" w:hAnsiTheme="minorHAnsi" w:cstheme="minorHAnsi" w:hint="eastAsia"/>
                <w:b/>
                <w:sz w:val="22"/>
                <w:szCs w:val="22"/>
              </w:rPr>
              <w:t>日，瑞士日内瓦）</w:t>
            </w:r>
          </w:p>
        </w:tc>
      </w:tr>
    </w:tbl>
    <w:p w14:paraId="268DCDA5" w14:textId="28F426B4" w:rsidR="0063445E" w:rsidRPr="00147EE9" w:rsidRDefault="0063445E" w:rsidP="00B334AF">
      <w:pPr>
        <w:spacing w:before="240"/>
        <w:rPr>
          <w:szCs w:val="22"/>
          <w:lang w:eastAsia="zh-CN"/>
        </w:rPr>
      </w:pPr>
      <w:r w:rsidRPr="00147EE9">
        <w:rPr>
          <w:rFonts w:hint="eastAsia"/>
          <w:szCs w:val="22"/>
          <w:lang w:eastAsia="zh-CN"/>
        </w:rPr>
        <w:t>尊敬的先生</w:t>
      </w:r>
      <w:r w:rsidRPr="00147EE9">
        <w:rPr>
          <w:rFonts w:hint="eastAsia"/>
          <w:szCs w:val="22"/>
          <w:lang w:eastAsia="zh-CN"/>
        </w:rPr>
        <w:t>/</w:t>
      </w:r>
      <w:r w:rsidRPr="00147EE9">
        <w:rPr>
          <w:rFonts w:hint="eastAsia"/>
          <w:szCs w:val="22"/>
          <w:lang w:eastAsia="zh-CN"/>
        </w:rPr>
        <w:t>女士：</w:t>
      </w:r>
    </w:p>
    <w:p w14:paraId="4BB6023B" w14:textId="3100C406" w:rsidR="00147EE9" w:rsidRPr="00147EE9" w:rsidRDefault="00147EE9" w:rsidP="00147EE9">
      <w:pPr>
        <w:rPr>
          <w:rFonts w:cstheme="minorHAnsi"/>
          <w:szCs w:val="22"/>
          <w:lang w:eastAsia="zh-CN"/>
        </w:rPr>
      </w:pPr>
      <w:r w:rsidRPr="00147EE9">
        <w:rPr>
          <w:rFonts w:cstheme="minorHAnsi"/>
          <w:szCs w:val="22"/>
          <w:lang w:eastAsia="zh-CN"/>
        </w:rPr>
        <w:t>1</w:t>
      </w:r>
      <w:r w:rsidRPr="00147EE9">
        <w:rPr>
          <w:rFonts w:cstheme="minorHAnsi"/>
          <w:szCs w:val="22"/>
          <w:lang w:eastAsia="zh-CN"/>
        </w:rPr>
        <w:tab/>
      </w:r>
      <w:r w:rsidRPr="00147EE9">
        <w:rPr>
          <w:rFonts w:cstheme="minorHAnsi"/>
          <w:szCs w:val="22"/>
          <w:lang w:eastAsia="zh-CN"/>
        </w:rPr>
        <w:tab/>
      </w:r>
      <w:r w:rsidRPr="00147EE9">
        <w:rPr>
          <w:rFonts w:cstheme="minorHAnsi" w:hint="eastAsia"/>
          <w:szCs w:val="22"/>
          <w:lang w:eastAsia="zh-CN"/>
        </w:rPr>
        <w:t>国际电信联盟（国际电联）与世界卫生组织（世卫组织）正在合作推进</w:t>
      </w:r>
      <w:r w:rsidRPr="00147EE9">
        <w:rPr>
          <w:rFonts w:cstheme="minorHAnsi" w:hint="eastAsia"/>
          <w:b/>
          <w:bCs/>
          <w:szCs w:val="22"/>
          <w:lang w:eastAsia="zh-CN"/>
        </w:rPr>
        <w:t>“确保聆听安全”倡议（</w:t>
      </w:r>
      <w:r w:rsidRPr="00147EE9">
        <w:rPr>
          <w:rFonts w:cstheme="minorHAnsi"/>
          <w:b/>
          <w:bCs/>
          <w:szCs w:val="22"/>
          <w:lang w:eastAsia="zh-CN"/>
        </w:rPr>
        <w:t>MLS</w:t>
      </w:r>
      <w:r w:rsidRPr="00147EE9">
        <w:rPr>
          <w:rFonts w:cstheme="minorHAnsi" w:hint="eastAsia"/>
          <w:b/>
          <w:bCs/>
          <w:szCs w:val="22"/>
          <w:lang w:eastAsia="zh-CN"/>
        </w:rPr>
        <w:t>）</w:t>
      </w:r>
      <w:r w:rsidRPr="00147EE9">
        <w:rPr>
          <w:rFonts w:cstheme="minorHAnsi" w:hint="eastAsia"/>
          <w:szCs w:val="22"/>
          <w:lang w:eastAsia="zh-CN"/>
        </w:rPr>
        <w:t>，以应对超过</w:t>
      </w:r>
      <w:r w:rsidRPr="00147EE9">
        <w:rPr>
          <w:rFonts w:cstheme="minorHAnsi"/>
          <w:szCs w:val="22"/>
          <w:lang w:eastAsia="zh-CN"/>
        </w:rPr>
        <w:t>10</w:t>
      </w:r>
      <w:r w:rsidRPr="00147EE9">
        <w:rPr>
          <w:rFonts w:cstheme="minorHAnsi" w:hint="eastAsia"/>
          <w:szCs w:val="22"/>
          <w:lang w:eastAsia="zh-CN"/>
        </w:rPr>
        <w:t>亿青年因暴露于不安全的聆听做法而造成听力损失这一全球公共卫生挑战。世卫组织于</w:t>
      </w:r>
      <w:r w:rsidRPr="00147EE9">
        <w:rPr>
          <w:rFonts w:cstheme="minorHAnsi"/>
          <w:szCs w:val="22"/>
          <w:lang w:eastAsia="zh-CN"/>
        </w:rPr>
        <w:t>2015</w:t>
      </w:r>
      <w:r w:rsidRPr="00147EE9">
        <w:rPr>
          <w:rFonts w:cstheme="minorHAnsi" w:hint="eastAsia"/>
          <w:szCs w:val="22"/>
          <w:lang w:eastAsia="zh-CN"/>
        </w:rPr>
        <w:t>年启动了该举措，国际电联在此基础上贡献了</w:t>
      </w:r>
      <w:r w:rsidRPr="00147EE9">
        <w:rPr>
          <w:rFonts w:cstheme="minorHAnsi"/>
          <w:szCs w:val="22"/>
          <w:lang w:eastAsia="zh-CN"/>
        </w:rPr>
        <w:t>ICT</w:t>
      </w:r>
      <w:r w:rsidRPr="00147EE9">
        <w:rPr>
          <w:rFonts w:cstheme="minorHAnsi" w:hint="eastAsia"/>
          <w:szCs w:val="22"/>
          <w:lang w:eastAsia="zh-CN"/>
        </w:rPr>
        <w:t>标准化和利益攸关方参与方面的专业知识，特别是在音频设备、游戏、电子竞技和娱乐场所等技术驱动型行业方面。磋商将于</w:t>
      </w:r>
      <w:r w:rsidRPr="00147EE9">
        <w:rPr>
          <w:rFonts w:cstheme="minorHAnsi"/>
          <w:szCs w:val="22"/>
          <w:lang w:eastAsia="zh-CN"/>
        </w:rPr>
        <w:t>2025</w:t>
      </w:r>
      <w:r w:rsidRPr="00147EE9">
        <w:rPr>
          <w:rFonts w:cstheme="minorHAnsi" w:hint="eastAsia"/>
          <w:szCs w:val="22"/>
          <w:lang w:eastAsia="zh-CN"/>
        </w:rPr>
        <w:t>年</w:t>
      </w:r>
      <w:r w:rsidRPr="00147EE9">
        <w:rPr>
          <w:rFonts w:cstheme="minorHAnsi"/>
          <w:szCs w:val="22"/>
          <w:lang w:eastAsia="zh-CN"/>
        </w:rPr>
        <w:t>7</w:t>
      </w:r>
      <w:r w:rsidRPr="00147EE9">
        <w:rPr>
          <w:rFonts w:cstheme="minorHAnsi" w:hint="eastAsia"/>
          <w:szCs w:val="22"/>
          <w:lang w:eastAsia="zh-CN"/>
        </w:rPr>
        <w:t>月</w:t>
      </w:r>
      <w:r w:rsidRPr="00147EE9">
        <w:rPr>
          <w:rFonts w:cstheme="minorHAnsi"/>
          <w:szCs w:val="22"/>
          <w:lang w:eastAsia="zh-CN"/>
        </w:rPr>
        <w:t>1</w:t>
      </w:r>
      <w:r w:rsidRPr="00147EE9">
        <w:rPr>
          <w:rFonts w:cstheme="minorHAnsi" w:hint="eastAsia"/>
          <w:szCs w:val="22"/>
          <w:lang w:eastAsia="zh-CN"/>
        </w:rPr>
        <w:t>日至</w:t>
      </w:r>
      <w:r w:rsidRPr="00147EE9">
        <w:rPr>
          <w:rFonts w:cstheme="minorHAnsi"/>
          <w:szCs w:val="22"/>
          <w:lang w:eastAsia="zh-CN"/>
        </w:rPr>
        <w:t>3</w:t>
      </w:r>
      <w:r w:rsidRPr="00147EE9">
        <w:rPr>
          <w:rFonts w:cstheme="minorHAnsi" w:hint="eastAsia"/>
          <w:szCs w:val="22"/>
          <w:lang w:eastAsia="zh-CN"/>
        </w:rPr>
        <w:t>日举行，召集全球利益攸关方审查进展情况、制定实施战略，并加强伙伴关系，以推广安全聆听做法。</w:t>
      </w:r>
    </w:p>
    <w:p w14:paraId="20807398" w14:textId="77777777" w:rsidR="00147EE9" w:rsidRPr="00147EE9" w:rsidRDefault="00147EE9" w:rsidP="00147EE9">
      <w:pPr>
        <w:ind w:firstLineChars="200" w:firstLine="440"/>
        <w:rPr>
          <w:rFonts w:cstheme="minorHAnsi"/>
          <w:szCs w:val="22"/>
          <w:lang w:eastAsia="zh-CN"/>
        </w:rPr>
      </w:pPr>
      <w:r w:rsidRPr="00147EE9">
        <w:rPr>
          <w:rFonts w:cstheme="minorHAnsi" w:hint="eastAsia"/>
          <w:szCs w:val="22"/>
          <w:lang w:eastAsia="zh-CN"/>
        </w:rPr>
        <w:t>磋商结束后，将于</w:t>
      </w:r>
      <w:r w:rsidRPr="00147EE9">
        <w:rPr>
          <w:rFonts w:cstheme="minorHAnsi"/>
          <w:szCs w:val="22"/>
          <w:lang w:eastAsia="zh-CN"/>
        </w:rPr>
        <w:t>7</w:t>
      </w:r>
      <w:r w:rsidRPr="00147EE9">
        <w:rPr>
          <w:rFonts w:cstheme="minorHAnsi" w:hint="eastAsia"/>
          <w:szCs w:val="22"/>
          <w:lang w:eastAsia="zh-CN"/>
        </w:rPr>
        <w:t>月</w:t>
      </w:r>
      <w:r w:rsidRPr="00147EE9">
        <w:rPr>
          <w:rFonts w:cstheme="minorHAnsi"/>
          <w:szCs w:val="22"/>
          <w:lang w:eastAsia="zh-CN"/>
        </w:rPr>
        <w:t>3</w:t>
      </w:r>
      <w:r w:rsidRPr="00147EE9">
        <w:rPr>
          <w:rFonts w:cstheme="minorHAnsi" w:hint="eastAsia"/>
          <w:szCs w:val="22"/>
          <w:lang w:eastAsia="zh-CN"/>
        </w:rPr>
        <w:t>日下午召开第</w:t>
      </w:r>
      <w:r w:rsidRPr="00147EE9">
        <w:rPr>
          <w:rFonts w:cstheme="minorHAnsi"/>
          <w:szCs w:val="22"/>
          <w:lang w:eastAsia="zh-CN"/>
        </w:rPr>
        <w:t>2/21</w:t>
      </w:r>
      <w:r w:rsidRPr="00147EE9">
        <w:rPr>
          <w:rFonts w:cstheme="minorHAnsi" w:hint="eastAsia"/>
          <w:szCs w:val="22"/>
          <w:lang w:eastAsia="zh-CN"/>
        </w:rPr>
        <w:t>号课题“数字卫生应用的多媒体框架”报告人组会议。计划于</w:t>
      </w:r>
      <w:r w:rsidRPr="00147EE9">
        <w:rPr>
          <w:rFonts w:cstheme="minorHAnsi"/>
          <w:szCs w:val="22"/>
          <w:lang w:eastAsia="zh-CN"/>
        </w:rPr>
        <w:t>2025</w:t>
      </w:r>
      <w:r w:rsidRPr="00147EE9">
        <w:rPr>
          <w:rFonts w:cstheme="minorHAnsi" w:hint="eastAsia"/>
          <w:szCs w:val="22"/>
          <w:lang w:eastAsia="zh-CN"/>
        </w:rPr>
        <w:t>年</w:t>
      </w:r>
      <w:r w:rsidRPr="00147EE9">
        <w:rPr>
          <w:rFonts w:cstheme="minorHAnsi"/>
          <w:szCs w:val="22"/>
          <w:lang w:eastAsia="zh-CN"/>
        </w:rPr>
        <w:t>7</w:t>
      </w:r>
      <w:r w:rsidRPr="00147EE9">
        <w:rPr>
          <w:rFonts w:cstheme="minorHAnsi" w:hint="eastAsia"/>
          <w:szCs w:val="22"/>
          <w:lang w:eastAsia="zh-CN"/>
        </w:rPr>
        <w:t>月</w:t>
      </w:r>
      <w:r w:rsidRPr="00147EE9">
        <w:rPr>
          <w:rFonts w:cstheme="minorHAnsi"/>
          <w:szCs w:val="22"/>
          <w:lang w:eastAsia="zh-CN"/>
        </w:rPr>
        <w:t>4</w:t>
      </w:r>
      <w:r w:rsidRPr="00147EE9">
        <w:rPr>
          <w:rFonts w:cstheme="minorHAnsi" w:hint="eastAsia"/>
          <w:szCs w:val="22"/>
          <w:lang w:eastAsia="zh-CN"/>
        </w:rPr>
        <w:t>日召开第</w:t>
      </w:r>
      <w:r w:rsidRPr="00147EE9">
        <w:rPr>
          <w:rFonts w:cstheme="minorHAnsi"/>
          <w:szCs w:val="22"/>
          <w:lang w:eastAsia="zh-CN"/>
        </w:rPr>
        <w:t>2/21</w:t>
      </w:r>
      <w:r w:rsidRPr="00147EE9">
        <w:rPr>
          <w:rFonts w:cstheme="minorHAnsi" w:hint="eastAsia"/>
          <w:szCs w:val="22"/>
          <w:lang w:eastAsia="zh-CN"/>
        </w:rPr>
        <w:t>号课题工作组会议（具体细节待定，详情请见</w:t>
      </w:r>
      <w:hyperlink r:id="rId8" w:history="1">
        <w:r w:rsidRPr="00147EE9">
          <w:rPr>
            <w:rStyle w:val="Hyperlink"/>
            <w:rFonts w:cstheme="minorHAnsi"/>
            <w:color w:val="auto"/>
            <w:szCs w:val="22"/>
            <w:u w:val="none"/>
            <w:lang w:eastAsia="zh-CN"/>
          </w:rPr>
          <w:t>电信标准化局</w:t>
        </w:r>
        <w:r w:rsidRPr="00147EE9">
          <w:rPr>
            <w:rStyle w:val="Hyperlink"/>
            <w:lang w:eastAsia="zh-CN"/>
          </w:rPr>
          <w:t>第</w:t>
        </w:r>
        <w:r w:rsidRPr="00147EE9">
          <w:rPr>
            <w:rStyle w:val="Hyperlink"/>
            <w:lang w:eastAsia="zh-CN"/>
          </w:rPr>
          <w:t>2/21</w:t>
        </w:r>
        <w:r w:rsidRPr="00147EE9">
          <w:rPr>
            <w:rStyle w:val="Hyperlink"/>
            <w:lang w:eastAsia="zh-CN"/>
          </w:rPr>
          <w:t>号集体函</w:t>
        </w:r>
      </w:hyperlink>
      <w:r w:rsidRPr="00147EE9">
        <w:rPr>
          <w:rFonts w:cstheme="minorHAnsi" w:hint="eastAsia"/>
          <w:szCs w:val="22"/>
          <w:lang w:eastAsia="zh-CN"/>
        </w:rPr>
        <w:t>）。</w:t>
      </w:r>
    </w:p>
    <w:p w14:paraId="7ADF3FBE" w14:textId="77777777" w:rsidR="00147EE9" w:rsidRPr="00147EE9" w:rsidRDefault="00147EE9" w:rsidP="00147EE9">
      <w:pPr>
        <w:rPr>
          <w:rFonts w:cstheme="minorHAnsi"/>
          <w:szCs w:val="22"/>
          <w:lang w:eastAsia="zh-CN"/>
        </w:rPr>
      </w:pPr>
      <w:r w:rsidRPr="00147EE9">
        <w:rPr>
          <w:rFonts w:cstheme="minorHAnsi"/>
          <w:szCs w:val="22"/>
          <w:lang w:eastAsia="zh-CN"/>
        </w:rPr>
        <w:t>2</w:t>
      </w:r>
      <w:r w:rsidRPr="00147EE9">
        <w:rPr>
          <w:rFonts w:cstheme="minorHAnsi"/>
          <w:szCs w:val="22"/>
          <w:lang w:eastAsia="zh-CN"/>
        </w:rPr>
        <w:tab/>
      </w:r>
      <w:r w:rsidRPr="00147EE9">
        <w:rPr>
          <w:rFonts w:cstheme="minorHAnsi" w:hint="eastAsia"/>
          <w:szCs w:val="22"/>
          <w:lang w:eastAsia="zh-CN"/>
        </w:rPr>
        <w:t>此次磋商的目的是：</w:t>
      </w:r>
    </w:p>
    <w:p w14:paraId="619D5EB2" w14:textId="207F94F5" w:rsidR="00147EE9" w:rsidRPr="00147EE9" w:rsidRDefault="00147EE9" w:rsidP="00147EE9">
      <w:pPr>
        <w:pStyle w:val="enumlev1"/>
        <w:rPr>
          <w:lang w:eastAsia="zh-CN"/>
        </w:rPr>
      </w:pPr>
      <w:r>
        <w:rPr>
          <w:lang w:eastAsia="zh-CN"/>
        </w:rPr>
        <w:t>–</w:t>
      </w:r>
      <w:r>
        <w:rPr>
          <w:lang w:val="en-US" w:eastAsia="zh-CN"/>
        </w:rPr>
        <w:tab/>
      </w:r>
      <w:r w:rsidRPr="00147EE9">
        <w:rPr>
          <w:rFonts w:hint="eastAsia"/>
          <w:u w:val="single"/>
          <w:lang w:eastAsia="zh-CN"/>
        </w:rPr>
        <w:t>评估进展</w:t>
      </w:r>
      <w:r w:rsidRPr="00147EE9">
        <w:rPr>
          <w:rFonts w:hint="eastAsia"/>
          <w:lang w:eastAsia="zh-CN"/>
        </w:rPr>
        <w:t>：评估自</w:t>
      </w:r>
      <w:r w:rsidRPr="00147EE9">
        <w:rPr>
          <w:lang w:eastAsia="zh-CN"/>
        </w:rPr>
        <w:t>2023</w:t>
      </w:r>
      <w:r w:rsidRPr="00147EE9">
        <w:rPr>
          <w:rFonts w:hint="eastAsia"/>
          <w:lang w:eastAsia="zh-CN"/>
        </w:rPr>
        <w:t>年</w:t>
      </w:r>
      <w:r w:rsidRPr="00147EE9">
        <w:rPr>
          <w:lang w:eastAsia="zh-CN"/>
        </w:rPr>
        <w:t>MLS</w:t>
      </w:r>
      <w:r w:rsidRPr="00147EE9">
        <w:rPr>
          <w:rFonts w:hint="eastAsia"/>
          <w:lang w:eastAsia="zh-CN"/>
        </w:rPr>
        <w:t>活动以来，在政策、标准和宣传活动方面取得的进展，重点是国际电联在制定音频设备和</w:t>
      </w:r>
      <w:r w:rsidRPr="00147EE9">
        <w:rPr>
          <w:lang w:eastAsia="zh-CN"/>
        </w:rPr>
        <w:t>ICT</w:t>
      </w:r>
      <w:r w:rsidRPr="00147EE9">
        <w:rPr>
          <w:rFonts w:hint="eastAsia"/>
          <w:lang w:eastAsia="zh-CN"/>
        </w:rPr>
        <w:t>生态系统技术标准方面的作用。</w:t>
      </w:r>
    </w:p>
    <w:p w14:paraId="6D46CA79" w14:textId="282B38A2" w:rsidR="00147EE9" w:rsidRPr="00147EE9" w:rsidRDefault="00147EE9" w:rsidP="00147EE9">
      <w:pPr>
        <w:pStyle w:val="enumlev1"/>
        <w:rPr>
          <w:lang w:eastAsia="zh-CN"/>
        </w:rPr>
      </w:pPr>
      <w:r>
        <w:rPr>
          <w:lang w:eastAsia="zh-CN"/>
        </w:rPr>
        <w:t>–</w:t>
      </w:r>
      <w:r>
        <w:rPr>
          <w:lang w:val="en-US" w:eastAsia="zh-CN"/>
        </w:rPr>
        <w:tab/>
      </w:r>
      <w:r w:rsidRPr="00147EE9">
        <w:rPr>
          <w:rFonts w:hint="eastAsia"/>
          <w:u w:val="single"/>
          <w:lang w:eastAsia="zh-CN"/>
        </w:rPr>
        <w:t>制定战略</w:t>
      </w:r>
      <w:r w:rsidRPr="00147EE9">
        <w:rPr>
          <w:rFonts w:hint="eastAsia"/>
          <w:lang w:eastAsia="zh-CN"/>
        </w:rPr>
        <w:t>：制定可行的计划，将安全聆听做法纳入</w:t>
      </w:r>
      <w:r w:rsidRPr="00147EE9">
        <w:rPr>
          <w:lang w:eastAsia="zh-CN"/>
        </w:rPr>
        <w:t>ICT</w:t>
      </w:r>
      <w:r w:rsidRPr="00147EE9">
        <w:rPr>
          <w:rFonts w:hint="eastAsia"/>
          <w:lang w:eastAsia="zh-CN"/>
        </w:rPr>
        <w:t>行业（如视频游戏、音乐流），并利用国际电联的标准化框架。</w:t>
      </w:r>
    </w:p>
    <w:p w14:paraId="4FD26ECE" w14:textId="1D286703" w:rsidR="00147EE9" w:rsidRPr="00147EE9" w:rsidRDefault="00147EE9" w:rsidP="00147EE9">
      <w:pPr>
        <w:pStyle w:val="enumlev1"/>
        <w:rPr>
          <w:lang w:eastAsia="zh-CN"/>
        </w:rPr>
      </w:pPr>
      <w:r>
        <w:rPr>
          <w:lang w:eastAsia="zh-CN"/>
        </w:rPr>
        <w:t>–</w:t>
      </w:r>
      <w:r>
        <w:rPr>
          <w:lang w:val="en-US" w:eastAsia="zh-CN"/>
        </w:rPr>
        <w:tab/>
      </w:r>
      <w:r w:rsidRPr="00147EE9">
        <w:rPr>
          <w:rFonts w:hint="eastAsia"/>
          <w:u w:val="single"/>
          <w:lang w:eastAsia="zh-CN"/>
        </w:rPr>
        <w:t>加强伙伴关系</w:t>
      </w:r>
      <w:r w:rsidRPr="00147EE9">
        <w:rPr>
          <w:rFonts w:hint="eastAsia"/>
          <w:lang w:eastAsia="zh-CN"/>
        </w:rPr>
        <w:t>：加强国际电联成员国、标准化机构、私营部门技术创新者和青年倡导者之间的合作，推动制定跨部门解决方案。</w:t>
      </w:r>
    </w:p>
    <w:p w14:paraId="56F1AF93" w14:textId="77777777" w:rsidR="00147EE9" w:rsidRPr="00147EE9" w:rsidRDefault="00147EE9" w:rsidP="00147EE9">
      <w:pPr>
        <w:rPr>
          <w:rFonts w:cstheme="minorHAnsi"/>
          <w:szCs w:val="22"/>
          <w:lang w:eastAsia="zh-CN"/>
        </w:rPr>
      </w:pPr>
      <w:r w:rsidRPr="00147EE9">
        <w:rPr>
          <w:rFonts w:cstheme="minorHAnsi"/>
          <w:szCs w:val="22"/>
          <w:lang w:eastAsia="zh-CN"/>
        </w:rPr>
        <w:t>3</w:t>
      </w:r>
      <w:r w:rsidRPr="00147EE9">
        <w:rPr>
          <w:rFonts w:cstheme="minorHAnsi"/>
          <w:szCs w:val="22"/>
          <w:lang w:eastAsia="zh-CN"/>
        </w:rPr>
        <w:tab/>
      </w:r>
      <w:r w:rsidRPr="00147EE9">
        <w:rPr>
          <w:rFonts w:cstheme="minorHAnsi" w:hint="eastAsia"/>
          <w:szCs w:val="22"/>
          <w:lang w:eastAsia="zh-CN"/>
        </w:rPr>
        <w:t>此次磋商面向</w:t>
      </w:r>
      <w:r w:rsidRPr="00147EE9">
        <w:rPr>
          <w:rFonts w:cstheme="minorHAnsi"/>
          <w:szCs w:val="22"/>
          <w:lang w:eastAsia="zh-CN"/>
        </w:rPr>
        <w:t>ICT</w:t>
      </w:r>
      <w:r w:rsidRPr="00147EE9">
        <w:rPr>
          <w:rFonts w:cstheme="minorHAnsi" w:hint="eastAsia"/>
          <w:szCs w:val="22"/>
          <w:lang w:eastAsia="zh-CN"/>
        </w:rPr>
        <w:t>和标准专家、行业领导者、政策和宣传团体、卫生和技术学术界。</w:t>
      </w:r>
    </w:p>
    <w:p w14:paraId="10E972F9" w14:textId="77777777" w:rsidR="00147EE9" w:rsidRPr="00147EE9" w:rsidRDefault="00147EE9" w:rsidP="00147EE9">
      <w:pPr>
        <w:rPr>
          <w:rFonts w:cstheme="minorHAnsi"/>
          <w:szCs w:val="22"/>
          <w:lang w:eastAsia="zh-CN"/>
        </w:rPr>
      </w:pPr>
      <w:r w:rsidRPr="00147EE9">
        <w:rPr>
          <w:rFonts w:cstheme="minorHAnsi"/>
          <w:szCs w:val="22"/>
          <w:lang w:eastAsia="zh-CN"/>
        </w:rPr>
        <w:t>4</w:t>
      </w:r>
      <w:r w:rsidRPr="00147EE9">
        <w:rPr>
          <w:rFonts w:cstheme="minorHAnsi"/>
          <w:szCs w:val="22"/>
          <w:lang w:eastAsia="zh-CN"/>
        </w:rPr>
        <w:tab/>
      </w:r>
      <w:r w:rsidRPr="00147EE9">
        <w:rPr>
          <w:rFonts w:cstheme="minorHAnsi" w:hint="eastAsia"/>
          <w:szCs w:val="22"/>
          <w:lang w:eastAsia="zh-CN"/>
        </w:rPr>
        <w:t>成员国、部门成员、部门准成员和学术机构以及来自国际电联成员国并希望为此工作做出贡献的任何个人均可参加此次磋商。参加会议不收取任何费用。将提供远程参会服务。</w:t>
      </w:r>
    </w:p>
    <w:p w14:paraId="66EC6264" w14:textId="77777777" w:rsidR="00147EE9" w:rsidRPr="00147EE9" w:rsidRDefault="00147EE9" w:rsidP="00147EE9">
      <w:pPr>
        <w:rPr>
          <w:rFonts w:cstheme="minorHAnsi"/>
          <w:szCs w:val="22"/>
          <w:lang w:eastAsia="zh-CN"/>
        </w:rPr>
      </w:pPr>
      <w:r w:rsidRPr="00147EE9">
        <w:rPr>
          <w:rFonts w:cstheme="minorHAnsi"/>
          <w:szCs w:val="22"/>
          <w:lang w:eastAsia="zh-CN"/>
        </w:rPr>
        <w:t>5</w:t>
      </w:r>
      <w:r w:rsidRPr="00147EE9">
        <w:rPr>
          <w:rFonts w:cstheme="minorHAnsi"/>
          <w:szCs w:val="22"/>
          <w:lang w:eastAsia="zh-CN"/>
        </w:rPr>
        <w:tab/>
      </w:r>
      <w:r w:rsidRPr="00147EE9">
        <w:rPr>
          <w:rFonts w:cstheme="minorHAnsi"/>
          <w:szCs w:val="22"/>
          <w:lang w:eastAsia="zh-CN"/>
        </w:rPr>
        <w:tab/>
      </w:r>
      <w:r w:rsidRPr="00147EE9">
        <w:rPr>
          <w:rFonts w:cstheme="minorHAnsi" w:hint="eastAsia"/>
          <w:szCs w:val="22"/>
          <w:lang w:eastAsia="zh-CN"/>
        </w:rPr>
        <w:t>所有与会议相关的信息，包括工作时间和日程草案，将在此处的活动网站上提供：</w:t>
      </w:r>
      <w:hyperlink r:id="rId9">
        <w:r w:rsidRPr="00147EE9">
          <w:rPr>
            <w:rStyle w:val="Hyperlink"/>
            <w:lang w:eastAsia="zh-CN"/>
          </w:rPr>
          <w:t>https://itu.int/en/ITU-T/Workshops-and-Seminars/2025/0701</w:t>
        </w:r>
      </w:hyperlink>
      <w:r w:rsidRPr="00147EE9">
        <w:rPr>
          <w:rFonts w:cstheme="minorHAnsi" w:hint="eastAsia"/>
          <w:szCs w:val="22"/>
          <w:lang w:eastAsia="zh-CN"/>
        </w:rPr>
        <w:t>。活动网页将随着更多信息的出现定期更新。鼓励与会者定期查看网页上的最新信息。</w:t>
      </w:r>
    </w:p>
    <w:p w14:paraId="15878F6A" w14:textId="77777777" w:rsidR="00147EE9" w:rsidRPr="00147EE9" w:rsidRDefault="00147EE9" w:rsidP="00147EE9">
      <w:pPr>
        <w:keepNext/>
        <w:keepLines/>
        <w:rPr>
          <w:rFonts w:cstheme="minorHAnsi"/>
          <w:szCs w:val="22"/>
          <w:lang w:eastAsia="zh-CN"/>
        </w:rPr>
      </w:pPr>
      <w:r w:rsidRPr="00147EE9">
        <w:rPr>
          <w:rFonts w:cstheme="minorHAnsi"/>
          <w:szCs w:val="22"/>
          <w:lang w:eastAsia="zh-CN"/>
        </w:rPr>
        <w:lastRenderedPageBreak/>
        <w:t>6</w:t>
      </w:r>
      <w:r w:rsidRPr="00147EE9">
        <w:rPr>
          <w:rFonts w:cstheme="minorHAnsi"/>
          <w:szCs w:val="22"/>
          <w:lang w:eastAsia="zh-CN"/>
        </w:rPr>
        <w:tab/>
      </w:r>
      <w:r w:rsidRPr="00147EE9">
        <w:rPr>
          <w:rFonts w:cstheme="minorHAnsi"/>
          <w:szCs w:val="22"/>
          <w:lang w:eastAsia="zh-CN"/>
        </w:rPr>
        <w:tab/>
      </w:r>
      <w:r w:rsidRPr="00147EE9">
        <w:rPr>
          <w:rFonts w:cstheme="minorHAnsi" w:hint="eastAsia"/>
          <w:szCs w:val="22"/>
          <w:lang w:eastAsia="zh-CN"/>
        </w:rPr>
        <w:t>注册以在线方式进行，所有计划参会的与会者，无论是线下参会还是线上参会，均须注册。请尽快填妥在线注册表：</w:t>
      </w:r>
      <w:hyperlink r:id="rId10" w:history="1">
        <w:r w:rsidRPr="00147EE9">
          <w:rPr>
            <w:rStyle w:val="Hyperlink"/>
            <w:lang w:eastAsia="zh-CN"/>
          </w:rPr>
          <w:t>https://itu.int/net4/CRM/xreg/web/Registration.aspx?Event=C-00015236</w:t>
        </w:r>
      </w:hyperlink>
      <w:r w:rsidRPr="00147EE9">
        <w:rPr>
          <w:rFonts w:cstheme="minorHAnsi" w:hint="eastAsia"/>
          <w:szCs w:val="22"/>
          <w:lang w:eastAsia="zh-CN"/>
        </w:rPr>
        <w:t>。</w:t>
      </w:r>
    </w:p>
    <w:p w14:paraId="4495173D" w14:textId="0C959D5E" w:rsidR="00334386" w:rsidRPr="00147EE9" w:rsidRDefault="00147EE9" w:rsidP="00147EE9">
      <w:pPr>
        <w:ind w:firstLineChars="200" w:firstLine="440"/>
        <w:rPr>
          <w:szCs w:val="22"/>
          <w:lang w:eastAsia="zh-CN"/>
        </w:rPr>
      </w:pPr>
      <w:r w:rsidRPr="00147EE9">
        <w:rPr>
          <w:rFonts w:cstheme="minorHAnsi" w:hint="eastAsia"/>
          <w:szCs w:val="22"/>
          <w:lang w:eastAsia="zh-CN"/>
        </w:rPr>
        <w:t>请注意，磋商会与会者的预注册工作将在线开展，现场和远程与会者均须进行预注册。</w:t>
      </w:r>
    </w:p>
    <w:p w14:paraId="1F8E9A61" w14:textId="4DCBFD1F" w:rsidR="00334386" w:rsidRPr="00147EE9" w:rsidRDefault="00147EE9" w:rsidP="00147EE9">
      <w:pPr>
        <w:rPr>
          <w:szCs w:val="22"/>
          <w:lang w:eastAsia="zh-CN"/>
        </w:rPr>
      </w:pPr>
      <w:r w:rsidRPr="00147EE9">
        <w:rPr>
          <w:rFonts w:cstheme="minorHAnsi"/>
          <w:szCs w:val="22"/>
          <w:lang w:eastAsia="zh-CN"/>
        </w:rPr>
        <w:t>7</w:t>
      </w:r>
      <w:r w:rsidRPr="00147EE9">
        <w:rPr>
          <w:rFonts w:cstheme="minorHAnsi"/>
          <w:szCs w:val="22"/>
          <w:lang w:eastAsia="zh-CN"/>
        </w:rPr>
        <w:tab/>
      </w:r>
      <w:r w:rsidRPr="00147EE9">
        <w:rPr>
          <w:rFonts w:cstheme="minorHAnsi" w:hint="eastAsia"/>
          <w:szCs w:val="22"/>
          <w:lang w:eastAsia="zh-CN"/>
        </w:rPr>
        <w:t>谨提醒，一些国家的公民须获得签证才能入境瑞士并在此逗留。签证必须向驻贵国的瑞士代表机构（使馆或领事馆）申请和领取。如贵国没有此类机构，则请向驻离出发国最近国家的此类机构申请并领取。签证处理和批准可能需要一些时间，因此建议直接与相关代表机构核实并尽早申请。</w:t>
      </w:r>
    </w:p>
    <w:p w14:paraId="49CDE66A" w14:textId="77777777" w:rsidR="00334386" w:rsidRDefault="00334386" w:rsidP="00334386">
      <w:pPr>
        <w:tabs>
          <w:tab w:val="left" w:pos="1418"/>
          <w:tab w:val="left" w:pos="1702"/>
          <w:tab w:val="left" w:pos="2160"/>
        </w:tabs>
        <w:rPr>
          <w:szCs w:val="22"/>
          <w:lang w:eastAsia="zh-CN"/>
        </w:rPr>
      </w:pPr>
    </w:p>
    <w:tbl>
      <w:tblPr>
        <w:tblW w:w="9781" w:type="dxa"/>
        <w:jc w:val="center"/>
        <w:tblLayout w:type="fixed"/>
        <w:tblLook w:val="0000" w:firstRow="0" w:lastRow="0" w:firstColumn="0" w:lastColumn="0" w:noHBand="0" w:noVBand="0"/>
      </w:tblPr>
      <w:tblGrid>
        <w:gridCol w:w="7655"/>
        <w:gridCol w:w="2126"/>
      </w:tblGrid>
      <w:tr w:rsidR="00147EE9" w:rsidRPr="00AE0454" w14:paraId="6864D9C2" w14:textId="77777777" w:rsidTr="00147EE9">
        <w:trPr>
          <w:cantSplit/>
          <w:trHeight w:val="618"/>
          <w:jc w:val="center"/>
        </w:trPr>
        <w:tc>
          <w:tcPr>
            <w:tcW w:w="7655" w:type="dxa"/>
          </w:tcPr>
          <w:p w14:paraId="1C5B9D6C" w14:textId="77777777" w:rsidR="00147EE9" w:rsidRPr="00AE0454" w:rsidRDefault="00147EE9" w:rsidP="00B334AF">
            <w:pPr>
              <w:spacing w:before="240"/>
              <w:ind w:left="-108"/>
              <w:rPr>
                <w:rFonts w:eastAsiaTheme="minorEastAsia" w:cstheme="minorHAnsi"/>
                <w:szCs w:val="22"/>
                <w:lang w:eastAsia="zh-CN"/>
              </w:rPr>
            </w:pPr>
            <w:r>
              <w:rPr>
                <w:rFonts w:eastAsiaTheme="minorEastAsia" w:cstheme="minorHAnsi" w:hint="eastAsia"/>
                <w:szCs w:val="22"/>
                <w:lang w:eastAsia="zh-CN"/>
              </w:rPr>
              <w:t>顺致敬意！</w:t>
            </w:r>
          </w:p>
          <w:p w14:paraId="01B30BEF" w14:textId="03A4C01A" w:rsidR="00147EE9" w:rsidRPr="00AE0454" w:rsidRDefault="00147EE9" w:rsidP="00B334AF">
            <w:pPr>
              <w:spacing w:before="1080"/>
              <w:ind w:left="-113"/>
              <w:rPr>
                <w:rFonts w:eastAsiaTheme="minorEastAsia" w:cstheme="minorHAnsi"/>
                <w:szCs w:val="22"/>
                <w:lang w:eastAsia="zh-CN"/>
              </w:rPr>
            </w:pPr>
            <w:r w:rsidRPr="00255CEA">
              <w:rPr>
                <w:rFonts w:cs="Calibri" w:hint="eastAsia"/>
                <w:noProof/>
                <w:szCs w:val="22"/>
                <w:lang w:val="en-US" w:eastAsia="zh-CN"/>
              </w:rPr>
              <w:drawing>
                <wp:anchor distT="0" distB="0" distL="114300" distR="114300" simplePos="0" relativeHeight="251659264" behindDoc="1" locked="0" layoutInCell="1" allowOverlap="1" wp14:anchorId="0002D45A" wp14:editId="626A6788">
                  <wp:simplePos x="0" y="0"/>
                  <wp:positionH relativeFrom="column">
                    <wp:posOffset>-47625</wp:posOffset>
                  </wp:positionH>
                  <wp:positionV relativeFrom="paragraph">
                    <wp:posOffset>241300</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cstheme="minorHAnsi" w:hint="eastAsia"/>
                <w:szCs w:val="22"/>
                <w:lang w:eastAsia="zh-CN"/>
              </w:rPr>
              <w:t>电信标准化局主任</w:t>
            </w:r>
            <w:r w:rsidRPr="00AE0454">
              <w:rPr>
                <w:rFonts w:eastAsiaTheme="minorEastAsia" w:cstheme="minorHAnsi"/>
                <w:szCs w:val="22"/>
                <w:lang w:eastAsia="zh-CN"/>
              </w:rPr>
              <w:br/>
            </w:r>
            <w:r>
              <w:rPr>
                <w:rFonts w:eastAsiaTheme="minorEastAsia" w:cstheme="minorHAnsi" w:hint="eastAsia"/>
                <w:szCs w:val="22"/>
                <w:lang w:eastAsia="zh-CN"/>
              </w:rPr>
              <w:t>尾上诚藏</w:t>
            </w:r>
          </w:p>
        </w:tc>
        <w:tc>
          <w:tcPr>
            <w:tcW w:w="2126" w:type="dxa"/>
          </w:tcPr>
          <w:p w14:paraId="4CDD7F2E" w14:textId="542BE9ED" w:rsidR="00147EE9" w:rsidRPr="00AE0454" w:rsidRDefault="00B334AF" w:rsidP="00147EE9">
            <w:pPr>
              <w:spacing w:after="120"/>
              <w:ind w:left="-105"/>
              <w:rPr>
                <w:rFonts w:eastAsiaTheme="minorEastAsia" w:cstheme="minorHAnsi"/>
                <w:szCs w:val="22"/>
              </w:rPr>
            </w:pPr>
            <w:r>
              <w:rPr>
                <w:rFonts w:cstheme="minorHAnsi"/>
                <w:noProof/>
                <w:szCs w:val="22"/>
              </w:rPr>
              <w:drawing>
                <wp:inline distT="0" distB="0" distL="0" distR="0" wp14:anchorId="33BA0E8D" wp14:editId="03CD0ED1">
                  <wp:extent cx="1209675" cy="1209675"/>
                  <wp:effectExtent l="0" t="0" r="9525" b="9525"/>
                  <wp:docPr id="73862479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24798" name="Graphic 738624798"/>
                          <pic:cNvPicPr/>
                        </pic:nvPicPr>
                        <pic:blipFill>
                          <a:blip r:embed="rId12">
                            <a:extLst>
                              <a:ext uri="{96DAC541-7B7A-43D3-8B79-37D633B846F1}">
                                <asvg:svgBlip xmlns:asvg="http://schemas.microsoft.com/office/drawing/2016/SVG/main" r:embed="rId13"/>
                              </a:ext>
                            </a:extLst>
                          </a:blip>
                          <a:stretch>
                            <a:fillRect/>
                          </a:stretch>
                        </pic:blipFill>
                        <pic:spPr>
                          <a:xfrm>
                            <a:off x="0" y="0"/>
                            <a:ext cx="1209675" cy="1209675"/>
                          </a:xfrm>
                          <a:prstGeom prst="rect">
                            <a:avLst/>
                          </a:prstGeom>
                        </pic:spPr>
                      </pic:pic>
                    </a:graphicData>
                  </a:graphic>
                </wp:inline>
              </w:drawing>
            </w:r>
          </w:p>
        </w:tc>
      </w:tr>
    </w:tbl>
    <w:p w14:paraId="5CE3C80F" w14:textId="54A48F96" w:rsidR="00720F32" w:rsidRPr="00322BC4" w:rsidRDefault="00720F32" w:rsidP="00147EE9">
      <w:pPr>
        <w:tabs>
          <w:tab w:val="left" w:pos="1418"/>
          <w:tab w:val="left" w:pos="1702"/>
          <w:tab w:val="left" w:pos="2160"/>
        </w:tabs>
        <w:rPr>
          <w:rFonts w:ascii="SimSun" w:hAnsi="SimSun"/>
          <w:szCs w:val="22"/>
          <w:lang w:eastAsia="zh-CN"/>
        </w:rPr>
      </w:pPr>
    </w:p>
    <w:sectPr w:rsidR="00720F32" w:rsidRPr="00322BC4" w:rsidSect="00B301D4">
      <w:headerReference w:type="even" r:id="rId14"/>
      <w:headerReference w:type="default" r:id="rId15"/>
      <w:footerReference w:type="even" r:id="rId16"/>
      <w:footerReference w:type="default" r:id="rId17"/>
      <w:headerReference w:type="first" r:id="rId18"/>
      <w:footerReference w:type="first" r:id="rId19"/>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40169" w14:textId="77777777" w:rsidR="00DF7B06" w:rsidRDefault="00DF7B06">
      <w:r>
        <w:separator/>
      </w:r>
    </w:p>
  </w:endnote>
  <w:endnote w:type="continuationSeparator" w:id="0">
    <w:p w14:paraId="59362E98" w14:textId="77777777" w:rsidR="00DF7B06" w:rsidRDefault="00DF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2B24" w14:textId="77777777" w:rsidR="003D16CC" w:rsidRDefault="003D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68CE" w14:textId="77777777" w:rsidR="003D16CC" w:rsidRDefault="003D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889F" w14:textId="77777777" w:rsidR="00DF7B06" w:rsidRDefault="00DF7B06">
      <w:r>
        <w:separator/>
      </w:r>
    </w:p>
  </w:footnote>
  <w:footnote w:type="continuationSeparator" w:id="0">
    <w:p w14:paraId="6255D78A" w14:textId="77777777" w:rsidR="00DF7B06" w:rsidRDefault="00DF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C884" w14:textId="77777777" w:rsidR="003D16CC" w:rsidRDefault="003D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9135" w14:textId="68628119" w:rsidR="00F85EC7" w:rsidRPr="003D16CC" w:rsidRDefault="002D2024" w:rsidP="00590119">
    <w:pPr>
      <w:pStyle w:val="Header"/>
      <w:rPr>
        <w:noProof/>
        <w:sz w:val="18"/>
        <w:szCs w:val="18"/>
        <w:lang w:eastAsia="zh-CN"/>
      </w:rPr>
    </w:pPr>
    <w:r w:rsidRPr="003D16CC">
      <w:rPr>
        <w:sz w:val="18"/>
        <w:szCs w:val="18"/>
        <w:lang w:eastAsia="zh-CN"/>
      </w:rPr>
      <w:t xml:space="preserve">- </w:t>
    </w:r>
    <w:r w:rsidR="00841612" w:rsidRPr="003D16CC">
      <w:rPr>
        <w:sz w:val="18"/>
        <w:szCs w:val="18"/>
      </w:rPr>
      <w:fldChar w:fldCharType="begin"/>
    </w:r>
    <w:r w:rsidR="00841612" w:rsidRPr="003D16CC">
      <w:rPr>
        <w:sz w:val="18"/>
        <w:szCs w:val="18"/>
        <w:lang w:eastAsia="zh-CN"/>
      </w:rPr>
      <w:instrText>PAGE</w:instrText>
    </w:r>
    <w:r w:rsidR="00841612" w:rsidRPr="003D16CC">
      <w:rPr>
        <w:sz w:val="18"/>
        <w:szCs w:val="18"/>
      </w:rPr>
      <w:fldChar w:fldCharType="separate"/>
    </w:r>
    <w:r w:rsidR="00191798" w:rsidRPr="003D16CC">
      <w:rPr>
        <w:noProof/>
        <w:sz w:val="18"/>
        <w:szCs w:val="18"/>
        <w:lang w:eastAsia="zh-CN"/>
      </w:rPr>
      <w:t>2</w:t>
    </w:r>
    <w:r w:rsidR="00841612" w:rsidRPr="003D16CC">
      <w:rPr>
        <w:sz w:val="18"/>
        <w:szCs w:val="18"/>
      </w:rPr>
      <w:fldChar w:fldCharType="end"/>
    </w:r>
    <w:r w:rsidRPr="003D16CC">
      <w:rPr>
        <w:sz w:val="18"/>
        <w:szCs w:val="18"/>
        <w:lang w:eastAsia="zh-CN"/>
      </w:rPr>
      <w:t xml:space="preserve"> -</w:t>
    </w:r>
    <w:r w:rsidR="009723C1" w:rsidRPr="003D16CC">
      <w:rPr>
        <w:sz w:val="18"/>
        <w:szCs w:val="18"/>
        <w:lang w:eastAsia="zh-CN"/>
      </w:rPr>
      <w:br/>
    </w:r>
    <w:r w:rsidR="001F25CE" w:rsidRPr="003D16CC">
      <w:rPr>
        <w:sz w:val="18"/>
        <w:szCs w:val="18"/>
        <w:lang w:val="zh-CN" w:eastAsia="zh-CN"/>
      </w:rPr>
      <w:t>电信标准化局第</w:t>
    </w:r>
    <w:r w:rsidR="00B334AF" w:rsidRPr="003D16CC">
      <w:rPr>
        <w:sz w:val="18"/>
        <w:szCs w:val="18"/>
        <w:lang w:val="en-US" w:eastAsia="zh-CN"/>
      </w:rPr>
      <w:t>42</w:t>
    </w:r>
    <w:r w:rsidR="001F25CE" w:rsidRPr="003D16CC">
      <w:rPr>
        <w:sz w:val="18"/>
        <w:szCs w:val="18"/>
        <w:lang w:val="zh-CN" w:eastAsia="zh-CN"/>
      </w:rPr>
      <w:t>号通函</w:t>
    </w:r>
  </w:p>
  <w:p w14:paraId="4AFA002E" w14:textId="77777777" w:rsidR="00B301D4" w:rsidRPr="00F85EC7" w:rsidRDefault="00B301D4" w:rsidP="00590119">
    <w:pPr>
      <w:pStyle w:val="Header"/>
      <w:rPr>
        <w:sz w:val="14"/>
        <w:szCs w:val="12"/>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0582" w14:textId="77777777" w:rsidR="003D16CC" w:rsidRDefault="003D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A4BF6"/>
    <w:multiLevelType w:val="hybridMultilevel"/>
    <w:tmpl w:val="A63E15AC"/>
    <w:lvl w:ilvl="0" w:tplc="DBDAC4B4">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2"/>
    <w:lvlOverride w:ilvl="0">
      <w:lvl w:ilvl="0" w:tplc="8064F242">
        <w:start w:val="5"/>
        <w:numFmt w:val="bullet"/>
        <w:lvlText w:val="-"/>
        <w:lvlJc w:val="left"/>
        <w:pPr>
          <w:ind w:left="720" w:hanging="360"/>
        </w:pPr>
        <w:rPr>
          <w:rFonts w:ascii="Calibri" w:eastAsia="Times New Roman" w:hAnsi="Calibri" w:cs="Calibri" w:hint="default"/>
        </w:rPr>
      </w:lvl>
    </w:lvlOverride>
  </w:num>
  <w:num w:numId="2" w16cid:durableId="523177393">
    <w:abstractNumId w:val="0"/>
  </w:num>
  <w:num w:numId="3" w16cid:durableId="86645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4795E"/>
    <w:rsid w:val="00081BA5"/>
    <w:rsid w:val="00090E72"/>
    <w:rsid w:val="00094C0B"/>
    <w:rsid w:val="000A2484"/>
    <w:rsid w:val="000A6A9D"/>
    <w:rsid w:val="000D36E1"/>
    <w:rsid w:val="00117471"/>
    <w:rsid w:val="00117A09"/>
    <w:rsid w:val="00124B7E"/>
    <w:rsid w:val="001255D0"/>
    <w:rsid w:val="00147EE9"/>
    <w:rsid w:val="00160A43"/>
    <w:rsid w:val="00191798"/>
    <w:rsid w:val="001B2C8F"/>
    <w:rsid w:val="001D6E70"/>
    <w:rsid w:val="001F25CE"/>
    <w:rsid w:val="00234A9B"/>
    <w:rsid w:val="00250A71"/>
    <w:rsid w:val="00282732"/>
    <w:rsid w:val="00284869"/>
    <w:rsid w:val="002C7AAC"/>
    <w:rsid w:val="002D2024"/>
    <w:rsid w:val="002E05E3"/>
    <w:rsid w:val="00303A2A"/>
    <w:rsid w:val="0030553E"/>
    <w:rsid w:val="003064AD"/>
    <w:rsid w:val="00314F07"/>
    <w:rsid w:val="00322BC4"/>
    <w:rsid w:val="00334386"/>
    <w:rsid w:val="00334A24"/>
    <w:rsid w:val="00353B3A"/>
    <w:rsid w:val="0035674D"/>
    <w:rsid w:val="0038630E"/>
    <w:rsid w:val="003B6D4B"/>
    <w:rsid w:val="003D16CC"/>
    <w:rsid w:val="003F1CCA"/>
    <w:rsid w:val="00464015"/>
    <w:rsid w:val="00486359"/>
    <w:rsid w:val="004C241D"/>
    <w:rsid w:val="00512AB3"/>
    <w:rsid w:val="005417F9"/>
    <w:rsid w:val="00590119"/>
    <w:rsid w:val="005C26FD"/>
    <w:rsid w:val="00624E27"/>
    <w:rsid w:val="00627AE8"/>
    <w:rsid w:val="0063445E"/>
    <w:rsid w:val="00650ABE"/>
    <w:rsid w:val="006776D1"/>
    <w:rsid w:val="006B463C"/>
    <w:rsid w:val="006D22B1"/>
    <w:rsid w:val="006D42C6"/>
    <w:rsid w:val="006E14B5"/>
    <w:rsid w:val="00720F32"/>
    <w:rsid w:val="00745E21"/>
    <w:rsid w:val="007568DA"/>
    <w:rsid w:val="007B645F"/>
    <w:rsid w:val="007F17E4"/>
    <w:rsid w:val="007F4644"/>
    <w:rsid w:val="00841612"/>
    <w:rsid w:val="0084436D"/>
    <w:rsid w:val="008542F5"/>
    <w:rsid w:val="00867BBB"/>
    <w:rsid w:val="008B2BDA"/>
    <w:rsid w:val="009128F1"/>
    <w:rsid w:val="009311FE"/>
    <w:rsid w:val="009424FC"/>
    <w:rsid w:val="00956D38"/>
    <w:rsid w:val="009723C1"/>
    <w:rsid w:val="009727EA"/>
    <w:rsid w:val="00974486"/>
    <w:rsid w:val="009C0296"/>
    <w:rsid w:val="009C2FF6"/>
    <w:rsid w:val="00A1090D"/>
    <w:rsid w:val="00A16AB0"/>
    <w:rsid w:val="00A2678C"/>
    <w:rsid w:val="00A54AD2"/>
    <w:rsid w:val="00A55D76"/>
    <w:rsid w:val="00AA3151"/>
    <w:rsid w:val="00AC3F9D"/>
    <w:rsid w:val="00AF7648"/>
    <w:rsid w:val="00B01F79"/>
    <w:rsid w:val="00B05B4C"/>
    <w:rsid w:val="00B301D4"/>
    <w:rsid w:val="00B334AF"/>
    <w:rsid w:val="00B53188"/>
    <w:rsid w:val="00B56B75"/>
    <w:rsid w:val="00B6399C"/>
    <w:rsid w:val="00BB5392"/>
    <w:rsid w:val="00BC7AEE"/>
    <w:rsid w:val="00BE339D"/>
    <w:rsid w:val="00C03E87"/>
    <w:rsid w:val="00C20FE6"/>
    <w:rsid w:val="00C6016A"/>
    <w:rsid w:val="00C7008A"/>
    <w:rsid w:val="00C916ED"/>
    <w:rsid w:val="00CC50C4"/>
    <w:rsid w:val="00D16F47"/>
    <w:rsid w:val="00D2501B"/>
    <w:rsid w:val="00D34F86"/>
    <w:rsid w:val="00D75EE4"/>
    <w:rsid w:val="00DF7B06"/>
    <w:rsid w:val="00E03A04"/>
    <w:rsid w:val="00E35907"/>
    <w:rsid w:val="00E41E39"/>
    <w:rsid w:val="00E47AFF"/>
    <w:rsid w:val="00E5276C"/>
    <w:rsid w:val="00E93741"/>
    <w:rsid w:val="00ED58A3"/>
    <w:rsid w:val="00F07A3C"/>
    <w:rsid w:val="00F346AB"/>
    <w:rsid w:val="00F36FE7"/>
    <w:rsid w:val="00F85EC7"/>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EE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styleId="EndnoteReference">
    <w:name w:val="endnote reference"/>
    <w:rsid w:val="00147EE9"/>
    <w:rPr>
      <w:vertAlign w:val="superscript"/>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147EE9"/>
    <w:rPr>
      <w:rFonts w:ascii="Calibri" w:hAnsi="Calibri"/>
      <w:sz w:val="21"/>
      <w:szCs w:val="10"/>
    </w:rPr>
  </w:style>
  <w:style w:type="character" w:styleId="FollowedHyperlink">
    <w:name w:val="FollowedHyperlink"/>
    <w:basedOn w:val="DefaultParagraphFont"/>
    <w:semiHidden/>
    <w:unhideWhenUsed/>
    <w:rsid w:val="003D1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u.int/md/T25-SG21-COL-0002/en" TargetMode="External"/><Relationship Id="rId13" Type="http://schemas.openxmlformats.org/officeDocument/2006/relationships/image" Target="media/image4.sv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tu.int/net4/CRM/xreg/web/Registration.aspx?Event=C-0001523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tu.int/en/ITU-T/Workshops-and-Seminars/2025/070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11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1660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Braud, Olivia</cp:lastModifiedBy>
  <cp:revision>9</cp:revision>
  <cp:lastPrinted>2025-06-26T10:29:00Z</cp:lastPrinted>
  <dcterms:created xsi:type="dcterms:W3CDTF">2025-04-08T12:16:00Z</dcterms:created>
  <dcterms:modified xsi:type="dcterms:W3CDTF">2025-06-26T10:30:00Z</dcterms:modified>
</cp:coreProperties>
</file>