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37"/>
        <w:gridCol w:w="5013"/>
      </w:tblGrid>
      <w:tr w:rsidR="00EF6A23" w:rsidRPr="003B651B" w14:paraId="79399552" w14:textId="77777777" w:rsidTr="003F083D">
        <w:trPr>
          <w:cantSplit/>
        </w:trPr>
        <w:tc>
          <w:tcPr>
            <w:tcW w:w="0" w:type="auto"/>
            <w:vAlign w:val="center"/>
          </w:tcPr>
          <w:p w14:paraId="5C9D0675" w14:textId="77777777" w:rsidR="00EF6A23" w:rsidRPr="003B651B" w:rsidRDefault="00EF6A23" w:rsidP="00D14F31">
            <w:pPr>
              <w:tabs>
                <w:tab w:val="right" w:pos="8732"/>
              </w:tabs>
              <w:spacing w:before="0"/>
              <w:rPr>
                <w:b/>
                <w:bCs/>
                <w:iCs/>
                <w:color w:val="FFFFFF"/>
                <w:sz w:val="30"/>
                <w:szCs w:val="30"/>
              </w:rPr>
            </w:pPr>
            <w:r w:rsidRPr="003B651B">
              <w:rPr>
                <w:noProof/>
                <w:lang w:eastAsia="zh-CN"/>
              </w:rPr>
              <w:drawing>
                <wp:inline distT="0" distB="0" distL="0" distR="0" wp14:anchorId="488F9193" wp14:editId="46D09CE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0F0D8CAD" w14:textId="77777777" w:rsidR="00EF6A23" w:rsidRPr="003B651B" w:rsidRDefault="00EF6A23" w:rsidP="00EF6A23">
            <w:pPr>
              <w:spacing w:before="0"/>
              <w:rPr>
                <w:rFonts w:cs="Times New Roman Bold"/>
                <w:b/>
                <w:bCs/>
                <w:iCs/>
                <w:smallCaps/>
                <w:sz w:val="34"/>
                <w:szCs w:val="34"/>
              </w:rPr>
            </w:pPr>
            <w:r w:rsidRPr="003B651B">
              <w:rPr>
                <w:rFonts w:cs="Times New Roman Bold"/>
                <w:b/>
                <w:bCs/>
                <w:iCs/>
                <w:smallCaps/>
                <w:sz w:val="34"/>
                <w:szCs w:val="34"/>
              </w:rPr>
              <w:t>Union internationale des télécommunications</w:t>
            </w:r>
          </w:p>
          <w:p w14:paraId="15DA77FB" w14:textId="77777777" w:rsidR="00EF6A23" w:rsidRPr="003B651B" w:rsidRDefault="00EF6A23" w:rsidP="00EF6A23">
            <w:pPr>
              <w:spacing w:before="0"/>
              <w:rPr>
                <w:color w:val="FFFFFF"/>
                <w:sz w:val="26"/>
                <w:szCs w:val="26"/>
              </w:rPr>
            </w:pPr>
            <w:r w:rsidRPr="003B651B">
              <w:rPr>
                <w:rFonts w:cs="Times New Roman Bold"/>
                <w:b/>
                <w:bCs/>
                <w:iCs/>
                <w:smallCaps/>
                <w:sz w:val="28"/>
                <w:szCs w:val="28"/>
              </w:rPr>
              <w:t>B</w:t>
            </w:r>
            <w:r w:rsidRPr="003B651B">
              <w:rPr>
                <w:b/>
                <w:bCs/>
                <w:iCs/>
                <w:smallCaps/>
                <w:sz w:val="28"/>
                <w:szCs w:val="28"/>
              </w:rPr>
              <w:t>ureau de la Normalisation des Télécommunications</w:t>
            </w:r>
          </w:p>
        </w:tc>
      </w:tr>
      <w:tr w:rsidR="00036F4F" w:rsidRPr="00561058" w14:paraId="2673432A" w14:textId="77777777" w:rsidTr="009D0F65">
        <w:trPr>
          <w:cantSplit/>
        </w:trPr>
        <w:tc>
          <w:tcPr>
            <w:tcW w:w="0" w:type="auto"/>
          </w:tcPr>
          <w:p w14:paraId="31227362" w14:textId="77777777" w:rsidR="00036F4F" w:rsidRPr="00561058" w:rsidRDefault="00036F4F" w:rsidP="00A5280F">
            <w:pPr>
              <w:tabs>
                <w:tab w:val="left" w:pos="4111"/>
              </w:tabs>
              <w:spacing w:before="10"/>
              <w:ind w:left="57"/>
              <w:rPr>
                <w:sz w:val="22"/>
                <w:szCs w:val="22"/>
              </w:rPr>
            </w:pPr>
          </w:p>
        </w:tc>
        <w:tc>
          <w:tcPr>
            <w:tcW w:w="3441" w:type="dxa"/>
          </w:tcPr>
          <w:p w14:paraId="11B1558A" w14:textId="77777777" w:rsidR="00036F4F" w:rsidRPr="00561058" w:rsidRDefault="00036F4F" w:rsidP="00A5280F">
            <w:pPr>
              <w:tabs>
                <w:tab w:val="left" w:pos="4111"/>
              </w:tabs>
              <w:spacing w:before="10"/>
              <w:ind w:left="57"/>
              <w:rPr>
                <w:b/>
                <w:sz w:val="22"/>
                <w:szCs w:val="22"/>
              </w:rPr>
            </w:pPr>
          </w:p>
        </w:tc>
        <w:tc>
          <w:tcPr>
            <w:tcW w:w="5009" w:type="dxa"/>
          </w:tcPr>
          <w:p w14:paraId="5B2B47ED" w14:textId="2DE4D080" w:rsidR="00036F4F" w:rsidRPr="00561058" w:rsidRDefault="00036F4F" w:rsidP="00A5645A">
            <w:pPr>
              <w:tabs>
                <w:tab w:val="clear" w:pos="794"/>
                <w:tab w:val="clear" w:pos="1191"/>
                <w:tab w:val="clear" w:pos="1588"/>
                <w:tab w:val="clear" w:pos="1985"/>
                <w:tab w:val="left" w:pos="284"/>
              </w:tabs>
              <w:spacing w:after="120"/>
              <w:ind w:left="284" w:hanging="227"/>
              <w:rPr>
                <w:sz w:val="22"/>
                <w:szCs w:val="22"/>
              </w:rPr>
            </w:pPr>
            <w:r w:rsidRPr="00561058">
              <w:rPr>
                <w:sz w:val="22"/>
                <w:szCs w:val="22"/>
              </w:rPr>
              <w:t>Genève, le</w:t>
            </w:r>
            <w:r w:rsidR="004419E9" w:rsidRPr="00561058">
              <w:rPr>
                <w:sz w:val="22"/>
                <w:szCs w:val="22"/>
              </w:rPr>
              <w:t xml:space="preserve"> </w:t>
            </w:r>
            <w:r w:rsidR="00433E8D" w:rsidRPr="00561058">
              <w:rPr>
                <w:sz w:val="22"/>
                <w:szCs w:val="22"/>
              </w:rPr>
              <w:t>3 avril 2025</w:t>
            </w:r>
          </w:p>
        </w:tc>
      </w:tr>
      <w:tr w:rsidR="009D0F65" w:rsidRPr="00561058" w14:paraId="41796042" w14:textId="77777777" w:rsidTr="009D0F65">
        <w:trPr>
          <w:cantSplit/>
          <w:trHeight w:val="340"/>
        </w:trPr>
        <w:tc>
          <w:tcPr>
            <w:tcW w:w="0" w:type="auto"/>
          </w:tcPr>
          <w:p w14:paraId="2EE46399" w14:textId="77777777" w:rsidR="009D0F65" w:rsidRPr="00561058" w:rsidRDefault="009D0F65" w:rsidP="00307FB4">
            <w:pPr>
              <w:tabs>
                <w:tab w:val="left" w:pos="4111"/>
              </w:tabs>
              <w:spacing w:before="10"/>
              <w:ind w:left="57"/>
              <w:rPr>
                <w:b/>
                <w:bCs/>
                <w:sz w:val="22"/>
                <w:szCs w:val="22"/>
              </w:rPr>
            </w:pPr>
            <w:r w:rsidRPr="00561058">
              <w:rPr>
                <w:b/>
                <w:bCs/>
                <w:sz w:val="22"/>
                <w:szCs w:val="22"/>
              </w:rPr>
              <w:t>Réf.:</w:t>
            </w:r>
          </w:p>
        </w:tc>
        <w:tc>
          <w:tcPr>
            <w:tcW w:w="3441" w:type="dxa"/>
          </w:tcPr>
          <w:p w14:paraId="0ACDA70C" w14:textId="77515ADE" w:rsidR="009D0F65" w:rsidRPr="00561058" w:rsidRDefault="009D0F65" w:rsidP="00A5280F">
            <w:pPr>
              <w:tabs>
                <w:tab w:val="left" w:pos="4111"/>
              </w:tabs>
              <w:spacing w:before="10"/>
              <w:ind w:left="57"/>
              <w:rPr>
                <w:b/>
                <w:sz w:val="22"/>
                <w:szCs w:val="22"/>
              </w:rPr>
            </w:pPr>
            <w:r w:rsidRPr="00561058">
              <w:rPr>
                <w:b/>
                <w:sz w:val="22"/>
                <w:szCs w:val="22"/>
              </w:rPr>
              <w:t>Circulaire TSB 41</w:t>
            </w:r>
          </w:p>
          <w:p w14:paraId="0E8E2F42" w14:textId="573121B8" w:rsidR="009D0F65" w:rsidRPr="00561058" w:rsidRDefault="009D0F65" w:rsidP="00307FB4">
            <w:pPr>
              <w:tabs>
                <w:tab w:val="left" w:pos="4111"/>
              </w:tabs>
              <w:spacing w:before="10"/>
              <w:ind w:left="57"/>
              <w:rPr>
                <w:b/>
                <w:bCs/>
                <w:sz w:val="22"/>
                <w:szCs w:val="22"/>
              </w:rPr>
            </w:pPr>
            <w:r w:rsidRPr="00561058">
              <w:rPr>
                <w:b/>
                <w:bCs/>
                <w:sz w:val="22"/>
                <w:szCs w:val="22"/>
              </w:rPr>
              <w:t>Manifestations du TSB/MA</w:t>
            </w:r>
          </w:p>
        </w:tc>
        <w:tc>
          <w:tcPr>
            <w:tcW w:w="5009" w:type="dxa"/>
            <w:vMerge w:val="restart"/>
          </w:tcPr>
          <w:p w14:paraId="46F89472" w14:textId="169E9BB9" w:rsidR="009D0F65" w:rsidRPr="00561058" w:rsidRDefault="009D0F65" w:rsidP="00307FB4">
            <w:pPr>
              <w:tabs>
                <w:tab w:val="left" w:pos="4111"/>
              </w:tabs>
              <w:spacing w:before="0"/>
              <w:ind w:left="426" w:hanging="426"/>
              <w:rPr>
                <w:sz w:val="22"/>
                <w:szCs w:val="22"/>
              </w:rPr>
            </w:pPr>
            <w:bookmarkStart w:id="0" w:name="Addressee_F"/>
            <w:bookmarkEnd w:id="0"/>
            <w:r w:rsidRPr="00561058">
              <w:rPr>
                <w:sz w:val="22"/>
                <w:szCs w:val="22"/>
              </w:rPr>
              <w:t>–</w:t>
            </w:r>
            <w:r w:rsidRPr="00561058">
              <w:rPr>
                <w:sz w:val="22"/>
                <w:szCs w:val="22"/>
              </w:rPr>
              <w:tab/>
              <w:t>Aux Administrations des États Membres de l'Union;</w:t>
            </w:r>
          </w:p>
          <w:p w14:paraId="738462BA" w14:textId="5F13898D" w:rsidR="009D0F65" w:rsidRPr="00561058" w:rsidRDefault="009D0F65" w:rsidP="00307FB4">
            <w:pPr>
              <w:tabs>
                <w:tab w:val="left" w:pos="4111"/>
              </w:tabs>
              <w:spacing w:before="0"/>
              <w:ind w:left="426" w:hanging="426"/>
              <w:rPr>
                <w:sz w:val="22"/>
                <w:szCs w:val="22"/>
              </w:rPr>
            </w:pPr>
            <w:r w:rsidRPr="00561058">
              <w:rPr>
                <w:sz w:val="22"/>
                <w:szCs w:val="22"/>
              </w:rPr>
              <w:t>–</w:t>
            </w:r>
            <w:r w:rsidRPr="00561058">
              <w:rPr>
                <w:sz w:val="22"/>
                <w:szCs w:val="22"/>
              </w:rPr>
              <w:tab/>
              <w:t>À l'État de Palestine (Rés. 99) (Rév. Dubaï, 2018));</w:t>
            </w:r>
          </w:p>
          <w:p w14:paraId="4963BDBE" w14:textId="0F796940" w:rsidR="009D0F65" w:rsidRPr="00561058" w:rsidRDefault="009D0F65" w:rsidP="00307FB4">
            <w:pPr>
              <w:tabs>
                <w:tab w:val="left" w:pos="4111"/>
              </w:tabs>
              <w:spacing w:before="0"/>
              <w:ind w:left="426" w:hanging="426"/>
              <w:rPr>
                <w:sz w:val="22"/>
                <w:szCs w:val="22"/>
              </w:rPr>
            </w:pPr>
            <w:r w:rsidRPr="00561058">
              <w:rPr>
                <w:sz w:val="22"/>
                <w:szCs w:val="22"/>
              </w:rPr>
              <w:t>–</w:t>
            </w:r>
            <w:r w:rsidRPr="00561058">
              <w:rPr>
                <w:sz w:val="22"/>
                <w:szCs w:val="22"/>
              </w:rPr>
              <w:tab/>
              <w:t>Aux Membres du Secteur de l'UIT-T;</w:t>
            </w:r>
          </w:p>
          <w:p w14:paraId="1273042F" w14:textId="68AF2D4A" w:rsidR="009D0F65" w:rsidRPr="00561058" w:rsidRDefault="009D0F65" w:rsidP="00307FB4">
            <w:pPr>
              <w:tabs>
                <w:tab w:val="left" w:pos="4111"/>
              </w:tabs>
              <w:spacing w:before="0"/>
              <w:ind w:left="426" w:hanging="426"/>
              <w:rPr>
                <w:sz w:val="22"/>
                <w:szCs w:val="22"/>
              </w:rPr>
            </w:pPr>
            <w:r w:rsidRPr="00561058">
              <w:rPr>
                <w:sz w:val="22"/>
                <w:szCs w:val="22"/>
              </w:rPr>
              <w:t>–</w:t>
            </w:r>
            <w:r w:rsidRPr="00561058">
              <w:rPr>
                <w:sz w:val="22"/>
                <w:szCs w:val="22"/>
              </w:rPr>
              <w:tab/>
              <w:t>Aux Associés de l'UIT-T;</w:t>
            </w:r>
          </w:p>
          <w:p w14:paraId="6174309A" w14:textId="2250B872" w:rsidR="009D0F65" w:rsidRPr="00561058" w:rsidRDefault="009D0F65" w:rsidP="009D0F65">
            <w:pPr>
              <w:tabs>
                <w:tab w:val="left" w:pos="4111"/>
              </w:tabs>
              <w:spacing w:before="0" w:after="120"/>
              <w:ind w:left="426" w:hanging="426"/>
              <w:rPr>
                <w:sz w:val="22"/>
                <w:szCs w:val="22"/>
              </w:rPr>
            </w:pPr>
            <w:r w:rsidRPr="00561058">
              <w:rPr>
                <w:sz w:val="22"/>
                <w:szCs w:val="22"/>
              </w:rPr>
              <w:t>–</w:t>
            </w:r>
            <w:r w:rsidRPr="00561058">
              <w:rPr>
                <w:sz w:val="22"/>
                <w:szCs w:val="22"/>
              </w:rPr>
              <w:tab/>
              <w:t>Aux établissements universitaires participant aux travaux de l'UIT</w:t>
            </w:r>
          </w:p>
        </w:tc>
      </w:tr>
      <w:tr w:rsidR="009D0F65" w:rsidRPr="00561058" w14:paraId="1EFBCE89" w14:textId="77777777" w:rsidTr="009D0F65">
        <w:trPr>
          <w:cantSplit/>
        </w:trPr>
        <w:tc>
          <w:tcPr>
            <w:tcW w:w="0" w:type="auto"/>
          </w:tcPr>
          <w:p w14:paraId="3866E3DF" w14:textId="77777777" w:rsidR="009D0F65" w:rsidRPr="00561058" w:rsidRDefault="009D0F65" w:rsidP="00A5280F">
            <w:pPr>
              <w:tabs>
                <w:tab w:val="left" w:pos="4111"/>
              </w:tabs>
              <w:spacing w:before="10"/>
              <w:ind w:left="57"/>
              <w:rPr>
                <w:b/>
                <w:bCs/>
                <w:sz w:val="22"/>
                <w:szCs w:val="22"/>
              </w:rPr>
            </w:pPr>
            <w:r w:rsidRPr="00561058">
              <w:rPr>
                <w:b/>
                <w:bCs/>
                <w:sz w:val="22"/>
                <w:szCs w:val="22"/>
              </w:rPr>
              <w:t>Tél.:</w:t>
            </w:r>
          </w:p>
        </w:tc>
        <w:tc>
          <w:tcPr>
            <w:tcW w:w="3441" w:type="dxa"/>
          </w:tcPr>
          <w:p w14:paraId="5E40AFDC" w14:textId="4047C327" w:rsidR="009D0F65" w:rsidRPr="00561058" w:rsidRDefault="009D0F65" w:rsidP="00A5280F">
            <w:pPr>
              <w:tabs>
                <w:tab w:val="left" w:pos="4111"/>
              </w:tabs>
              <w:spacing w:before="0"/>
              <w:ind w:left="57"/>
              <w:rPr>
                <w:sz w:val="22"/>
                <w:szCs w:val="22"/>
              </w:rPr>
            </w:pPr>
            <w:r w:rsidRPr="00561058">
              <w:rPr>
                <w:sz w:val="22"/>
                <w:szCs w:val="22"/>
              </w:rPr>
              <w:t>+41 22 730 5893</w:t>
            </w:r>
          </w:p>
        </w:tc>
        <w:tc>
          <w:tcPr>
            <w:tcW w:w="5009" w:type="dxa"/>
            <w:vMerge/>
          </w:tcPr>
          <w:p w14:paraId="72A7808E" w14:textId="77777777" w:rsidR="009D0F65" w:rsidRPr="00561058" w:rsidRDefault="009D0F65" w:rsidP="00A5280F">
            <w:pPr>
              <w:tabs>
                <w:tab w:val="left" w:pos="226"/>
                <w:tab w:val="left" w:pos="4111"/>
              </w:tabs>
              <w:spacing w:before="0"/>
              <w:ind w:left="226" w:hanging="226"/>
              <w:rPr>
                <w:b/>
                <w:sz w:val="22"/>
                <w:szCs w:val="22"/>
              </w:rPr>
            </w:pPr>
          </w:p>
        </w:tc>
      </w:tr>
      <w:tr w:rsidR="009D0F65" w:rsidRPr="00561058" w14:paraId="5F5CB806" w14:textId="77777777" w:rsidTr="009D0F65">
        <w:trPr>
          <w:cantSplit/>
          <w:trHeight w:val="122"/>
        </w:trPr>
        <w:tc>
          <w:tcPr>
            <w:tcW w:w="0" w:type="auto"/>
          </w:tcPr>
          <w:p w14:paraId="3D2F167E" w14:textId="77777777" w:rsidR="009D0F65" w:rsidRPr="00561058" w:rsidRDefault="009D0F65" w:rsidP="00A5280F">
            <w:pPr>
              <w:tabs>
                <w:tab w:val="left" w:pos="4111"/>
              </w:tabs>
              <w:spacing w:before="10"/>
              <w:ind w:left="57"/>
              <w:rPr>
                <w:b/>
                <w:bCs/>
                <w:sz w:val="22"/>
                <w:szCs w:val="22"/>
              </w:rPr>
            </w:pPr>
            <w:r w:rsidRPr="00561058">
              <w:rPr>
                <w:b/>
                <w:bCs/>
                <w:sz w:val="22"/>
                <w:szCs w:val="22"/>
              </w:rPr>
              <w:t>Télécopie:</w:t>
            </w:r>
          </w:p>
        </w:tc>
        <w:tc>
          <w:tcPr>
            <w:tcW w:w="3441" w:type="dxa"/>
          </w:tcPr>
          <w:p w14:paraId="527EA681" w14:textId="77777777" w:rsidR="009D0F65" w:rsidRPr="00561058" w:rsidRDefault="009D0F65" w:rsidP="00A5280F">
            <w:pPr>
              <w:tabs>
                <w:tab w:val="left" w:pos="4111"/>
              </w:tabs>
              <w:spacing w:before="0"/>
              <w:ind w:left="57"/>
              <w:rPr>
                <w:sz w:val="22"/>
                <w:szCs w:val="22"/>
              </w:rPr>
            </w:pPr>
            <w:r w:rsidRPr="00561058">
              <w:rPr>
                <w:sz w:val="22"/>
                <w:szCs w:val="22"/>
              </w:rPr>
              <w:t>+41 22 730 5853</w:t>
            </w:r>
          </w:p>
        </w:tc>
        <w:tc>
          <w:tcPr>
            <w:tcW w:w="5009" w:type="dxa"/>
            <w:vMerge/>
          </w:tcPr>
          <w:p w14:paraId="5FC68EAF" w14:textId="77777777" w:rsidR="009D0F65" w:rsidRPr="00561058" w:rsidRDefault="009D0F65" w:rsidP="00A5280F">
            <w:pPr>
              <w:tabs>
                <w:tab w:val="left" w:pos="226"/>
                <w:tab w:val="left" w:pos="4111"/>
              </w:tabs>
              <w:spacing w:before="0"/>
              <w:ind w:left="226" w:hanging="226"/>
              <w:rPr>
                <w:b/>
                <w:sz w:val="22"/>
                <w:szCs w:val="22"/>
              </w:rPr>
            </w:pPr>
          </w:p>
        </w:tc>
      </w:tr>
      <w:tr w:rsidR="009D0F65" w:rsidRPr="00561058" w14:paraId="4B9A1547" w14:textId="77777777" w:rsidTr="009D0F65">
        <w:trPr>
          <w:cantSplit/>
          <w:trHeight w:val="586"/>
        </w:trPr>
        <w:tc>
          <w:tcPr>
            <w:tcW w:w="0" w:type="auto"/>
            <w:vMerge w:val="restart"/>
          </w:tcPr>
          <w:p w14:paraId="0D5F2E31" w14:textId="620FDA43" w:rsidR="009D0F65" w:rsidRPr="00561058" w:rsidRDefault="009D0F65" w:rsidP="009D0F65">
            <w:pPr>
              <w:tabs>
                <w:tab w:val="left" w:pos="4111"/>
              </w:tabs>
              <w:spacing w:before="10"/>
              <w:ind w:left="57"/>
              <w:rPr>
                <w:b/>
                <w:bCs/>
                <w:sz w:val="22"/>
                <w:szCs w:val="22"/>
              </w:rPr>
            </w:pPr>
            <w:r w:rsidRPr="00561058">
              <w:rPr>
                <w:b/>
                <w:bCs/>
                <w:sz w:val="22"/>
                <w:szCs w:val="22"/>
              </w:rPr>
              <w:t>Courriel:</w:t>
            </w:r>
          </w:p>
        </w:tc>
        <w:tc>
          <w:tcPr>
            <w:tcW w:w="3441" w:type="dxa"/>
            <w:vMerge w:val="restart"/>
          </w:tcPr>
          <w:p w14:paraId="177BD6DC" w14:textId="1535319B" w:rsidR="009D0F65" w:rsidRPr="00561058" w:rsidRDefault="009D0F65" w:rsidP="009D0F65">
            <w:pPr>
              <w:tabs>
                <w:tab w:val="left" w:pos="4111"/>
              </w:tabs>
              <w:spacing w:before="0"/>
              <w:ind w:left="57"/>
              <w:rPr>
                <w:sz w:val="22"/>
                <w:szCs w:val="22"/>
              </w:rPr>
            </w:pPr>
            <w:hyperlink r:id="rId9" w:history="1">
              <w:r w:rsidRPr="00561058">
                <w:rPr>
                  <w:rStyle w:val="Hyperlink"/>
                  <w:sz w:val="22"/>
                  <w:szCs w:val="22"/>
                </w:rPr>
                <w:t>tsbevents@itu.int</w:t>
              </w:r>
            </w:hyperlink>
          </w:p>
        </w:tc>
        <w:tc>
          <w:tcPr>
            <w:tcW w:w="5009" w:type="dxa"/>
            <w:vMerge/>
          </w:tcPr>
          <w:p w14:paraId="04EE78B9" w14:textId="77777777" w:rsidR="009D0F65" w:rsidRPr="00561058" w:rsidRDefault="009D0F65" w:rsidP="009D0F65">
            <w:pPr>
              <w:tabs>
                <w:tab w:val="left" w:pos="226"/>
                <w:tab w:val="left" w:pos="4111"/>
              </w:tabs>
              <w:spacing w:before="0"/>
              <w:ind w:left="226" w:hanging="226"/>
              <w:rPr>
                <w:b/>
                <w:sz w:val="22"/>
                <w:szCs w:val="22"/>
              </w:rPr>
            </w:pPr>
          </w:p>
        </w:tc>
      </w:tr>
      <w:tr w:rsidR="009D0F65" w:rsidRPr="00561058" w14:paraId="1546AF6F" w14:textId="77777777" w:rsidTr="009D0F65">
        <w:trPr>
          <w:cantSplit/>
        </w:trPr>
        <w:tc>
          <w:tcPr>
            <w:tcW w:w="0" w:type="auto"/>
            <w:vMerge/>
          </w:tcPr>
          <w:p w14:paraId="030C9FF7" w14:textId="7B90EA00" w:rsidR="009D0F65" w:rsidRPr="00561058" w:rsidRDefault="009D0F65" w:rsidP="009D0F65">
            <w:pPr>
              <w:tabs>
                <w:tab w:val="left" w:pos="4111"/>
              </w:tabs>
              <w:spacing w:before="10"/>
              <w:ind w:left="57"/>
              <w:rPr>
                <w:b/>
                <w:bCs/>
                <w:sz w:val="22"/>
                <w:szCs w:val="22"/>
              </w:rPr>
            </w:pPr>
          </w:p>
        </w:tc>
        <w:tc>
          <w:tcPr>
            <w:tcW w:w="3441" w:type="dxa"/>
            <w:vMerge/>
          </w:tcPr>
          <w:p w14:paraId="16617BC8" w14:textId="04CB0524" w:rsidR="009D0F65" w:rsidRPr="00561058" w:rsidRDefault="009D0F65" w:rsidP="009D0F65">
            <w:pPr>
              <w:tabs>
                <w:tab w:val="left" w:pos="4111"/>
              </w:tabs>
              <w:spacing w:before="0"/>
              <w:ind w:left="57"/>
              <w:rPr>
                <w:sz w:val="22"/>
                <w:szCs w:val="22"/>
              </w:rPr>
            </w:pPr>
          </w:p>
        </w:tc>
        <w:tc>
          <w:tcPr>
            <w:tcW w:w="5009" w:type="dxa"/>
          </w:tcPr>
          <w:p w14:paraId="34D67237" w14:textId="77777777" w:rsidR="009D0F65" w:rsidRPr="00561058" w:rsidRDefault="009D0F65" w:rsidP="009D0F65">
            <w:pPr>
              <w:tabs>
                <w:tab w:val="clear" w:pos="794"/>
                <w:tab w:val="left" w:pos="226"/>
                <w:tab w:val="left" w:pos="4111"/>
              </w:tabs>
              <w:spacing w:before="0"/>
              <w:ind w:left="226" w:hanging="226"/>
              <w:rPr>
                <w:b/>
                <w:bCs/>
                <w:sz w:val="22"/>
                <w:szCs w:val="22"/>
              </w:rPr>
            </w:pPr>
            <w:r w:rsidRPr="00561058">
              <w:rPr>
                <w:b/>
                <w:bCs/>
                <w:sz w:val="22"/>
                <w:szCs w:val="22"/>
              </w:rPr>
              <w:t>Copie:</w:t>
            </w:r>
          </w:p>
          <w:p w14:paraId="21E86832" w14:textId="0F378AF3" w:rsidR="009D0F65" w:rsidRPr="00561058" w:rsidRDefault="009D0F65" w:rsidP="009D0F65">
            <w:pPr>
              <w:tabs>
                <w:tab w:val="clear" w:pos="794"/>
                <w:tab w:val="left" w:pos="4111"/>
              </w:tabs>
              <w:spacing w:before="0"/>
              <w:ind w:left="426" w:hanging="426"/>
              <w:rPr>
                <w:sz w:val="22"/>
                <w:szCs w:val="22"/>
              </w:rPr>
            </w:pPr>
            <w:r w:rsidRPr="00561058">
              <w:rPr>
                <w:sz w:val="22"/>
                <w:szCs w:val="22"/>
              </w:rPr>
              <w:t>–</w:t>
            </w:r>
            <w:r w:rsidRPr="00561058">
              <w:rPr>
                <w:sz w:val="22"/>
                <w:szCs w:val="22"/>
              </w:rPr>
              <w:tab/>
              <w:t>Aux Présidents et Vice-Présidents des commissions d'études;</w:t>
            </w:r>
          </w:p>
          <w:p w14:paraId="6BF21330" w14:textId="77777777" w:rsidR="009D0F65" w:rsidRPr="00561058" w:rsidRDefault="009D0F65" w:rsidP="009D0F65">
            <w:pPr>
              <w:tabs>
                <w:tab w:val="clear" w:pos="794"/>
                <w:tab w:val="left" w:pos="4111"/>
              </w:tabs>
              <w:spacing w:before="0"/>
              <w:ind w:left="426" w:hanging="426"/>
              <w:rPr>
                <w:sz w:val="22"/>
                <w:szCs w:val="22"/>
              </w:rPr>
            </w:pPr>
            <w:r w:rsidRPr="00561058">
              <w:rPr>
                <w:sz w:val="22"/>
                <w:szCs w:val="22"/>
              </w:rPr>
              <w:t>–</w:t>
            </w:r>
            <w:r w:rsidRPr="00561058">
              <w:rPr>
                <w:sz w:val="22"/>
                <w:szCs w:val="22"/>
              </w:rPr>
              <w:tab/>
              <w:t>Au Directeur du Bureau de développement des télécommunications;</w:t>
            </w:r>
          </w:p>
          <w:p w14:paraId="1B206E95" w14:textId="68601140" w:rsidR="009D0F65" w:rsidRPr="00561058" w:rsidRDefault="009D0F65" w:rsidP="009D0F65">
            <w:pPr>
              <w:tabs>
                <w:tab w:val="clear" w:pos="794"/>
                <w:tab w:val="left" w:pos="4111"/>
              </w:tabs>
              <w:spacing w:before="0"/>
              <w:ind w:left="426" w:hanging="426"/>
              <w:rPr>
                <w:sz w:val="22"/>
                <w:szCs w:val="22"/>
              </w:rPr>
            </w:pPr>
            <w:r w:rsidRPr="00561058">
              <w:rPr>
                <w:sz w:val="22"/>
                <w:szCs w:val="22"/>
              </w:rPr>
              <w:t>–</w:t>
            </w:r>
            <w:r w:rsidRPr="00561058">
              <w:rPr>
                <w:sz w:val="22"/>
                <w:szCs w:val="22"/>
              </w:rPr>
              <w:tab/>
              <w:t>Au Directeur du Bureau des radiocommunications;</w:t>
            </w:r>
          </w:p>
          <w:p w14:paraId="309E005D" w14:textId="3880B864" w:rsidR="009D0F65" w:rsidRPr="00561058" w:rsidRDefault="009D0F65" w:rsidP="009D0F65">
            <w:pPr>
              <w:tabs>
                <w:tab w:val="clear" w:pos="794"/>
                <w:tab w:val="left" w:pos="4111"/>
              </w:tabs>
              <w:spacing w:before="0"/>
              <w:ind w:left="426" w:hanging="426"/>
              <w:rPr>
                <w:sz w:val="22"/>
                <w:szCs w:val="22"/>
              </w:rPr>
            </w:pPr>
            <w:r w:rsidRPr="00561058">
              <w:rPr>
                <w:sz w:val="22"/>
                <w:szCs w:val="22"/>
              </w:rPr>
              <w:t>–</w:t>
            </w:r>
            <w:r w:rsidRPr="00561058">
              <w:rPr>
                <w:sz w:val="22"/>
                <w:szCs w:val="22"/>
              </w:rPr>
              <w:tab/>
              <w:t>Au Directeur du Bureau régional de l'UIT pour l'Afrique, Addis Abeba (Éthiopie);</w:t>
            </w:r>
          </w:p>
          <w:p w14:paraId="40D70E26" w14:textId="0443B9D6" w:rsidR="009D0F65" w:rsidRPr="00561058" w:rsidRDefault="009D0F65" w:rsidP="00EA4CDA">
            <w:pPr>
              <w:tabs>
                <w:tab w:val="clear" w:pos="794"/>
                <w:tab w:val="left" w:pos="4111"/>
              </w:tabs>
              <w:spacing w:before="0" w:after="120"/>
              <w:ind w:left="425" w:hanging="425"/>
              <w:rPr>
                <w:sz w:val="22"/>
                <w:szCs w:val="22"/>
              </w:rPr>
            </w:pPr>
            <w:r w:rsidRPr="00561058">
              <w:rPr>
                <w:sz w:val="22"/>
                <w:szCs w:val="22"/>
              </w:rPr>
              <w:t>–</w:t>
            </w:r>
            <w:r w:rsidRPr="00561058">
              <w:rPr>
                <w:sz w:val="22"/>
                <w:szCs w:val="22"/>
              </w:rPr>
              <w:tab/>
              <w:t>Au Bureau de zone de l'UIT pour l'Afrique de l'Ouest, Dakar (Sénégal)</w:t>
            </w:r>
          </w:p>
        </w:tc>
      </w:tr>
      <w:tr w:rsidR="009D0F65" w:rsidRPr="00561058" w14:paraId="44AFF122" w14:textId="77777777" w:rsidTr="00C41B89">
        <w:trPr>
          <w:cantSplit/>
          <w:trHeight w:val="397"/>
        </w:trPr>
        <w:tc>
          <w:tcPr>
            <w:tcW w:w="0" w:type="auto"/>
          </w:tcPr>
          <w:p w14:paraId="53C4F0D1" w14:textId="77777777" w:rsidR="009D0F65" w:rsidRPr="00561058" w:rsidRDefault="009D0F65" w:rsidP="009D0F65">
            <w:pPr>
              <w:tabs>
                <w:tab w:val="left" w:pos="4111"/>
              </w:tabs>
              <w:ind w:left="57"/>
              <w:rPr>
                <w:b/>
                <w:bCs/>
                <w:sz w:val="22"/>
                <w:szCs w:val="22"/>
              </w:rPr>
            </w:pPr>
            <w:r w:rsidRPr="00561058">
              <w:rPr>
                <w:b/>
                <w:bCs/>
                <w:sz w:val="22"/>
                <w:szCs w:val="22"/>
              </w:rPr>
              <w:t>Objet:</w:t>
            </w:r>
          </w:p>
        </w:tc>
        <w:tc>
          <w:tcPr>
            <w:tcW w:w="0" w:type="auto"/>
            <w:gridSpan w:val="2"/>
          </w:tcPr>
          <w:p w14:paraId="4557644E" w14:textId="1DB9FE41" w:rsidR="009D0F65" w:rsidRPr="00561058" w:rsidRDefault="009D0F65" w:rsidP="009D0F65">
            <w:pPr>
              <w:tabs>
                <w:tab w:val="left" w:pos="4111"/>
              </w:tabs>
              <w:spacing w:after="120"/>
              <w:ind w:left="57"/>
              <w:rPr>
                <w:b/>
                <w:bCs/>
                <w:sz w:val="22"/>
                <w:szCs w:val="22"/>
              </w:rPr>
            </w:pPr>
            <w:r w:rsidRPr="00561058">
              <w:rPr>
                <w:b/>
                <w:bCs/>
                <w:sz w:val="22"/>
                <w:szCs w:val="22"/>
              </w:rPr>
              <w:t>Atelier de l'Union internationale des télécommunications (UIT) sur la qualité des services de télécommunication (Freetown (Sierra Leone), 1er et 2 juillet 2025)</w:t>
            </w:r>
          </w:p>
        </w:tc>
      </w:tr>
    </w:tbl>
    <w:p w14:paraId="2CC2754D" w14:textId="77777777" w:rsidR="00517A03" w:rsidRPr="00561058" w:rsidRDefault="00517A03" w:rsidP="0048088B">
      <w:pPr>
        <w:spacing w:before="360"/>
        <w:rPr>
          <w:sz w:val="22"/>
          <w:szCs w:val="22"/>
        </w:rPr>
      </w:pPr>
      <w:bookmarkStart w:id="1" w:name="StartTyping_F"/>
      <w:bookmarkEnd w:id="1"/>
      <w:r w:rsidRPr="00561058">
        <w:rPr>
          <w:sz w:val="22"/>
          <w:szCs w:val="22"/>
        </w:rPr>
        <w:t>Madame, Monsieur,</w:t>
      </w:r>
    </w:p>
    <w:p w14:paraId="44747E2D" w14:textId="31C7DA25" w:rsidR="00C94268" w:rsidRPr="00561058" w:rsidRDefault="00C94268" w:rsidP="00C94268">
      <w:pPr>
        <w:rPr>
          <w:bCs/>
          <w:sz w:val="22"/>
          <w:szCs w:val="22"/>
        </w:rPr>
      </w:pPr>
      <w:r w:rsidRPr="00561058">
        <w:rPr>
          <w:bCs/>
          <w:sz w:val="22"/>
          <w:szCs w:val="22"/>
        </w:rPr>
        <w:t>1</w:t>
      </w:r>
      <w:r w:rsidRPr="00561058">
        <w:rPr>
          <w:bCs/>
          <w:sz w:val="22"/>
          <w:szCs w:val="22"/>
        </w:rPr>
        <w:tab/>
        <w:t>J'ai l'honneur de vous informer que l'Union internationale des télécommunications (UIT) organise un atelier sur le thème "</w:t>
      </w:r>
      <w:r w:rsidRPr="00561058">
        <w:rPr>
          <w:b/>
          <w:sz w:val="22"/>
          <w:szCs w:val="22"/>
        </w:rPr>
        <w:t>Qualité des services de télécommunication</w:t>
      </w:r>
      <w:r w:rsidRPr="00561058">
        <w:rPr>
          <w:bCs/>
          <w:sz w:val="22"/>
          <w:szCs w:val="22"/>
        </w:rPr>
        <w:t>", qui se tiendra les 1er et 2 juillet 2025 à Freetown (Sierra Leone).</w:t>
      </w:r>
    </w:p>
    <w:p w14:paraId="44195FE9" w14:textId="6E0BB5A7" w:rsidR="00C94268" w:rsidRPr="00561058" w:rsidRDefault="00C94268" w:rsidP="00C94268">
      <w:pPr>
        <w:rPr>
          <w:bCs/>
          <w:sz w:val="22"/>
          <w:szCs w:val="22"/>
        </w:rPr>
      </w:pPr>
      <w:r w:rsidRPr="00561058">
        <w:rPr>
          <w:bCs/>
          <w:sz w:val="22"/>
          <w:szCs w:val="22"/>
        </w:rPr>
        <w:t>Cet atelier, organisé à l</w:t>
      </w:r>
      <w:r w:rsidR="001B2261" w:rsidRPr="00561058">
        <w:rPr>
          <w:bCs/>
          <w:sz w:val="22"/>
          <w:szCs w:val="22"/>
        </w:rPr>
        <w:t>'</w:t>
      </w:r>
      <w:r w:rsidRPr="00561058">
        <w:rPr>
          <w:bCs/>
          <w:sz w:val="22"/>
          <w:szCs w:val="22"/>
        </w:rPr>
        <w:t>aimable invitation de l</w:t>
      </w:r>
      <w:r w:rsidR="001B2261" w:rsidRPr="00561058">
        <w:rPr>
          <w:bCs/>
          <w:sz w:val="22"/>
          <w:szCs w:val="22"/>
        </w:rPr>
        <w:t>'</w:t>
      </w:r>
      <w:r w:rsidRPr="00561058">
        <w:rPr>
          <w:bCs/>
          <w:sz w:val="22"/>
          <w:szCs w:val="22"/>
        </w:rPr>
        <w:t xml:space="preserve">Autorité nationale des communications (NatCA), se tiendra immédiatement avant la réunion du </w:t>
      </w:r>
      <w:hyperlink r:id="rId10" w:history="1">
        <w:r w:rsidRPr="00561058">
          <w:rPr>
            <w:rStyle w:val="Hyperlink"/>
            <w:bCs/>
            <w:sz w:val="22"/>
            <w:szCs w:val="22"/>
          </w:rPr>
          <w:t>Groupe régional de la CE 12 de l</w:t>
        </w:r>
        <w:r w:rsidR="001B2261" w:rsidRPr="00561058">
          <w:rPr>
            <w:rStyle w:val="Hyperlink"/>
            <w:bCs/>
            <w:sz w:val="22"/>
            <w:szCs w:val="22"/>
          </w:rPr>
          <w:t>'</w:t>
        </w:r>
        <w:r w:rsidRPr="00561058">
          <w:rPr>
            <w:rStyle w:val="Hyperlink"/>
            <w:bCs/>
            <w:sz w:val="22"/>
            <w:szCs w:val="22"/>
          </w:rPr>
          <w:t>UIT-T sur la qualité de service pour la région Afrique</w:t>
        </w:r>
      </w:hyperlink>
      <w:r w:rsidRPr="00561058">
        <w:rPr>
          <w:bCs/>
          <w:sz w:val="22"/>
          <w:szCs w:val="22"/>
        </w:rPr>
        <w:t xml:space="preserve"> (SG12RG-AFR), qui aura lieu au même endroit les 3 et 4 juillet 2025. La manifestation se déroulera en anglais et en français.</w:t>
      </w:r>
    </w:p>
    <w:p w14:paraId="1C814623" w14:textId="764FB519" w:rsidR="00C94268" w:rsidRPr="00561058" w:rsidRDefault="00C94268" w:rsidP="00C94268">
      <w:pPr>
        <w:rPr>
          <w:bCs/>
          <w:sz w:val="22"/>
          <w:szCs w:val="22"/>
        </w:rPr>
      </w:pPr>
      <w:r w:rsidRPr="00561058">
        <w:rPr>
          <w:bCs/>
          <w:sz w:val="22"/>
          <w:szCs w:val="22"/>
        </w:rPr>
        <w:t>2</w:t>
      </w:r>
      <w:r w:rsidRPr="00561058">
        <w:rPr>
          <w:bCs/>
          <w:sz w:val="22"/>
          <w:szCs w:val="22"/>
        </w:rPr>
        <w:tab/>
        <w:t xml:space="preserve">Cet atelier, qui sera animé par le </w:t>
      </w:r>
      <w:hyperlink r:id="rId11" w:history="1">
        <w:r w:rsidRPr="00561058">
          <w:rPr>
            <w:rStyle w:val="Hyperlink"/>
            <w:bCs/>
            <w:sz w:val="22"/>
            <w:szCs w:val="22"/>
          </w:rPr>
          <w:t>Groupe sur le développement de la qualité de service</w:t>
        </w:r>
      </w:hyperlink>
      <w:r w:rsidRPr="00561058">
        <w:rPr>
          <w:bCs/>
          <w:sz w:val="22"/>
          <w:szCs w:val="22"/>
        </w:rPr>
        <w:t xml:space="preserve"> (QSDG), relevant de la </w:t>
      </w:r>
      <w:hyperlink r:id="rId12" w:anchor="/fr" w:history="1">
        <w:r w:rsidRPr="00561058">
          <w:rPr>
            <w:rStyle w:val="Hyperlink"/>
            <w:bCs/>
            <w:sz w:val="22"/>
            <w:szCs w:val="22"/>
          </w:rPr>
          <w:t>Commission d'études 12 de l'UIT-T</w:t>
        </w:r>
      </w:hyperlink>
      <w:r w:rsidRPr="00561058">
        <w:rPr>
          <w:bCs/>
          <w:sz w:val="22"/>
          <w:szCs w:val="22"/>
        </w:rPr>
        <w:t xml:space="preserve"> (Qualité de fonctionnement, qualité de service et qualité d'expérience), a pour objet d'étendre la portée des activités de l'UIT dans le domaine de la qualité des services de télécommunication dans la région Afrique, et de progresser dans la mise en œuvre de la </w:t>
      </w:r>
      <w:hyperlink r:id="rId13" w:history="1">
        <w:r w:rsidRPr="00561058">
          <w:rPr>
            <w:rStyle w:val="Hyperlink"/>
            <w:bCs/>
            <w:sz w:val="22"/>
            <w:szCs w:val="22"/>
          </w:rPr>
          <w:t>Résolution 95 de l'AMNT</w:t>
        </w:r>
      </w:hyperlink>
      <w:r w:rsidRPr="00561058">
        <w:rPr>
          <w:bCs/>
          <w:sz w:val="22"/>
          <w:szCs w:val="22"/>
        </w:rPr>
        <w:t xml:space="preserve"> sur les initiatives prises par l'UIT-T pour mieux faire connaître les bonnes pratiques et les politiques relatives à la qualité de service.</w:t>
      </w:r>
    </w:p>
    <w:p w14:paraId="266C740C" w14:textId="77777777" w:rsidR="00C94268" w:rsidRPr="00561058" w:rsidRDefault="00C94268" w:rsidP="00C94268">
      <w:pPr>
        <w:rPr>
          <w:bCs/>
          <w:sz w:val="22"/>
          <w:szCs w:val="22"/>
        </w:rPr>
      </w:pPr>
      <w:r w:rsidRPr="00561058">
        <w:rPr>
          <w:bCs/>
          <w:sz w:val="22"/>
          <w:szCs w:val="22"/>
        </w:rPr>
        <w:t>3</w:t>
      </w:r>
      <w:r w:rsidRPr="00561058">
        <w:rPr>
          <w:bCs/>
          <w:sz w:val="22"/>
          <w:szCs w:val="22"/>
        </w:rPr>
        <w:tab/>
        <w:t>Les objectifs de cette manifestation sont notamment, mais pas exclusivement, les suivants:</w:t>
      </w:r>
    </w:p>
    <w:p w14:paraId="29ACC734" w14:textId="096BA185" w:rsidR="00C94268" w:rsidRPr="00561058" w:rsidRDefault="00E14904" w:rsidP="00E14904">
      <w:pPr>
        <w:pStyle w:val="enumlev1"/>
        <w:rPr>
          <w:sz w:val="22"/>
          <w:szCs w:val="22"/>
        </w:rPr>
      </w:pPr>
      <w:r w:rsidRPr="00561058">
        <w:rPr>
          <w:sz w:val="22"/>
          <w:szCs w:val="22"/>
        </w:rPr>
        <w:t>–</w:t>
      </w:r>
      <w:r w:rsidR="00C94268" w:rsidRPr="00561058">
        <w:rPr>
          <w:sz w:val="22"/>
          <w:szCs w:val="22"/>
        </w:rPr>
        <w:tab/>
        <w:t>présenter les travaux de la Commission d'études 12 de l'UIT-T sur la qualité de fonctionnement, la qualité de service (QoS) et la qualité d'expérience (QoE);</w:t>
      </w:r>
    </w:p>
    <w:p w14:paraId="6462DD5F" w14:textId="34302246" w:rsidR="00C94268" w:rsidRPr="00561058" w:rsidRDefault="00E14904" w:rsidP="00E14904">
      <w:pPr>
        <w:pStyle w:val="enumlev1"/>
        <w:rPr>
          <w:sz w:val="22"/>
          <w:szCs w:val="22"/>
        </w:rPr>
      </w:pPr>
      <w:r w:rsidRPr="00561058">
        <w:rPr>
          <w:sz w:val="22"/>
          <w:szCs w:val="22"/>
        </w:rPr>
        <w:t>–</w:t>
      </w:r>
      <w:r w:rsidR="00C94268" w:rsidRPr="00561058">
        <w:rPr>
          <w:sz w:val="22"/>
          <w:szCs w:val="22"/>
        </w:rPr>
        <w:tab/>
        <w:t>présenter les normes et orientations de l</w:t>
      </w:r>
      <w:r w:rsidR="001B2261" w:rsidRPr="00561058">
        <w:rPr>
          <w:sz w:val="22"/>
          <w:szCs w:val="22"/>
        </w:rPr>
        <w:t>'</w:t>
      </w:r>
      <w:r w:rsidR="00C94268" w:rsidRPr="00561058">
        <w:rPr>
          <w:sz w:val="22"/>
          <w:szCs w:val="22"/>
        </w:rPr>
        <w:t>UIT-T disponibles concernant la qualité des services de télécommunication</w:t>
      </w:r>
      <w:r w:rsidRPr="00561058">
        <w:rPr>
          <w:sz w:val="22"/>
          <w:szCs w:val="22"/>
        </w:rPr>
        <w:t>;</w:t>
      </w:r>
    </w:p>
    <w:p w14:paraId="3FD36A4A" w14:textId="497AA37F" w:rsidR="00C94268" w:rsidRPr="00561058" w:rsidRDefault="00E14904" w:rsidP="00E14904">
      <w:pPr>
        <w:pStyle w:val="enumlev1"/>
        <w:rPr>
          <w:sz w:val="22"/>
          <w:szCs w:val="22"/>
        </w:rPr>
      </w:pPr>
      <w:r w:rsidRPr="00561058">
        <w:rPr>
          <w:sz w:val="22"/>
          <w:szCs w:val="22"/>
        </w:rPr>
        <w:t>–</w:t>
      </w:r>
      <w:r w:rsidR="00C94268" w:rsidRPr="00561058">
        <w:rPr>
          <w:sz w:val="22"/>
          <w:szCs w:val="22"/>
        </w:rPr>
        <w:tab/>
        <w:t xml:space="preserve">faciliter l'échange de bonnes pratiques, de données d'expérience et d'enseignements tirés en matière de qualité des services de télécommunication, y compris pour ce qui est de l'évaluation, de </w:t>
      </w:r>
      <w:r w:rsidR="00C94268" w:rsidRPr="00561058">
        <w:rPr>
          <w:sz w:val="22"/>
          <w:szCs w:val="22"/>
        </w:rPr>
        <w:lastRenderedPageBreak/>
        <w:t>l'établissement de critères de référence et de l'optimisation concernant la qualité de service et la qualité d'expérience; et</w:t>
      </w:r>
    </w:p>
    <w:p w14:paraId="2CA17E7D" w14:textId="0C0726E4" w:rsidR="00C94268" w:rsidRPr="00561058" w:rsidRDefault="00E14904" w:rsidP="00E14904">
      <w:pPr>
        <w:pStyle w:val="enumlev1"/>
        <w:rPr>
          <w:sz w:val="22"/>
          <w:szCs w:val="22"/>
        </w:rPr>
      </w:pPr>
      <w:r w:rsidRPr="00561058">
        <w:rPr>
          <w:sz w:val="22"/>
          <w:szCs w:val="22"/>
        </w:rPr>
        <w:t>–</w:t>
      </w:r>
      <w:r w:rsidR="00C94268" w:rsidRPr="00561058">
        <w:rPr>
          <w:sz w:val="22"/>
          <w:szCs w:val="22"/>
        </w:rPr>
        <w:tab/>
        <w:t>évaluer l'incidence des tendances émergentes dans le secteur des télécommunications sur la qualité de service.</w:t>
      </w:r>
    </w:p>
    <w:p w14:paraId="4A7E4093" w14:textId="6E7760DB" w:rsidR="00C94268" w:rsidRPr="00561058" w:rsidRDefault="00C94268" w:rsidP="00EB1D16">
      <w:pPr>
        <w:spacing w:before="100"/>
        <w:rPr>
          <w:bCs/>
          <w:sz w:val="22"/>
          <w:szCs w:val="22"/>
        </w:rPr>
      </w:pPr>
      <w:r w:rsidRPr="00561058">
        <w:rPr>
          <w:bCs/>
          <w:sz w:val="22"/>
          <w:szCs w:val="22"/>
        </w:rPr>
        <w:t>4</w:t>
      </w:r>
      <w:r w:rsidRPr="00561058">
        <w:rPr>
          <w:bCs/>
          <w:sz w:val="22"/>
          <w:szCs w:val="22"/>
        </w:rPr>
        <w:tab/>
        <w:t>L'atelier s'adresse aux représentants des autorités nationales de régulation, des ministères, des fournisseurs et des prestataires de services et de solutions, des établissements universitaires, des organismes de recherche-développement, des groupes de défense des droits des consommateurs et d'autres organisations qui s'occupent de questions liées à la qualité des services de télécommunication.</w:t>
      </w:r>
    </w:p>
    <w:p w14:paraId="688025F6" w14:textId="74CBACF6" w:rsidR="00C94268" w:rsidRPr="00561058" w:rsidRDefault="00C94268" w:rsidP="00EB1D16">
      <w:pPr>
        <w:spacing w:before="100"/>
        <w:rPr>
          <w:bCs/>
          <w:sz w:val="22"/>
          <w:szCs w:val="22"/>
        </w:rPr>
      </w:pPr>
      <w:r w:rsidRPr="00561058">
        <w:rPr>
          <w:bCs/>
          <w:sz w:val="22"/>
          <w:szCs w:val="22"/>
        </w:rPr>
        <w:t>La participation est gratuite et ouverte aux États Membres, aux Membres de Secteur et aux Associés de l'UIT, aux établissements universitaires participant aux travaux de l'UIT ainsi qu'à toute personne issue d'un pays membre de l'UIT qui souhaite contribuer aux travaux.</w:t>
      </w:r>
    </w:p>
    <w:p w14:paraId="173D310D" w14:textId="69353ABC" w:rsidR="00C94268" w:rsidRPr="00561058" w:rsidRDefault="00C94268" w:rsidP="00EB1D16">
      <w:pPr>
        <w:spacing w:before="100"/>
        <w:rPr>
          <w:bCs/>
          <w:sz w:val="22"/>
          <w:szCs w:val="22"/>
        </w:rPr>
      </w:pPr>
      <w:r w:rsidRPr="00561058">
        <w:rPr>
          <w:bCs/>
          <w:sz w:val="22"/>
          <w:szCs w:val="22"/>
        </w:rPr>
        <w:t>5</w:t>
      </w:r>
      <w:r w:rsidRPr="00561058">
        <w:rPr>
          <w:bCs/>
          <w:sz w:val="22"/>
          <w:szCs w:val="22"/>
        </w:rPr>
        <w:tab/>
        <w:t xml:space="preserve">Toutes les informations utiles, notamment le projet de programme, seront communiquées sur le site web de la manifestation à l'adresse suivante: </w:t>
      </w:r>
      <w:hyperlink r:id="rId14" w:anchor="/fr" w:history="1">
        <w:r w:rsidR="00E14904" w:rsidRPr="00561058">
          <w:rPr>
            <w:rStyle w:val="Hyperlink"/>
            <w:bCs/>
            <w:sz w:val="22"/>
            <w:szCs w:val="22"/>
          </w:rPr>
          <w:t>https://www.itu.int/en/ITU-T/Workshops-and-Seminars/qos/20250701/Pages/default.aspx</w:t>
        </w:r>
      </w:hyperlink>
      <w:r w:rsidRPr="00561058">
        <w:rPr>
          <w:bCs/>
          <w:sz w:val="22"/>
          <w:szCs w:val="22"/>
        </w:rPr>
        <w:t>. La page web de la manifestation sera mise à jour périodiquement, à mesure que parviendront des informations nouvelles. Il est recommandé aux participants de consulter régulièrement la page web pour prendre connaissance des dernières informations.</w:t>
      </w:r>
    </w:p>
    <w:p w14:paraId="218F7BAB" w14:textId="44B75FDD" w:rsidR="00C94268" w:rsidRPr="00561058" w:rsidRDefault="00C94268" w:rsidP="00EB1D16">
      <w:pPr>
        <w:spacing w:before="100"/>
        <w:rPr>
          <w:bCs/>
          <w:sz w:val="22"/>
          <w:szCs w:val="22"/>
        </w:rPr>
      </w:pPr>
      <w:r w:rsidRPr="00561058">
        <w:rPr>
          <w:bCs/>
          <w:sz w:val="22"/>
          <w:szCs w:val="22"/>
        </w:rPr>
        <w:t>6</w:t>
      </w:r>
      <w:r w:rsidRPr="00561058">
        <w:rPr>
          <w:bCs/>
          <w:sz w:val="22"/>
          <w:szCs w:val="22"/>
        </w:rPr>
        <w:tab/>
        <w:t>Des informations générales à l'intention des participants concernant les hôtels, les transports et les formalités de visa sont disponibles sur la page web de l'UIT mentionnée ci-dessus.</w:t>
      </w:r>
    </w:p>
    <w:p w14:paraId="18880E97" w14:textId="38D1AE2B" w:rsidR="00C94268" w:rsidRPr="00561058" w:rsidRDefault="00C94268" w:rsidP="00EB1D16">
      <w:pPr>
        <w:spacing w:before="100"/>
        <w:rPr>
          <w:bCs/>
          <w:sz w:val="22"/>
          <w:szCs w:val="22"/>
        </w:rPr>
      </w:pPr>
      <w:r w:rsidRPr="00561058">
        <w:rPr>
          <w:bCs/>
          <w:sz w:val="22"/>
          <w:szCs w:val="22"/>
        </w:rPr>
        <w:t xml:space="preserve">L'inscription est obligatoire pour toutes les personnes qui souhaitent participer. Pour vous inscrire, vous êtes invités à remplir dès que possible le formulaire en ligne disponible à l'adresse </w:t>
      </w:r>
      <w:hyperlink r:id="rId15" w:history="1">
        <w:r w:rsidR="002D2FF7" w:rsidRPr="00561058">
          <w:rPr>
            <w:rStyle w:val="Hyperlink"/>
            <w:bCs/>
            <w:sz w:val="22"/>
            <w:szCs w:val="22"/>
          </w:rPr>
          <w:t>https://www.itu.int/net4/CRM/xreg/web/Registration.aspx?Event=C-00015212</w:t>
        </w:r>
      </w:hyperlink>
      <w:r w:rsidRPr="00561058">
        <w:rPr>
          <w:bCs/>
          <w:sz w:val="22"/>
          <w:szCs w:val="22"/>
        </w:rPr>
        <w:t xml:space="preserve">. </w:t>
      </w:r>
      <w:r w:rsidRPr="00561058">
        <w:rPr>
          <w:b/>
          <w:sz w:val="22"/>
          <w:szCs w:val="22"/>
        </w:rPr>
        <w:t>Il est vivement conseillé de s</w:t>
      </w:r>
      <w:r w:rsidR="001B2261" w:rsidRPr="00561058">
        <w:rPr>
          <w:b/>
          <w:sz w:val="22"/>
          <w:szCs w:val="22"/>
        </w:rPr>
        <w:t>'</w:t>
      </w:r>
      <w:r w:rsidRPr="00561058">
        <w:rPr>
          <w:b/>
          <w:sz w:val="22"/>
          <w:szCs w:val="22"/>
        </w:rPr>
        <w:t>inscrire à l</w:t>
      </w:r>
      <w:r w:rsidR="001B2261" w:rsidRPr="00561058">
        <w:rPr>
          <w:b/>
          <w:sz w:val="22"/>
          <w:szCs w:val="22"/>
        </w:rPr>
        <w:t>'</w:t>
      </w:r>
      <w:r w:rsidRPr="00561058">
        <w:rPr>
          <w:b/>
          <w:sz w:val="22"/>
          <w:szCs w:val="22"/>
        </w:rPr>
        <w:t>avance</w:t>
      </w:r>
      <w:r w:rsidRPr="00561058">
        <w:rPr>
          <w:bCs/>
          <w:sz w:val="22"/>
          <w:szCs w:val="22"/>
        </w:rPr>
        <w:t>.</w:t>
      </w:r>
    </w:p>
    <w:p w14:paraId="36A46490" w14:textId="77777777" w:rsidR="00C94268" w:rsidRPr="00561058" w:rsidRDefault="00C94268" w:rsidP="00EB1D16">
      <w:pPr>
        <w:spacing w:before="100"/>
        <w:rPr>
          <w:bCs/>
          <w:sz w:val="22"/>
          <w:szCs w:val="22"/>
        </w:rPr>
      </w:pPr>
      <w:r w:rsidRPr="00561058">
        <w:rPr>
          <w:bCs/>
          <w:sz w:val="22"/>
          <w:szCs w:val="22"/>
        </w:rPr>
        <w:t>Veuillez noter que l'inscription préalable des participants à nos manifestations se fait exclusivement en ligne.</w:t>
      </w:r>
    </w:p>
    <w:p w14:paraId="3B1ADD8B" w14:textId="442C04BD" w:rsidR="00307FB4" w:rsidRPr="00561058" w:rsidRDefault="00C94268" w:rsidP="00EB1D16">
      <w:pPr>
        <w:spacing w:before="100"/>
        <w:rPr>
          <w:bCs/>
          <w:sz w:val="22"/>
          <w:szCs w:val="22"/>
        </w:rPr>
      </w:pPr>
      <w:r w:rsidRPr="00561058">
        <w:rPr>
          <w:bCs/>
          <w:sz w:val="22"/>
          <w:szCs w:val="22"/>
        </w:rPr>
        <w:t>7</w:t>
      </w:r>
      <w:r w:rsidRPr="00561058">
        <w:rPr>
          <w:bCs/>
          <w:sz w:val="22"/>
          <w:szCs w:val="22"/>
        </w:rPr>
        <w:tab/>
        <w:t xml:space="preserve">Nous vous rappelons que, pour les ressortissants de certains pays, l'entrée et le séjour en Sierra Leone, quelle qu'en soit la durée, sont soumis à l'obtention d'un visa. Ce visa doit être obtenu auprès de la représentation de la Sierra Leone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 Des renseignements supplémentaires concernant les demandes de visa seront disponibles sur la page web de la manifestation, dans la rubrique </w:t>
      </w:r>
      <w:r w:rsidR="007C669A" w:rsidRPr="00561058">
        <w:rPr>
          <w:bCs/>
          <w:sz w:val="22"/>
          <w:szCs w:val="22"/>
        </w:rPr>
        <w:t>"</w:t>
      </w:r>
      <w:r w:rsidRPr="00561058">
        <w:rPr>
          <w:b/>
          <w:sz w:val="22"/>
          <w:szCs w:val="22"/>
        </w:rPr>
        <w:t>Informations</w:t>
      </w:r>
      <w:r w:rsidRPr="00561058">
        <w:rPr>
          <w:bCs/>
          <w:sz w:val="22"/>
          <w:szCs w:val="22"/>
        </w:rPr>
        <w:t xml:space="preserve"> </w:t>
      </w:r>
      <w:r w:rsidRPr="00561058">
        <w:rPr>
          <w:b/>
          <w:sz w:val="22"/>
          <w:szCs w:val="22"/>
        </w:rPr>
        <w:t>pratiques</w:t>
      </w:r>
      <w:r w:rsidR="007C669A" w:rsidRPr="00561058">
        <w:rPr>
          <w:bCs/>
          <w:sz w:val="22"/>
          <w:szCs w:val="22"/>
        </w:rPr>
        <w:t>"</w:t>
      </w:r>
      <w:r w:rsidRPr="00561058">
        <w:rPr>
          <w:bCs/>
          <w:sz w:val="22"/>
          <w:szCs w:val="22"/>
        </w:rPr>
        <w:t>.</w:t>
      </w:r>
    </w:p>
    <w:p w14:paraId="10B1FDC8" w14:textId="77777777" w:rsidR="00307FB4" w:rsidRPr="00561058" w:rsidRDefault="00307FB4" w:rsidP="00307FB4">
      <w:pPr>
        <w:rPr>
          <w:bCs/>
          <w:sz w:val="22"/>
          <w:szCs w:val="22"/>
        </w:rPr>
      </w:pPr>
      <w:r w:rsidRPr="00561058">
        <w:rPr>
          <w:bCs/>
          <w:sz w:val="22"/>
          <w:szCs w:val="22"/>
        </w:rPr>
        <w:t>Veuillez agréer, Madame, Monsieur, l'assurance de ma considération distinguée.</w:t>
      </w:r>
    </w:p>
    <w:p w14:paraId="1761A4CB" w14:textId="77777777" w:rsidR="00B60868" w:rsidRPr="00561058" w:rsidRDefault="00B60868" w:rsidP="00B60868">
      <w:pPr>
        <w:spacing w:before="480" w:after="480"/>
        <w:rPr>
          <w:bCs/>
          <w:sz w:val="22"/>
          <w:szCs w:val="22"/>
        </w:rPr>
      </w:pPr>
      <w:r w:rsidRPr="00561058">
        <w:rPr>
          <w:bCs/>
          <w:sz w:val="22"/>
          <w:szCs w:val="22"/>
        </w:rPr>
        <w:t>(</w:t>
      </w:r>
      <w:r w:rsidRPr="00561058">
        <w:rPr>
          <w:bCs/>
          <w:i/>
          <w:sz w:val="22"/>
          <w:szCs w:val="22"/>
        </w:rPr>
        <w:t>signé</w:t>
      </w:r>
      <w:r w:rsidRPr="00561058">
        <w:rPr>
          <w:bCs/>
          <w:sz w:val="22"/>
          <w:szCs w:val="22"/>
        </w:rPr>
        <w:t>)</w:t>
      </w:r>
    </w:p>
    <w:p w14:paraId="17FBCFFF" w14:textId="77777777" w:rsidR="002937DB" w:rsidRPr="00561058" w:rsidRDefault="00307FB4" w:rsidP="00B60868">
      <w:pPr>
        <w:rPr>
          <w:bCs/>
          <w:sz w:val="22"/>
          <w:szCs w:val="22"/>
        </w:rPr>
      </w:pPr>
      <w:r w:rsidRPr="00561058">
        <w:rPr>
          <w:bCs/>
          <w:sz w:val="22"/>
          <w:szCs w:val="22"/>
        </w:rPr>
        <w:t>Seizo Onoe</w:t>
      </w:r>
      <w:r w:rsidR="00B60868" w:rsidRPr="00561058">
        <w:rPr>
          <w:bCs/>
          <w:sz w:val="22"/>
          <w:szCs w:val="22"/>
        </w:rPr>
        <w:br/>
      </w:r>
      <w:r w:rsidRPr="00561058">
        <w:rPr>
          <w:bCs/>
          <w:sz w:val="22"/>
          <w:szCs w:val="22"/>
        </w:rPr>
        <w:t>Directeur du Bureau de la normalisation</w:t>
      </w:r>
      <w:r w:rsidR="00B60868" w:rsidRPr="00561058">
        <w:rPr>
          <w:bCs/>
          <w:sz w:val="22"/>
          <w:szCs w:val="22"/>
        </w:rPr>
        <w:br/>
      </w:r>
      <w:r w:rsidRPr="00561058">
        <w:rPr>
          <w:bCs/>
          <w:sz w:val="22"/>
          <w:szCs w:val="22"/>
        </w:rPr>
        <w:t>des télécommunications</w:t>
      </w:r>
    </w:p>
    <w:sectPr w:rsidR="002937DB" w:rsidRPr="00561058" w:rsidSect="00A15179">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CD6D" w14:textId="77777777" w:rsidR="00D63D5D" w:rsidRDefault="00D63D5D">
      <w:r>
        <w:separator/>
      </w:r>
    </w:p>
  </w:endnote>
  <w:endnote w:type="continuationSeparator" w:id="0">
    <w:p w14:paraId="16057F21" w14:textId="77777777" w:rsidR="00D63D5D" w:rsidRDefault="00D6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B72E" w14:textId="77777777" w:rsidR="00561058" w:rsidRDefault="00561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BB70" w14:textId="77777777" w:rsidR="00561058" w:rsidRDefault="00561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9194" w14:textId="298F9D7D"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77E6" w14:textId="77777777" w:rsidR="00D63D5D" w:rsidRDefault="00D63D5D">
      <w:r>
        <w:t>____________________</w:t>
      </w:r>
    </w:p>
  </w:footnote>
  <w:footnote w:type="continuationSeparator" w:id="0">
    <w:p w14:paraId="302FF5C8" w14:textId="77777777" w:rsidR="00D63D5D" w:rsidRDefault="00D6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9518" w14:textId="77777777" w:rsidR="00561058" w:rsidRDefault="0056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9006" w14:textId="63255E81" w:rsidR="00697BC1" w:rsidRPr="00697BC1" w:rsidRDefault="00561058" w:rsidP="00697BC1">
    <w:pPr>
      <w:pStyle w:val="Header"/>
      <w:rPr>
        <w:sz w:val="18"/>
        <w:szCs w:val="16"/>
      </w:rPr>
    </w:pPr>
    <w:r>
      <w:rPr>
        <w:rFonts w:hint="eastAsia"/>
        <w:sz w:val="18"/>
        <w:szCs w:val="16"/>
        <w:lang w:eastAsia="zh-CN"/>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rFonts w:hint="eastAsia"/>
            <w:noProof/>
            <w:sz w:val="18"/>
            <w:szCs w:val="16"/>
            <w:lang w:eastAsia="zh-CN"/>
          </w:rPr>
          <w:t xml:space="preserve"> -</w:t>
        </w:r>
      </w:sdtContent>
    </w:sdt>
    <w:r w:rsidR="00AF0D7D">
      <w:rPr>
        <w:noProof/>
        <w:sz w:val="18"/>
        <w:szCs w:val="16"/>
      </w:rPr>
      <w:br/>
      <w:t xml:space="preserve">Circulaire TSB </w:t>
    </w:r>
    <w:r w:rsidR="00A359D7">
      <w:rPr>
        <w:noProof/>
        <w:sz w:val="18"/>
        <w:szCs w:val="16"/>
      </w:rPr>
      <w:t>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05F" w14:textId="77777777" w:rsidR="00561058" w:rsidRDefault="0056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440C"/>
    <w:rsid w:val="000B59D8"/>
    <w:rsid w:val="000C1F6B"/>
    <w:rsid w:val="000C25CC"/>
    <w:rsid w:val="000C56BE"/>
    <w:rsid w:val="001026FD"/>
    <w:rsid w:val="001077FD"/>
    <w:rsid w:val="00115DD7"/>
    <w:rsid w:val="00167472"/>
    <w:rsid w:val="00167F92"/>
    <w:rsid w:val="00173738"/>
    <w:rsid w:val="001B2261"/>
    <w:rsid w:val="001B79A3"/>
    <w:rsid w:val="002152A3"/>
    <w:rsid w:val="0023667A"/>
    <w:rsid w:val="00265DF1"/>
    <w:rsid w:val="002937DB"/>
    <w:rsid w:val="002D2FF7"/>
    <w:rsid w:val="002E395D"/>
    <w:rsid w:val="002F4C18"/>
    <w:rsid w:val="00307FB4"/>
    <w:rsid w:val="003131F0"/>
    <w:rsid w:val="00333A80"/>
    <w:rsid w:val="00341117"/>
    <w:rsid w:val="00364E95"/>
    <w:rsid w:val="00372875"/>
    <w:rsid w:val="003742F8"/>
    <w:rsid w:val="003B1E80"/>
    <w:rsid w:val="003B651B"/>
    <w:rsid w:val="003B66E8"/>
    <w:rsid w:val="003E66AD"/>
    <w:rsid w:val="004033F1"/>
    <w:rsid w:val="00412BEF"/>
    <w:rsid w:val="00414B0C"/>
    <w:rsid w:val="00423C21"/>
    <w:rsid w:val="004257AC"/>
    <w:rsid w:val="00433E8D"/>
    <w:rsid w:val="0043711B"/>
    <w:rsid w:val="004419E9"/>
    <w:rsid w:val="00445B68"/>
    <w:rsid w:val="00462BF7"/>
    <w:rsid w:val="00471DB7"/>
    <w:rsid w:val="0048088B"/>
    <w:rsid w:val="004977C9"/>
    <w:rsid w:val="004B732E"/>
    <w:rsid w:val="004D51F4"/>
    <w:rsid w:val="004D64E0"/>
    <w:rsid w:val="005120A2"/>
    <w:rsid w:val="0051210D"/>
    <w:rsid w:val="005136D2"/>
    <w:rsid w:val="00517A03"/>
    <w:rsid w:val="00561058"/>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C5F59"/>
    <w:rsid w:val="007C669A"/>
    <w:rsid w:val="00810105"/>
    <w:rsid w:val="008157E0"/>
    <w:rsid w:val="00850477"/>
    <w:rsid w:val="00854E1D"/>
    <w:rsid w:val="00887FA6"/>
    <w:rsid w:val="008C4397"/>
    <w:rsid w:val="008C465A"/>
    <w:rsid w:val="008F2C9B"/>
    <w:rsid w:val="00923CD6"/>
    <w:rsid w:val="00935AA8"/>
    <w:rsid w:val="00971C9A"/>
    <w:rsid w:val="009D0F65"/>
    <w:rsid w:val="009D51FA"/>
    <w:rsid w:val="009F1E23"/>
    <w:rsid w:val="00A15179"/>
    <w:rsid w:val="00A359D7"/>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547F8"/>
    <w:rsid w:val="00C9028F"/>
    <w:rsid w:val="00C94268"/>
    <w:rsid w:val="00CA0416"/>
    <w:rsid w:val="00CB1125"/>
    <w:rsid w:val="00CB4E80"/>
    <w:rsid w:val="00CD042E"/>
    <w:rsid w:val="00CF2560"/>
    <w:rsid w:val="00CF5B46"/>
    <w:rsid w:val="00D17FE1"/>
    <w:rsid w:val="00D373CF"/>
    <w:rsid w:val="00D46B68"/>
    <w:rsid w:val="00D542A5"/>
    <w:rsid w:val="00D63D5D"/>
    <w:rsid w:val="00DC3D47"/>
    <w:rsid w:val="00DD77DA"/>
    <w:rsid w:val="00E06C61"/>
    <w:rsid w:val="00E13DB3"/>
    <w:rsid w:val="00E14904"/>
    <w:rsid w:val="00E2408B"/>
    <w:rsid w:val="00E62CEA"/>
    <w:rsid w:val="00E72AE1"/>
    <w:rsid w:val="00EA4CDA"/>
    <w:rsid w:val="00EB1D16"/>
    <w:rsid w:val="00ED6A7A"/>
    <w:rsid w:val="00EE4C36"/>
    <w:rsid w:val="00EF6A23"/>
    <w:rsid w:val="00F10F49"/>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176F6"/>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95-2024/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studygroups/2025-2028/12/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12/Pages/QSDG.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5212" TargetMode="External"/><Relationship Id="rId23" Type="http://schemas.openxmlformats.org/officeDocument/2006/relationships/theme" Target="theme/theme1.xml"/><Relationship Id="rId10" Type="http://schemas.openxmlformats.org/officeDocument/2006/relationships/hyperlink" Target="https://www.itu.int/en/ITU-T/regionalgroups/SG12-AFR/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qos/20250701/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816</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2025-06-26T08:41:00Z</dcterms:created>
  <dcterms:modified xsi:type="dcterms:W3CDTF">2025-06-26T08:41:00Z</dcterms:modified>
</cp:coreProperties>
</file>