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8" w:type="dxa"/>
        <w:tblLayout w:type="fixed"/>
        <w:tblCellMar>
          <w:left w:w="0" w:type="dxa"/>
          <w:right w:w="0" w:type="dxa"/>
        </w:tblCellMar>
        <w:tblLook w:val="0000" w:firstRow="0" w:lastRow="0" w:firstColumn="0" w:lastColumn="0" w:noHBand="0" w:noVBand="0"/>
      </w:tblPr>
      <w:tblGrid>
        <w:gridCol w:w="1333"/>
        <w:gridCol w:w="9"/>
        <w:gridCol w:w="2970"/>
        <w:gridCol w:w="5327"/>
      </w:tblGrid>
      <w:tr w:rsidR="007B6316" w14:paraId="4FCEC009" w14:textId="77777777" w:rsidTr="000F4579">
        <w:trPr>
          <w:cantSplit/>
          <w:trHeight w:val="340"/>
        </w:trPr>
        <w:tc>
          <w:tcPr>
            <w:tcW w:w="1333" w:type="dxa"/>
          </w:tcPr>
          <w:p w14:paraId="3C545BB1"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25A1751F" wp14:editId="3E16F27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306" w:type="dxa"/>
            <w:gridSpan w:val="3"/>
            <w:vAlign w:val="center"/>
          </w:tcPr>
          <w:p w14:paraId="0B4E78CF"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5C7D5911"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284BD1" w14:paraId="73F1F6AF" w14:textId="77777777" w:rsidTr="00284BD1">
        <w:trPr>
          <w:cantSplit/>
          <w:trHeight w:val="594"/>
        </w:trPr>
        <w:tc>
          <w:tcPr>
            <w:tcW w:w="1342" w:type="dxa"/>
            <w:gridSpan w:val="2"/>
          </w:tcPr>
          <w:p w14:paraId="49A9F176" w14:textId="77777777" w:rsidR="007B6316" w:rsidRPr="00284BD1" w:rsidRDefault="007B6316" w:rsidP="00303D62">
            <w:pPr>
              <w:tabs>
                <w:tab w:val="left" w:pos="4111"/>
              </w:tabs>
              <w:spacing w:before="10"/>
              <w:ind w:left="57"/>
              <w:rPr>
                <w:b/>
                <w:bCs/>
                <w:sz w:val="20"/>
                <w:szCs w:val="18"/>
              </w:rPr>
            </w:pPr>
          </w:p>
        </w:tc>
        <w:tc>
          <w:tcPr>
            <w:tcW w:w="2970" w:type="dxa"/>
          </w:tcPr>
          <w:p w14:paraId="17A10DB1" w14:textId="77777777" w:rsidR="007B6316" w:rsidRPr="00284BD1" w:rsidRDefault="007B6316" w:rsidP="00303D62">
            <w:pPr>
              <w:tabs>
                <w:tab w:val="left" w:pos="4111"/>
              </w:tabs>
              <w:spacing w:before="0"/>
              <w:ind w:left="57"/>
              <w:rPr>
                <w:b/>
                <w:sz w:val="22"/>
                <w:szCs w:val="18"/>
              </w:rPr>
            </w:pPr>
          </w:p>
        </w:tc>
        <w:tc>
          <w:tcPr>
            <w:tcW w:w="5327" w:type="dxa"/>
          </w:tcPr>
          <w:p w14:paraId="18970044" w14:textId="41C7BF23" w:rsidR="007B6316" w:rsidRPr="00284BD1" w:rsidRDefault="007B6316" w:rsidP="007B6316">
            <w:pPr>
              <w:tabs>
                <w:tab w:val="clear" w:pos="794"/>
                <w:tab w:val="clear" w:pos="1191"/>
                <w:tab w:val="clear" w:pos="1588"/>
                <w:tab w:val="clear" w:pos="1985"/>
                <w:tab w:val="left" w:pos="284"/>
              </w:tabs>
              <w:spacing w:after="120"/>
              <w:ind w:left="284" w:hanging="227"/>
              <w:rPr>
                <w:sz w:val="22"/>
                <w:szCs w:val="18"/>
              </w:rPr>
            </w:pPr>
            <w:r w:rsidRPr="00284BD1">
              <w:rPr>
                <w:sz w:val="22"/>
                <w:szCs w:val="22"/>
              </w:rPr>
              <w:t>Ginebra,</w:t>
            </w:r>
            <w:r w:rsidR="00E274A1" w:rsidRPr="00284BD1">
              <w:rPr>
                <w:sz w:val="22"/>
                <w:szCs w:val="22"/>
              </w:rPr>
              <w:t xml:space="preserve"> 28 de marzo de 2025</w:t>
            </w:r>
          </w:p>
        </w:tc>
      </w:tr>
      <w:tr w:rsidR="001350B9" w:rsidRPr="00284BD1" w14:paraId="251C89A4" w14:textId="77777777" w:rsidTr="000F4579">
        <w:trPr>
          <w:cantSplit/>
          <w:trHeight w:val="340"/>
        </w:trPr>
        <w:tc>
          <w:tcPr>
            <w:tcW w:w="1342" w:type="dxa"/>
            <w:gridSpan w:val="2"/>
          </w:tcPr>
          <w:p w14:paraId="24918A71" w14:textId="77777777" w:rsidR="001350B9" w:rsidRPr="00284BD1" w:rsidRDefault="001350B9" w:rsidP="00284BD1">
            <w:pPr>
              <w:tabs>
                <w:tab w:val="left" w:pos="4111"/>
              </w:tabs>
              <w:spacing w:before="10"/>
              <w:rPr>
                <w:sz w:val="22"/>
                <w:szCs w:val="22"/>
              </w:rPr>
            </w:pPr>
            <w:r w:rsidRPr="00284BD1">
              <w:rPr>
                <w:b/>
                <w:bCs/>
                <w:sz w:val="22"/>
                <w:szCs w:val="22"/>
              </w:rPr>
              <w:t>Ref</w:t>
            </w:r>
            <w:r w:rsidRPr="00284BD1">
              <w:rPr>
                <w:sz w:val="22"/>
                <w:szCs w:val="22"/>
              </w:rPr>
              <w:t>.:</w:t>
            </w:r>
          </w:p>
          <w:p w14:paraId="7E78D60E" w14:textId="77777777" w:rsidR="001350B9" w:rsidRPr="00284BD1" w:rsidRDefault="001350B9" w:rsidP="00284BD1">
            <w:pPr>
              <w:tabs>
                <w:tab w:val="left" w:pos="4111"/>
              </w:tabs>
              <w:spacing w:before="10"/>
              <w:rPr>
                <w:sz w:val="22"/>
                <w:szCs w:val="22"/>
              </w:rPr>
            </w:pPr>
          </w:p>
        </w:tc>
        <w:tc>
          <w:tcPr>
            <w:tcW w:w="2970" w:type="dxa"/>
          </w:tcPr>
          <w:p w14:paraId="7B18D9C1" w14:textId="7107A186" w:rsidR="001350B9" w:rsidRPr="00284BD1" w:rsidRDefault="001350B9" w:rsidP="00E274A1">
            <w:pPr>
              <w:tabs>
                <w:tab w:val="left" w:pos="4111"/>
              </w:tabs>
              <w:spacing w:before="0"/>
              <w:ind w:left="57"/>
              <w:rPr>
                <w:sz w:val="22"/>
                <w:szCs w:val="22"/>
              </w:rPr>
            </w:pPr>
            <w:r w:rsidRPr="00284BD1">
              <w:rPr>
                <w:b/>
                <w:sz w:val="22"/>
                <w:szCs w:val="22"/>
              </w:rPr>
              <w:t xml:space="preserve">Circular TSB </w:t>
            </w:r>
            <w:r w:rsidR="000F4579" w:rsidRPr="00284BD1">
              <w:rPr>
                <w:b/>
                <w:sz w:val="22"/>
                <w:szCs w:val="22"/>
              </w:rPr>
              <w:t>40</w:t>
            </w:r>
          </w:p>
        </w:tc>
        <w:tc>
          <w:tcPr>
            <w:tcW w:w="5327" w:type="dxa"/>
            <w:vMerge w:val="restart"/>
          </w:tcPr>
          <w:p w14:paraId="40C6C670" w14:textId="38A23BC5" w:rsidR="00E274A1" w:rsidRPr="00284BD1" w:rsidRDefault="00E274A1" w:rsidP="00E274A1">
            <w:pPr>
              <w:tabs>
                <w:tab w:val="clear" w:pos="794"/>
                <w:tab w:val="clear" w:pos="1191"/>
                <w:tab w:val="clear" w:pos="1588"/>
                <w:tab w:val="clear" w:pos="1985"/>
                <w:tab w:val="left" w:pos="284"/>
              </w:tabs>
              <w:spacing w:before="0"/>
              <w:ind w:left="284" w:hanging="227"/>
              <w:rPr>
                <w:sz w:val="22"/>
                <w:szCs w:val="22"/>
              </w:rPr>
            </w:pPr>
            <w:r w:rsidRPr="00284BD1">
              <w:rPr>
                <w:sz w:val="22"/>
                <w:szCs w:val="22"/>
              </w:rPr>
              <w:t>–</w:t>
            </w:r>
            <w:r w:rsidR="001350B9" w:rsidRPr="00284BD1">
              <w:rPr>
                <w:sz w:val="22"/>
                <w:szCs w:val="22"/>
              </w:rPr>
              <w:tab/>
              <w:t>A las Administraciones de los Estados Miembros de la Unión</w:t>
            </w:r>
            <w:r w:rsidRPr="00284BD1">
              <w:rPr>
                <w:sz w:val="22"/>
                <w:szCs w:val="22"/>
              </w:rPr>
              <w:t>;</w:t>
            </w:r>
          </w:p>
          <w:p w14:paraId="13D31251" w14:textId="04980C0D" w:rsidR="00E274A1" w:rsidRPr="00284BD1" w:rsidRDefault="00E274A1" w:rsidP="00E274A1">
            <w:pPr>
              <w:tabs>
                <w:tab w:val="clear" w:pos="794"/>
                <w:tab w:val="clear" w:pos="1191"/>
                <w:tab w:val="clear" w:pos="1588"/>
                <w:tab w:val="clear" w:pos="1985"/>
                <w:tab w:val="left" w:pos="284"/>
              </w:tabs>
              <w:spacing w:before="0"/>
              <w:ind w:left="284" w:hanging="227"/>
              <w:rPr>
                <w:sz w:val="22"/>
                <w:szCs w:val="22"/>
              </w:rPr>
            </w:pPr>
            <w:r w:rsidRPr="00284BD1">
              <w:rPr>
                <w:sz w:val="22"/>
                <w:szCs w:val="22"/>
              </w:rPr>
              <w:t>–</w:t>
            </w:r>
            <w:r w:rsidRPr="00284BD1">
              <w:rPr>
                <w:sz w:val="22"/>
                <w:szCs w:val="22"/>
              </w:rPr>
              <w:tab/>
              <w:t>Al Estado de Palestina (Res. 99 (Rev. Dubái, 2018));</w:t>
            </w:r>
          </w:p>
          <w:p w14:paraId="2F98D3A9" w14:textId="04C10683" w:rsidR="00E274A1" w:rsidRPr="00284BD1" w:rsidRDefault="00E274A1" w:rsidP="00E274A1">
            <w:pPr>
              <w:tabs>
                <w:tab w:val="clear" w:pos="794"/>
                <w:tab w:val="clear" w:pos="1191"/>
                <w:tab w:val="clear" w:pos="1588"/>
                <w:tab w:val="clear" w:pos="1985"/>
                <w:tab w:val="left" w:pos="284"/>
              </w:tabs>
              <w:spacing w:before="0"/>
              <w:ind w:left="284" w:hanging="227"/>
              <w:rPr>
                <w:sz w:val="22"/>
                <w:szCs w:val="22"/>
              </w:rPr>
            </w:pPr>
            <w:r w:rsidRPr="00284BD1">
              <w:rPr>
                <w:sz w:val="22"/>
                <w:szCs w:val="22"/>
              </w:rPr>
              <w:t>–</w:t>
            </w:r>
            <w:r w:rsidR="001350B9" w:rsidRPr="00284BD1">
              <w:rPr>
                <w:sz w:val="22"/>
                <w:szCs w:val="22"/>
              </w:rPr>
              <w:tab/>
              <w:t>A los Miembros de Sector</w:t>
            </w:r>
            <w:r w:rsidRPr="00284BD1">
              <w:rPr>
                <w:sz w:val="22"/>
                <w:szCs w:val="22"/>
              </w:rPr>
              <w:t xml:space="preserve"> del</w:t>
            </w:r>
            <w:r w:rsidR="001350B9" w:rsidRPr="00284BD1">
              <w:rPr>
                <w:sz w:val="22"/>
                <w:szCs w:val="22"/>
              </w:rPr>
              <w:t xml:space="preserve"> UIT</w:t>
            </w:r>
            <w:r w:rsidR="001350B9" w:rsidRPr="00284BD1">
              <w:rPr>
                <w:sz w:val="22"/>
                <w:szCs w:val="22"/>
              </w:rPr>
              <w:noBreakHyphen/>
              <w:t>T;</w:t>
            </w:r>
          </w:p>
          <w:p w14:paraId="7BE497EA" w14:textId="59FD1847" w:rsidR="00E274A1" w:rsidRPr="00284BD1" w:rsidRDefault="00E274A1" w:rsidP="00E274A1">
            <w:pPr>
              <w:tabs>
                <w:tab w:val="clear" w:pos="794"/>
                <w:tab w:val="clear" w:pos="1191"/>
                <w:tab w:val="clear" w:pos="1588"/>
                <w:tab w:val="clear" w:pos="1985"/>
                <w:tab w:val="left" w:pos="284"/>
              </w:tabs>
              <w:spacing w:before="0"/>
              <w:ind w:left="284" w:hanging="227"/>
              <w:rPr>
                <w:sz w:val="22"/>
                <w:szCs w:val="22"/>
              </w:rPr>
            </w:pPr>
            <w:r w:rsidRPr="00284BD1">
              <w:rPr>
                <w:sz w:val="22"/>
                <w:szCs w:val="22"/>
              </w:rPr>
              <w:t>–</w:t>
            </w:r>
            <w:r w:rsidR="001350B9" w:rsidRPr="00284BD1">
              <w:rPr>
                <w:sz w:val="22"/>
                <w:szCs w:val="22"/>
              </w:rPr>
              <w:tab/>
              <w:t>A los Asociados del UIT</w:t>
            </w:r>
            <w:r w:rsidR="001350B9" w:rsidRPr="00284BD1">
              <w:rPr>
                <w:sz w:val="22"/>
                <w:szCs w:val="22"/>
              </w:rPr>
              <w:noBreakHyphen/>
              <w:t>T;</w:t>
            </w:r>
          </w:p>
          <w:p w14:paraId="45AF17EB" w14:textId="5AF8CA85" w:rsidR="00E274A1" w:rsidRPr="00284BD1" w:rsidRDefault="00E274A1" w:rsidP="00E274A1">
            <w:pPr>
              <w:tabs>
                <w:tab w:val="clear" w:pos="794"/>
                <w:tab w:val="clear" w:pos="1191"/>
                <w:tab w:val="clear" w:pos="1588"/>
                <w:tab w:val="clear" w:pos="1985"/>
                <w:tab w:val="left" w:pos="284"/>
              </w:tabs>
              <w:spacing w:before="0"/>
              <w:ind w:left="284" w:hanging="227"/>
              <w:rPr>
                <w:sz w:val="22"/>
                <w:szCs w:val="22"/>
              </w:rPr>
            </w:pPr>
            <w:r w:rsidRPr="00284BD1">
              <w:rPr>
                <w:sz w:val="22"/>
                <w:szCs w:val="22"/>
              </w:rPr>
              <w:t>–</w:t>
            </w:r>
            <w:r w:rsidR="001350B9" w:rsidRPr="00284BD1">
              <w:rPr>
                <w:sz w:val="22"/>
                <w:szCs w:val="22"/>
              </w:rPr>
              <w:tab/>
              <w:t>A las Instituciones Académicas de</w:t>
            </w:r>
            <w:r w:rsidRPr="00284BD1">
              <w:rPr>
                <w:sz w:val="22"/>
                <w:szCs w:val="22"/>
              </w:rPr>
              <w:t xml:space="preserve"> </w:t>
            </w:r>
            <w:r w:rsidR="001350B9" w:rsidRPr="00284BD1">
              <w:rPr>
                <w:sz w:val="22"/>
                <w:szCs w:val="22"/>
              </w:rPr>
              <w:t>l</w:t>
            </w:r>
            <w:r w:rsidRPr="00284BD1">
              <w:rPr>
                <w:sz w:val="22"/>
                <w:szCs w:val="22"/>
              </w:rPr>
              <w:t>a</w:t>
            </w:r>
            <w:r w:rsidR="001350B9" w:rsidRPr="00284BD1">
              <w:rPr>
                <w:sz w:val="22"/>
                <w:szCs w:val="22"/>
              </w:rPr>
              <w:t xml:space="preserve"> UIT-T</w:t>
            </w:r>
          </w:p>
          <w:p w14:paraId="44868A9E" w14:textId="3A5D027D" w:rsidR="00E274A1" w:rsidRPr="00284BD1" w:rsidRDefault="00E274A1" w:rsidP="00284BD1">
            <w:pPr>
              <w:tabs>
                <w:tab w:val="clear" w:pos="794"/>
                <w:tab w:val="clear" w:pos="1191"/>
                <w:tab w:val="clear" w:pos="1588"/>
                <w:tab w:val="clear" w:pos="1985"/>
                <w:tab w:val="left" w:pos="284"/>
              </w:tabs>
              <w:ind w:left="288" w:hanging="230"/>
              <w:rPr>
                <w:b/>
                <w:bCs/>
                <w:sz w:val="22"/>
                <w:szCs w:val="22"/>
              </w:rPr>
            </w:pPr>
            <w:r w:rsidRPr="00284BD1">
              <w:rPr>
                <w:b/>
                <w:bCs/>
                <w:sz w:val="22"/>
                <w:szCs w:val="22"/>
              </w:rPr>
              <w:t>Copia:</w:t>
            </w:r>
          </w:p>
          <w:p w14:paraId="13EA8D71" w14:textId="272C2F49" w:rsidR="00E274A1" w:rsidRPr="00284BD1" w:rsidRDefault="00E274A1" w:rsidP="00E274A1">
            <w:pPr>
              <w:tabs>
                <w:tab w:val="clear" w:pos="794"/>
                <w:tab w:val="clear" w:pos="1191"/>
                <w:tab w:val="clear" w:pos="1588"/>
                <w:tab w:val="clear" w:pos="1985"/>
                <w:tab w:val="left" w:pos="284"/>
              </w:tabs>
              <w:spacing w:before="0"/>
              <w:ind w:left="284" w:hanging="227"/>
              <w:rPr>
                <w:sz w:val="22"/>
                <w:szCs w:val="22"/>
              </w:rPr>
            </w:pPr>
            <w:r w:rsidRPr="00284BD1">
              <w:rPr>
                <w:sz w:val="22"/>
                <w:szCs w:val="22"/>
              </w:rPr>
              <w:t>–</w:t>
            </w:r>
            <w:r w:rsidR="001350B9" w:rsidRPr="00284BD1">
              <w:rPr>
                <w:sz w:val="22"/>
                <w:szCs w:val="22"/>
              </w:rPr>
              <w:tab/>
              <w:t>A</w:t>
            </w:r>
            <w:r w:rsidRPr="00284BD1">
              <w:rPr>
                <w:sz w:val="22"/>
                <w:szCs w:val="22"/>
              </w:rPr>
              <w:t xml:space="preserve"> </w:t>
            </w:r>
            <w:r w:rsidR="001350B9" w:rsidRPr="00284BD1">
              <w:rPr>
                <w:sz w:val="22"/>
                <w:szCs w:val="22"/>
              </w:rPr>
              <w:t>l</w:t>
            </w:r>
            <w:r w:rsidRPr="00284BD1">
              <w:rPr>
                <w:sz w:val="22"/>
                <w:szCs w:val="22"/>
              </w:rPr>
              <w:t>os</w:t>
            </w:r>
            <w:r w:rsidR="001350B9" w:rsidRPr="00284BD1">
              <w:rPr>
                <w:sz w:val="22"/>
                <w:szCs w:val="22"/>
              </w:rPr>
              <w:t xml:space="preserve"> </w:t>
            </w:r>
            <w:proofErr w:type="gramStart"/>
            <w:r w:rsidR="001350B9" w:rsidRPr="00284BD1">
              <w:rPr>
                <w:sz w:val="22"/>
                <w:szCs w:val="22"/>
              </w:rPr>
              <w:t>Presidente</w:t>
            </w:r>
            <w:r w:rsidRPr="00284BD1">
              <w:rPr>
                <w:sz w:val="22"/>
                <w:szCs w:val="22"/>
              </w:rPr>
              <w:t>s</w:t>
            </w:r>
            <w:proofErr w:type="gramEnd"/>
            <w:r w:rsidR="001350B9" w:rsidRPr="00284BD1">
              <w:rPr>
                <w:sz w:val="22"/>
                <w:szCs w:val="22"/>
              </w:rPr>
              <w:t xml:space="preserve"> y a los Vicepresidentes de la</w:t>
            </w:r>
            <w:r w:rsidRPr="00284BD1">
              <w:rPr>
                <w:sz w:val="22"/>
                <w:szCs w:val="22"/>
              </w:rPr>
              <w:t xml:space="preserve">s </w:t>
            </w:r>
            <w:r w:rsidR="001350B9" w:rsidRPr="00284BD1">
              <w:rPr>
                <w:sz w:val="22"/>
                <w:szCs w:val="22"/>
              </w:rPr>
              <w:t>Comisi</w:t>
            </w:r>
            <w:r w:rsidRPr="00284BD1">
              <w:rPr>
                <w:sz w:val="22"/>
                <w:szCs w:val="22"/>
              </w:rPr>
              <w:t xml:space="preserve">ones de </w:t>
            </w:r>
            <w:r w:rsidR="001350B9" w:rsidRPr="00284BD1">
              <w:rPr>
                <w:sz w:val="22"/>
                <w:szCs w:val="22"/>
              </w:rPr>
              <w:t xml:space="preserve">Estudio </w:t>
            </w:r>
            <w:r w:rsidRPr="00284BD1">
              <w:rPr>
                <w:sz w:val="22"/>
                <w:szCs w:val="22"/>
              </w:rPr>
              <w:t>del UIT-T</w:t>
            </w:r>
            <w:r w:rsidR="001350B9" w:rsidRPr="00284BD1">
              <w:rPr>
                <w:sz w:val="22"/>
                <w:szCs w:val="22"/>
              </w:rPr>
              <w:t>;</w:t>
            </w:r>
          </w:p>
          <w:p w14:paraId="6911C499" w14:textId="6C07E520" w:rsidR="00E274A1" w:rsidRPr="00284BD1" w:rsidRDefault="00E274A1" w:rsidP="00E274A1">
            <w:pPr>
              <w:tabs>
                <w:tab w:val="clear" w:pos="794"/>
                <w:tab w:val="clear" w:pos="1191"/>
                <w:tab w:val="clear" w:pos="1588"/>
                <w:tab w:val="clear" w:pos="1985"/>
                <w:tab w:val="left" w:pos="284"/>
              </w:tabs>
              <w:spacing w:before="0"/>
              <w:ind w:left="284" w:hanging="227"/>
              <w:rPr>
                <w:sz w:val="22"/>
                <w:szCs w:val="22"/>
              </w:rPr>
            </w:pPr>
            <w:r w:rsidRPr="00284BD1">
              <w:rPr>
                <w:sz w:val="22"/>
                <w:szCs w:val="22"/>
              </w:rPr>
              <w:t>–</w:t>
            </w:r>
            <w:r w:rsidR="001350B9" w:rsidRPr="00284BD1">
              <w:rPr>
                <w:sz w:val="22"/>
                <w:szCs w:val="22"/>
              </w:rPr>
              <w:tab/>
              <w:t xml:space="preserve">Al </w:t>
            </w:r>
            <w:proofErr w:type="gramStart"/>
            <w:r w:rsidR="001350B9" w:rsidRPr="00284BD1">
              <w:rPr>
                <w:sz w:val="22"/>
                <w:szCs w:val="22"/>
              </w:rPr>
              <w:t>Director</w:t>
            </w:r>
            <w:proofErr w:type="gramEnd"/>
            <w:r w:rsidR="001350B9" w:rsidRPr="00284BD1">
              <w:rPr>
                <w:sz w:val="22"/>
                <w:szCs w:val="22"/>
              </w:rPr>
              <w:t xml:space="preserve"> de la Oficina de Desarrollo de las Telecomunicaciones;</w:t>
            </w:r>
          </w:p>
          <w:p w14:paraId="65DD512E" w14:textId="1528ECDA" w:rsidR="001350B9" w:rsidRPr="00284BD1" w:rsidRDefault="00E274A1" w:rsidP="00E274A1">
            <w:pPr>
              <w:tabs>
                <w:tab w:val="clear" w:pos="794"/>
                <w:tab w:val="clear" w:pos="1191"/>
                <w:tab w:val="clear" w:pos="1588"/>
                <w:tab w:val="clear" w:pos="1985"/>
                <w:tab w:val="left" w:pos="284"/>
              </w:tabs>
              <w:spacing w:before="0"/>
              <w:ind w:left="284" w:hanging="227"/>
              <w:rPr>
                <w:sz w:val="22"/>
                <w:szCs w:val="22"/>
              </w:rPr>
            </w:pPr>
            <w:r w:rsidRPr="00284BD1">
              <w:rPr>
                <w:sz w:val="22"/>
                <w:szCs w:val="22"/>
              </w:rPr>
              <w:t>–</w:t>
            </w:r>
            <w:r w:rsidR="001350B9" w:rsidRPr="00284BD1">
              <w:rPr>
                <w:sz w:val="22"/>
                <w:szCs w:val="22"/>
              </w:rPr>
              <w:tab/>
              <w:t xml:space="preserve">Al </w:t>
            </w:r>
            <w:proofErr w:type="gramStart"/>
            <w:r w:rsidR="001350B9" w:rsidRPr="00284BD1">
              <w:rPr>
                <w:sz w:val="22"/>
                <w:szCs w:val="22"/>
              </w:rPr>
              <w:t>Director</w:t>
            </w:r>
            <w:proofErr w:type="gramEnd"/>
            <w:r w:rsidR="001350B9" w:rsidRPr="00284BD1">
              <w:rPr>
                <w:sz w:val="22"/>
                <w:szCs w:val="22"/>
              </w:rPr>
              <w:t xml:space="preserve"> de la Oficina de Radiocomunicaciones</w:t>
            </w:r>
            <w:r w:rsidRPr="00284BD1">
              <w:rPr>
                <w:sz w:val="22"/>
                <w:szCs w:val="22"/>
              </w:rPr>
              <w:t>;</w:t>
            </w:r>
          </w:p>
          <w:p w14:paraId="12280A37" w14:textId="634E2815" w:rsidR="00E274A1" w:rsidRPr="00284BD1" w:rsidRDefault="00E274A1" w:rsidP="00E274A1">
            <w:pPr>
              <w:tabs>
                <w:tab w:val="clear" w:pos="794"/>
                <w:tab w:val="clear" w:pos="1191"/>
                <w:tab w:val="clear" w:pos="1588"/>
                <w:tab w:val="clear" w:pos="1985"/>
                <w:tab w:val="left" w:pos="284"/>
              </w:tabs>
              <w:spacing w:before="0"/>
              <w:ind w:left="284" w:hanging="227"/>
              <w:rPr>
                <w:sz w:val="22"/>
                <w:szCs w:val="22"/>
              </w:rPr>
            </w:pPr>
            <w:r w:rsidRPr="00284BD1">
              <w:rPr>
                <w:sz w:val="22"/>
                <w:szCs w:val="22"/>
              </w:rPr>
              <w:t>–</w:t>
            </w:r>
            <w:r w:rsidRPr="00284BD1">
              <w:rPr>
                <w:sz w:val="22"/>
                <w:szCs w:val="22"/>
              </w:rPr>
              <w:tab/>
              <w:t xml:space="preserve">Al </w:t>
            </w:r>
            <w:proofErr w:type="gramStart"/>
            <w:r w:rsidRPr="00284BD1">
              <w:rPr>
                <w:sz w:val="22"/>
                <w:szCs w:val="22"/>
              </w:rPr>
              <w:t>Director</w:t>
            </w:r>
            <w:proofErr w:type="gramEnd"/>
            <w:r w:rsidRPr="00284BD1">
              <w:rPr>
                <w:sz w:val="22"/>
                <w:szCs w:val="22"/>
              </w:rPr>
              <w:t xml:space="preserve"> de la Oficina Regional de la UIT en Brasilia (Brasil)</w:t>
            </w:r>
          </w:p>
        </w:tc>
      </w:tr>
      <w:tr w:rsidR="001350B9" w:rsidRPr="00284BD1" w14:paraId="28CE8EF5" w14:textId="77777777" w:rsidTr="000F4579">
        <w:trPr>
          <w:cantSplit/>
        </w:trPr>
        <w:tc>
          <w:tcPr>
            <w:tcW w:w="1342" w:type="dxa"/>
            <w:gridSpan w:val="2"/>
          </w:tcPr>
          <w:p w14:paraId="52D9321E" w14:textId="77777777" w:rsidR="001350B9" w:rsidRPr="00284BD1" w:rsidRDefault="001350B9" w:rsidP="00284BD1">
            <w:pPr>
              <w:tabs>
                <w:tab w:val="left" w:pos="4111"/>
              </w:tabs>
              <w:spacing w:before="10"/>
              <w:rPr>
                <w:sz w:val="22"/>
                <w:szCs w:val="22"/>
              </w:rPr>
            </w:pPr>
            <w:r w:rsidRPr="00284BD1">
              <w:rPr>
                <w:sz w:val="22"/>
                <w:szCs w:val="22"/>
              </w:rPr>
              <w:t>Tel.:</w:t>
            </w:r>
          </w:p>
        </w:tc>
        <w:tc>
          <w:tcPr>
            <w:tcW w:w="2970" w:type="dxa"/>
          </w:tcPr>
          <w:p w14:paraId="6B778A58" w14:textId="77777777" w:rsidR="001350B9" w:rsidRPr="00284BD1" w:rsidRDefault="001350B9" w:rsidP="00303D62">
            <w:pPr>
              <w:tabs>
                <w:tab w:val="left" w:pos="4111"/>
              </w:tabs>
              <w:spacing w:before="0"/>
              <w:ind w:left="57"/>
              <w:rPr>
                <w:sz w:val="22"/>
                <w:szCs w:val="22"/>
              </w:rPr>
            </w:pPr>
            <w:r w:rsidRPr="00284BD1">
              <w:rPr>
                <w:sz w:val="22"/>
                <w:szCs w:val="22"/>
              </w:rPr>
              <w:t>+41 22 730</w:t>
            </w:r>
            <w:r w:rsidR="00E274A1" w:rsidRPr="00284BD1">
              <w:rPr>
                <w:sz w:val="22"/>
                <w:szCs w:val="22"/>
              </w:rPr>
              <w:t xml:space="preserve"> 5356</w:t>
            </w:r>
          </w:p>
          <w:p w14:paraId="7164850F" w14:textId="1B7FEC64" w:rsidR="00E274A1" w:rsidRPr="00284BD1" w:rsidRDefault="00E274A1" w:rsidP="00303D62">
            <w:pPr>
              <w:tabs>
                <w:tab w:val="left" w:pos="4111"/>
              </w:tabs>
              <w:spacing w:before="0"/>
              <w:ind w:left="57"/>
              <w:rPr>
                <w:rStyle w:val="Hyperlink"/>
                <w:sz w:val="22"/>
                <w:szCs w:val="22"/>
              </w:rPr>
            </w:pPr>
            <w:r w:rsidRPr="00284BD1">
              <w:rPr>
                <w:sz w:val="22"/>
                <w:szCs w:val="22"/>
              </w:rPr>
              <w:t>+41 22 730 63 01</w:t>
            </w:r>
          </w:p>
        </w:tc>
        <w:tc>
          <w:tcPr>
            <w:tcW w:w="5327" w:type="dxa"/>
            <w:vMerge/>
          </w:tcPr>
          <w:p w14:paraId="38517A53" w14:textId="77777777" w:rsidR="001350B9" w:rsidRPr="00284BD1" w:rsidRDefault="001350B9" w:rsidP="00303D62">
            <w:pPr>
              <w:tabs>
                <w:tab w:val="left" w:pos="226"/>
                <w:tab w:val="left" w:pos="510"/>
              </w:tabs>
              <w:spacing w:before="0"/>
              <w:ind w:left="226" w:hanging="169"/>
              <w:rPr>
                <w:b/>
                <w:sz w:val="22"/>
                <w:szCs w:val="22"/>
              </w:rPr>
            </w:pPr>
          </w:p>
        </w:tc>
      </w:tr>
      <w:tr w:rsidR="001350B9" w:rsidRPr="00284BD1" w14:paraId="5F3278DC" w14:textId="77777777" w:rsidTr="000F4579">
        <w:trPr>
          <w:cantSplit/>
        </w:trPr>
        <w:tc>
          <w:tcPr>
            <w:tcW w:w="1342" w:type="dxa"/>
            <w:gridSpan w:val="2"/>
          </w:tcPr>
          <w:p w14:paraId="174F0773" w14:textId="77777777" w:rsidR="001350B9" w:rsidRPr="00284BD1" w:rsidRDefault="001350B9" w:rsidP="00284BD1">
            <w:pPr>
              <w:tabs>
                <w:tab w:val="left" w:pos="4111"/>
              </w:tabs>
              <w:spacing w:before="10"/>
              <w:rPr>
                <w:sz w:val="22"/>
                <w:szCs w:val="22"/>
              </w:rPr>
            </w:pPr>
            <w:r w:rsidRPr="00284BD1">
              <w:rPr>
                <w:sz w:val="22"/>
                <w:szCs w:val="22"/>
              </w:rPr>
              <w:t>Fax:</w:t>
            </w:r>
          </w:p>
        </w:tc>
        <w:tc>
          <w:tcPr>
            <w:tcW w:w="2970" w:type="dxa"/>
          </w:tcPr>
          <w:p w14:paraId="4DDD9454" w14:textId="77777777" w:rsidR="001350B9" w:rsidRPr="00284BD1" w:rsidRDefault="001350B9" w:rsidP="00303D62">
            <w:pPr>
              <w:tabs>
                <w:tab w:val="left" w:pos="4111"/>
              </w:tabs>
              <w:spacing w:before="0"/>
              <w:ind w:left="57"/>
              <w:rPr>
                <w:rStyle w:val="Hyperlink"/>
                <w:sz w:val="22"/>
                <w:szCs w:val="22"/>
              </w:rPr>
            </w:pPr>
            <w:r w:rsidRPr="00284BD1">
              <w:rPr>
                <w:sz w:val="22"/>
                <w:szCs w:val="22"/>
              </w:rPr>
              <w:t>+41 22 730 5853</w:t>
            </w:r>
          </w:p>
        </w:tc>
        <w:tc>
          <w:tcPr>
            <w:tcW w:w="5327" w:type="dxa"/>
            <w:vMerge/>
          </w:tcPr>
          <w:p w14:paraId="48903448" w14:textId="77777777" w:rsidR="001350B9" w:rsidRPr="00284BD1" w:rsidRDefault="001350B9" w:rsidP="00303D62">
            <w:pPr>
              <w:tabs>
                <w:tab w:val="left" w:pos="226"/>
                <w:tab w:val="left" w:pos="510"/>
              </w:tabs>
              <w:spacing w:before="0"/>
              <w:ind w:left="226" w:hanging="169"/>
              <w:rPr>
                <w:b/>
                <w:sz w:val="22"/>
                <w:szCs w:val="22"/>
              </w:rPr>
            </w:pPr>
          </w:p>
        </w:tc>
      </w:tr>
      <w:tr w:rsidR="001350B9" w:rsidRPr="00284BD1" w14:paraId="59C2FE58" w14:textId="77777777" w:rsidTr="000F4579">
        <w:trPr>
          <w:cantSplit/>
        </w:trPr>
        <w:tc>
          <w:tcPr>
            <w:tcW w:w="1342" w:type="dxa"/>
            <w:gridSpan w:val="2"/>
          </w:tcPr>
          <w:p w14:paraId="2E536D6F" w14:textId="77777777" w:rsidR="001350B9" w:rsidRPr="00284BD1" w:rsidRDefault="001350B9" w:rsidP="00284BD1">
            <w:pPr>
              <w:tabs>
                <w:tab w:val="left" w:pos="4111"/>
              </w:tabs>
              <w:spacing w:before="10"/>
              <w:rPr>
                <w:sz w:val="22"/>
                <w:szCs w:val="22"/>
              </w:rPr>
            </w:pPr>
            <w:r w:rsidRPr="00284BD1">
              <w:rPr>
                <w:sz w:val="22"/>
                <w:szCs w:val="22"/>
              </w:rPr>
              <w:t>Correo-e:</w:t>
            </w:r>
          </w:p>
        </w:tc>
        <w:tc>
          <w:tcPr>
            <w:tcW w:w="2970" w:type="dxa"/>
          </w:tcPr>
          <w:p w14:paraId="35DE8EF1" w14:textId="061B5A40" w:rsidR="00E274A1" w:rsidRPr="00284BD1" w:rsidRDefault="00E274A1" w:rsidP="00303D62">
            <w:pPr>
              <w:tabs>
                <w:tab w:val="left" w:pos="4111"/>
              </w:tabs>
              <w:spacing w:before="0"/>
              <w:ind w:left="57"/>
              <w:rPr>
                <w:sz w:val="22"/>
                <w:szCs w:val="22"/>
              </w:rPr>
            </w:pPr>
            <w:hyperlink r:id="rId9" w:history="1">
              <w:r w:rsidRPr="00284BD1">
                <w:rPr>
                  <w:rStyle w:val="Hyperlink"/>
                  <w:sz w:val="22"/>
                  <w:szCs w:val="22"/>
                </w:rPr>
                <w:t>tsbsg5@itu.int</w:t>
              </w:r>
            </w:hyperlink>
          </w:p>
          <w:p w14:paraId="519A092D" w14:textId="4404BECF" w:rsidR="001350B9" w:rsidRPr="00284BD1" w:rsidRDefault="00E274A1" w:rsidP="00303D62">
            <w:pPr>
              <w:tabs>
                <w:tab w:val="left" w:pos="4111"/>
              </w:tabs>
              <w:spacing w:before="0"/>
              <w:ind w:left="57"/>
              <w:rPr>
                <w:color w:val="0000FF"/>
                <w:sz w:val="22"/>
                <w:szCs w:val="22"/>
                <w:u w:val="single"/>
              </w:rPr>
            </w:pPr>
            <w:hyperlink r:id="rId10" w:history="1">
              <w:r w:rsidRPr="00284BD1">
                <w:rPr>
                  <w:rStyle w:val="Hyperlink"/>
                  <w:sz w:val="22"/>
                  <w:szCs w:val="22"/>
                </w:rPr>
                <w:t>tsbsg20@itu.int</w:t>
              </w:r>
            </w:hyperlink>
          </w:p>
        </w:tc>
        <w:tc>
          <w:tcPr>
            <w:tcW w:w="5327" w:type="dxa"/>
            <w:vMerge/>
          </w:tcPr>
          <w:p w14:paraId="1D5ED2A0" w14:textId="77777777" w:rsidR="001350B9" w:rsidRPr="00284BD1"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284BD1" w14:paraId="7957E42F" w14:textId="77777777" w:rsidTr="00284BD1">
        <w:trPr>
          <w:cantSplit/>
          <w:trHeight w:val="80"/>
        </w:trPr>
        <w:tc>
          <w:tcPr>
            <w:tcW w:w="1342" w:type="dxa"/>
            <w:gridSpan w:val="2"/>
          </w:tcPr>
          <w:p w14:paraId="5EEB20A2" w14:textId="77777777" w:rsidR="007B6316" w:rsidRPr="00284BD1" w:rsidRDefault="007B6316" w:rsidP="00284BD1">
            <w:pPr>
              <w:tabs>
                <w:tab w:val="left" w:pos="4111"/>
              </w:tabs>
              <w:spacing w:before="10"/>
              <w:rPr>
                <w:sz w:val="22"/>
                <w:szCs w:val="22"/>
              </w:rPr>
            </w:pPr>
            <w:r w:rsidRPr="00284BD1">
              <w:rPr>
                <w:b/>
                <w:bCs/>
                <w:sz w:val="22"/>
                <w:szCs w:val="22"/>
              </w:rPr>
              <w:t>Asunto</w:t>
            </w:r>
            <w:r w:rsidRPr="00284BD1">
              <w:rPr>
                <w:sz w:val="22"/>
                <w:szCs w:val="22"/>
              </w:rPr>
              <w:t>:</w:t>
            </w:r>
          </w:p>
        </w:tc>
        <w:tc>
          <w:tcPr>
            <w:tcW w:w="8297" w:type="dxa"/>
            <w:gridSpan w:val="2"/>
          </w:tcPr>
          <w:p w14:paraId="7D4FCC27" w14:textId="0BA571B6" w:rsidR="007B6316" w:rsidRPr="00284BD1" w:rsidRDefault="00E274A1" w:rsidP="00303D62">
            <w:pPr>
              <w:tabs>
                <w:tab w:val="left" w:pos="4111"/>
              </w:tabs>
              <w:spacing w:before="0"/>
              <w:rPr>
                <w:b/>
                <w:sz w:val="22"/>
                <w:szCs w:val="22"/>
              </w:rPr>
            </w:pPr>
            <w:r w:rsidRPr="00284BD1">
              <w:rPr>
                <w:rFonts w:cs="Calibri"/>
                <w:b/>
                <w:bCs/>
                <w:sz w:val="22"/>
                <w:szCs w:val="22"/>
                <w:lang w:val="es-ES"/>
              </w:rPr>
              <w:t xml:space="preserve">Foro sobre </w:t>
            </w:r>
            <w:r w:rsidRPr="00284BD1">
              <w:rPr>
                <w:b/>
                <w:bCs/>
                <w:sz w:val="22"/>
                <w:szCs w:val="22"/>
                <w:lang w:val="es-ES"/>
              </w:rPr>
              <w:t>transformación digital sostenible</w:t>
            </w:r>
            <w:r w:rsidRPr="00284BD1">
              <w:rPr>
                <w:b/>
                <w:sz w:val="22"/>
                <w:szCs w:val="22"/>
                <w:lang w:val="es-ES"/>
              </w:rPr>
              <w:t xml:space="preserve"> en </w:t>
            </w:r>
            <w:r w:rsidRPr="00284BD1">
              <w:rPr>
                <w:rFonts w:cs="Calibri"/>
                <w:b/>
                <w:bCs/>
                <w:sz w:val="22"/>
                <w:szCs w:val="22"/>
                <w:lang w:val="es-ES"/>
              </w:rPr>
              <w:t>América Latina</w:t>
            </w:r>
            <w:r w:rsidRPr="00284BD1">
              <w:rPr>
                <w:rFonts w:cs="Calibri"/>
                <w:sz w:val="22"/>
                <w:szCs w:val="22"/>
                <w:lang w:val="es-ES"/>
              </w:rPr>
              <w:br/>
            </w:r>
            <w:r w:rsidRPr="00284BD1">
              <w:rPr>
                <w:rFonts w:cs="Calibri"/>
                <w:b/>
                <w:bCs/>
                <w:sz w:val="22"/>
                <w:szCs w:val="22"/>
                <w:lang w:val="es-ES"/>
              </w:rPr>
              <w:t>(Santo Domingo, República Dominicana, 8 de mayo de 2025)</w:t>
            </w:r>
          </w:p>
        </w:tc>
      </w:tr>
    </w:tbl>
    <w:p w14:paraId="3BD9CE32" w14:textId="2F142132" w:rsidR="00C34772" w:rsidRPr="00284BD1" w:rsidRDefault="00C34772" w:rsidP="00284BD1">
      <w:pPr>
        <w:rPr>
          <w:sz w:val="22"/>
          <w:szCs w:val="18"/>
        </w:rPr>
      </w:pPr>
      <w:bookmarkStart w:id="0" w:name="StartTyping_S"/>
      <w:bookmarkStart w:id="1" w:name="suitetext"/>
      <w:bookmarkStart w:id="2" w:name="text"/>
      <w:bookmarkEnd w:id="0"/>
      <w:bookmarkEnd w:id="1"/>
      <w:bookmarkEnd w:id="2"/>
      <w:r w:rsidRPr="00284BD1">
        <w:rPr>
          <w:sz w:val="22"/>
          <w:szCs w:val="18"/>
        </w:rPr>
        <w:t>Muy Señora mía/Muy Señor mío</w:t>
      </w:r>
      <w:r w:rsidR="00284BD1">
        <w:rPr>
          <w:sz w:val="22"/>
          <w:szCs w:val="18"/>
        </w:rPr>
        <w:t>,</w:t>
      </w:r>
    </w:p>
    <w:p w14:paraId="2DC81607" w14:textId="6486EB93" w:rsidR="007B6316" w:rsidRPr="00284BD1" w:rsidRDefault="00E274A1" w:rsidP="007B6316">
      <w:pPr>
        <w:rPr>
          <w:sz w:val="22"/>
          <w:szCs w:val="22"/>
        </w:rPr>
      </w:pPr>
      <w:r w:rsidRPr="00284BD1">
        <w:rPr>
          <w:rFonts w:cs="Calibri"/>
          <w:bCs/>
          <w:sz w:val="22"/>
          <w:szCs w:val="22"/>
          <w:lang w:val="es-ES"/>
        </w:rPr>
        <w:t>1</w:t>
      </w:r>
      <w:r w:rsidRPr="00284BD1">
        <w:rPr>
          <w:rFonts w:cs="Calibri"/>
          <w:sz w:val="22"/>
          <w:szCs w:val="22"/>
          <w:lang w:val="es-ES"/>
        </w:rPr>
        <w:tab/>
      </w:r>
      <w:proofErr w:type="gramStart"/>
      <w:r w:rsidRPr="00284BD1">
        <w:rPr>
          <w:sz w:val="22"/>
          <w:szCs w:val="22"/>
          <w:lang w:val="es-ES"/>
        </w:rPr>
        <w:t>Me</w:t>
      </w:r>
      <w:proofErr w:type="gramEnd"/>
      <w:r w:rsidRPr="00284BD1">
        <w:rPr>
          <w:sz w:val="22"/>
          <w:szCs w:val="22"/>
          <w:lang w:val="es-ES"/>
        </w:rPr>
        <w:t xml:space="preserve"> complace comunicarle que la Unión Internacional de Telecomunicaciones (UIT), </w:t>
      </w:r>
      <w:r w:rsidRPr="00284BD1">
        <w:rPr>
          <w:rFonts w:cs="Calibri"/>
          <w:sz w:val="22"/>
          <w:szCs w:val="22"/>
          <w:lang w:val="es-ES"/>
        </w:rPr>
        <w:t xml:space="preserve">en colaboración con el Instituto Dominicano de las Telecomunicaciones (INDOTEL), la Comisión Técnica Regional de Telecomunicaciones (COMTELCA) y el Capítulo de la Internet </w:t>
      </w:r>
      <w:proofErr w:type="spellStart"/>
      <w:r w:rsidRPr="00284BD1">
        <w:rPr>
          <w:rFonts w:cs="Calibri"/>
          <w:sz w:val="22"/>
          <w:szCs w:val="22"/>
          <w:lang w:val="es-ES"/>
        </w:rPr>
        <w:t>Society</w:t>
      </w:r>
      <w:proofErr w:type="spellEnd"/>
      <w:r w:rsidRPr="00284BD1">
        <w:rPr>
          <w:rFonts w:cs="Calibri"/>
          <w:sz w:val="22"/>
          <w:szCs w:val="22"/>
          <w:lang w:val="es-ES"/>
        </w:rPr>
        <w:t xml:space="preserve"> (ISOC) en la República Dominicana, está organizando el </w:t>
      </w:r>
      <w:r w:rsidRPr="00284BD1">
        <w:rPr>
          <w:rFonts w:cs="Calibri"/>
          <w:b/>
          <w:bCs/>
          <w:sz w:val="22"/>
          <w:szCs w:val="22"/>
          <w:lang w:val="es-ES"/>
        </w:rPr>
        <w:t>Foro sobre transformación digital sostenible en América Latina</w:t>
      </w:r>
      <w:r w:rsidRPr="00284BD1">
        <w:rPr>
          <w:rFonts w:cs="Calibri"/>
          <w:sz w:val="22"/>
          <w:szCs w:val="22"/>
          <w:lang w:val="es-ES"/>
        </w:rPr>
        <w:t xml:space="preserve">, que se celebrará el 8 de mayo de 2025. El Foro tendrá lugar en el Centro </w:t>
      </w:r>
      <w:proofErr w:type="spellStart"/>
      <w:r w:rsidRPr="00284BD1">
        <w:rPr>
          <w:rFonts w:cs="Calibri"/>
          <w:sz w:val="22"/>
          <w:szCs w:val="22"/>
          <w:lang w:val="es-ES"/>
        </w:rPr>
        <w:t>Indotel</w:t>
      </w:r>
      <w:proofErr w:type="spellEnd"/>
      <w:r w:rsidRPr="00284BD1">
        <w:rPr>
          <w:rFonts w:cs="Calibri"/>
          <w:sz w:val="22"/>
          <w:szCs w:val="22"/>
          <w:lang w:val="es-ES"/>
        </w:rPr>
        <w:t>, Edificio René del Risco Bermúdez, Santo Domingo (República Dominicana), bajo los auspicios de INDOTEL.</w:t>
      </w:r>
    </w:p>
    <w:p w14:paraId="1D7CBCFE" w14:textId="3A74D265" w:rsidR="00E274A1" w:rsidRPr="00284BD1" w:rsidRDefault="00E274A1" w:rsidP="00E274A1">
      <w:pPr>
        <w:rPr>
          <w:rFonts w:cs="Calibri"/>
          <w:sz w:val="22"/>
          <w:szCs w:val="22"/>
          <w:lang w:val="es-ES"/>
        </w:rPr>
      </w:pPr>
      <w:r w:rsidRPr="00284BD1">
        <w:rPr>
          <w:rFonts w:cs="Calibri"/>
          <w:sz w:val="22"/>
          <w:szCs w:val="22"/>
          <w:lang w:val="es-ES"/>
        </w:rPr>
        <w:t>2</w:t>
      </w:r>
      <w:r w:rsidRPr="00284BD1">
        <w:rPr>
          <w:rFonts w:cs="Calibri"/>
          <w:sz w:val="22"/>
          <w:szCs w:val="22"/>
          <w:lang w:val="es-ES"/>
        </w:rPr>
        <w:tab/>
      </w:r>
      <w:proofErr w:type="gramStart"/>
      <w:r w:rsidRPr="00284BD1">
        <w:rPr>
          <w:rFonts w:cs="Calibri"/>
          <w:sz w:val="22"/>
          <w:szCs w:val="22"/>
          <w:lang w:val="es-ES"/>
        </w:rPr>
        <w:t>El</w:t>
      </w:r>
      <w:proofErr w:type="gramEnd"/>
      <w:r w:rsidRPr="00284BD1">
        <w:rPr>
          <w:rFonts w:cs="Calibri"/>
          <w:sz w:val="22"/>
          <w:szCs w:val="22"/>
          <w:lang w:val="es-ES"/>
        </w:rPr>
        <w:t xml:space="preserve"> Foro se celebrará en paralelo a las reuniones del Grupo Regional de la Comisión de Estudio</w:t>
      </w:r>
      <w:r w:rsidR="00F330A3" w:rsidRPr="00284BD1">
        <w:rPr>
          <w:rFonts w:cs="Calibri"/>
          <w:sz w:val="22"/>
          <w:szCs w:val="22"/>
          <w:lang w:val="es-ES"/>
        </w:rPr>
        <w:t> </w:t>
      </w:r>
      <w:r w:rsidRPr="00284BD1">
        <w:rPr>
          <w:rFonts w:cs="Calibri"/>
          <w:sz w:val="22"/>
          <w:szCs w:val="22"/>
          <w:lang w:val="es-ES"/>
        </w:rPr>
        <w:t>5 del UIT-T para América Latina (GRCE5-LATAM), el Grupo Regional de la Comisión de Estudio</w:t>
      </w:r>
      <w:r w:rsidR="00F330A3" w:rsidRPr="00284BD1">
        <w:rPr>
          <w:rFonts w:cs="Calibri"/>
          <w:sz w:val="22"/>
          <w:szCs w:val="22"/>
          <w:lang w:val="es-ES"/>
        </w:rPr>
        <w:t> </w:t>
      </w:r>
      <w:r w:rsidRPr="00284BD1">
        <w:rPr>
          <w:rFonts w:cs="Calibri"/>
          <w:sz w:val="22"/>
          <w:szCs w:val="22"/>
          <w:lang w:val="es-ES"/>
        </w:rPr>
        <w:t>20 del UIT-T para América Latina (GRCE20-LATAM) e INDOTEL 4.0, que tendrán lugar del 6</w:t>
      </w:r>
      <w:r w:rsidR="00F330A3" w:rsidRPr="00284BD1">
        <w:rPr>
          <w:rFonts w:cs="Calibri"/>
          <w:sz w:val="22"/>
          <w:szCs w:val="22"/>
          <w:lang w:val="es-ES"/>
        </w:rPr>
        <w:t> </w:t>
      </w:r>
      <w:r w:rsidRPr="00284BD1">
        <w:rPr>
          <w:rFonts w:cs="Calibri"/>
          <w:sz w:val="22"/>
          <w:szCs w:val="22"/>
          <w:lang w:val="es-ES"/>
        </w:rPr>
        <w:t xml:space="preserve">al 8 de mayo de 2025. </w:t>
      </w:r>
    </w:p>
    <w:p w14:paraId="556B0E66" w14:textId="77777777" w:rsidR="00E274A1" w:rsidRPr="00284BD1" w:rsidRDefault="00E274A1" w:rsidP="00E274A1">
      <w:pPr>
        <w:rPr>
          <w:rFonts w:cs="Calibri"/>
          <w:sz w:val="22"/>
          <w:szCs w:val="22"/>
          <w:lang w:val="es-ES"/>
        </w:rPr>
      </w:pPr>
      <w:r w:rsidRPr="00284BD1">
        <w:rPr>
          <w:rFonts w:cs="Calibri"/>
          <w:sz w:val="22"/>
          <w:szCs w:val="22"/>
          <w:lang w:val="es-ES"/>
        </w:rPr>
        <w:t>3</w:t>
      </w:r>
      <w:r w:rsidRPr="00284BD1">
        <w:rPr>
          <w:rFonts w:cs="Calibri"/>
          <w:sz w:val="22"/>
          <w:szCs w:val="22"/>
          <w:lang w:val="es-ES"/>
        </w:rPr>
        <w:tab/>
      </w:r>
      <w:proofErr w:type="gramStart"/>
      <w:r w:rsidRPr="00284BD1">
        <w:rPr>
          <w:rFonts w:cs="Calibri"/>
          <w:sz w:val="22"/>
          <w:szCs w:val="22"/>
          <w:lang w:val="es-ES"/>
        </w:rPr>
        <w:t>El</w:t>
      </w:r>
      <w:proofErr w:type="gramEnd"/>
      <w:r w:rsidRPr="00284BD1">
        <w:rPr>
          <w:rFonts w:cs="Calibri"/>
          <w:sz w:val="22"/>
          <w:szCs w:val="22"/>
          <w:lang w:val="es-ES"/>
        </w:rPr>
        <w:t xml:space="preserve"> Foro sobre transformación digital Sostenible en América Latina congregará a visionarios, expertos y promotores del cambio con el objetivo de explorar formas de acelerar la transformación digital en toda la región.</w:t>
      </w:r>
    </w:p>
    <w:p w14:paraId="07144CC1" w14:textId="77777777" w:rsidR="00E274A1" w:rsidRPr="00284BD1" w:rsidRDefault="00E274A1" w:rsidP="00E274A1">
      <w:pPr>
        <w:rPr>
          <w:rFonts w:cs="Calibri"/>
          <w:sz w:val="22"/>
          <w:szCs w:val="22"/>
          <w:lang w:val="es-ES"/>
        </w:rPr>
      </w:pPr>
      <w:r w:rsidRPr="00284BD1">
        <w:rPr>
          <w:rFonts w:cs="Calibri"/>
          <w:sz w:val="22"/>
          <w:szCs w:val="22"/>
          <w:lang w:val="es-ES"/>
        </w:rPr>
        <w:t>Una de las actividades más destacadas del Foro será la sesión dinámica en la que se mostrará el modo en que la tecnología puede actuar como un poderoso catalizador para la transformación digital, con un énfasis especial en la sostenibilidad. En este Foro se analizarán estrategias y normas para reducir la huella ambiental del sector de las TIC —desde el consumo de energía hasta las emisiones de gases de efecto invernadero— y se examinará la creciente repercusión de la inteligencia artificial.</w:t>
      </w:r>
    </w:p>
    <w:p w14:paraId="30D13898" w14:textId="77777777" w:rsidR="00E274A1" w:rsidRPr="00284BD1" w:rsidRDefault="00E274A1" w:rsidP="00E274A1">
      <w:pPr>
        <w:rPr>
          <w:rFonts w:cs="Calibri"/>
          <w:sz w:val="22"/>
          <w:szCs w:val="22"/>
          <w:lang w:val="es-ES"/>
        </w:rPr>
      </w:pPr>
      <w:r w:rsidRPr="00284BD1">
        <w:rPr>
          <w:rFonts w:cs="Calibri"/>
          <w:sz w:val="22"/>
          <w:szCs w:val="22"/>
          <w:lang w:val="es-ES"/>
        </w:rPr>
        <w:t>Los participantes describirán iniciativas pioneras relacionadas con bases de datos de emisiones específicas del sector, soluciones circulares para la gestión de residuos electrónicos y ejemplos reales de ciudades inteligentes y sostenibles, en cuyo marco la aplicación de los indicadores fundamentales de rendimiento (IFR) de la iniciativa Unidos por las Ciudades Inteligentes y Sostenibles (U4SSC) ocupa un lugar central. En el Foro también se destacará el potencial transformador de la agricultura inteligente y el papel fundamental de las universidades en el desarrollo de soluciones digitales inclusivas que promuevan la sostenibilidad.</w:t>
      </w:r>
    </w:p>
    <w:p w14:paraId="26EDFE1C" w14:textId="538D12E2" w:rsidR="00E274A1" w:rsidRPr="00284BD1" w:rsidRDefault="00E274A1" w:rsidP="00E274A1">
      <w:pPr>
        <w:rPr>
          <w:sz w:val="22"/>
          <w:szCs w:val="18"/>
        </w:rPr>
      </w:pPr>
      <w:r w:rsidRPr="00284BD1">
        <w:rPr>
          <w:rFonts w:cs="Calibri"/>
          <w:sz w:val="22"/>
          <w:szCs w:val="22"/>
          <w:lang w:val="es-ES"/>
        </w:rPr>
        <w:t>4</w:t>
      </w:r>
      <w:r w:rsidRPr="00284BD1">
        <w:rPr>
          <w:rFonts w:cs="Calibri"/>
          <w:sz w:val="22"/>
          <w:szCs w:val="22"/>
          <w:lang w:val="es-ES"/>
        </w:rPr>
        <w:tab/>
      </w:r>
      <w:proofErr w:type="gramStart"/>
      <w:r w:rsidRPr="00284BD1">
        <w:rPr>
          <w:rFonts w:cs="Calibri"/>
          <w:sz w:val="22"/>
          <w:szCs w:val="22"/>
          <w:lang w:val="es-ES"/>
        </w:rPr>
        <w:t>El</w:t>
      </w:r>
      <w:proofErr w:type="gramEnd"/>
      <w:r w:rsidRPr="00284BD1">
        <w:rPr>
          <w:rFonts w:cs="Calibri"/>
          <w:sz w:val="22"/>
          <w:szCs w:val="22"/>
          <w:lang w:val="es-ES"/>
        </w:rPr>
        <w:t xml:space="preserve"> Foro sobre transformación digital sostenible en América Latina se celebrará en español con interpretación al inglés.</w:t>
      </w:r>
    </w:p>
    <w:p w14:paraId="3D720565" w14:textId="79354E5D" w:rsidR="00E274A1" w:rsidRPr="00284BD1" w:rsidRDefault="00E274A1" w:rsidP="007B6316">
      <w:pPr>
        <w:rPr>
          <w:sz w:val="22"/>
          <w:szCs w:val="22"/>
        </w:rPr>
      </w:pPr>
      <w:r w:rsidRPr="00284BD1">
        <w:rPr>
          <w:rFonts w:cs="Calibri"/>
          <w:sz w:val="22"/>
          <w:szCs w:val="22"/>
          <w:lang w:val="es-ES"/>
        </w:rPr>
        <w:lastRenderedPageBreak/>
        <w:t>5</w:t>
      </w:r>
      <w:r w:rsidRPr="00284BD1">
        <w:rPr>
          <w:rFonts w:cs="Calibri"/>
          <w:sz w:val="22"/>
          <w:szCs w:val="22"/>
          <w:lang w:val="es-ES"/>
        </w:rPr>
        <w:tab/>
      </w:r>
      <w:proofErr w:type="gramStart"/>
      <w:r w:rsidRPr="00284BD1">
        <w:rPr>
          <w:rFonts w:cs="Calibri"/>
          <w:sz w:val="22"/>
          <w:szCs w:val="22"/>
          <w:lang w:val="es-ES"/>
        </w:rPr>
        <w:t>Se</w:t>
      </w:r>
      <w:proofErr w:type="gramEnd"/>
      <w:r w:rsidRPr="00284BD1">
        <w:rPr>
          <w:rFonts w:cs="Calibri"/>
          <w:sz w:val="22"/>
          <w:szCs w:val="22"/>
          <w:lang w:val="es-ES"/>
        </w:rPr>
        <w:t xml:space="preserve"> espera contar con la presencia de responsables políticos de renombre, líderes empresariales y expertos del sector, representantes de la región de América Latina, otros organismos de las Naciones Unidas, instituciones académicas, entidades de la sociedad civil, organizaciones regionales, ONG, el sector privado y otras partes interesadas pertinentes. En el Foro podrán participar de forma gratuita todas las partes interesadas, incluidos los Estados Miembros, los Miembros de Sector, los Asociados y las Instituciones Académicas de la UIT, así como cualquier persona nacional de un Estado Miembro de la Unión que desee contribuir a los trabajos.</w:t>
      </w:r>
    </w:p>
    <w:p w14:paraId="0533FA2B" w14:textId="77777777" w:rsidR="00E274A1" w:rsidRPr="00284BD1" w:rsidRDefault="00E274A1" w:rsidP="00E274A1">
      <w:pPr>
        <w:rPr>
          <w:rFonts w:cs="Calibri"/>
          <w:sz w:val="22"/>
          <w:szCs w:val="22"/>
          <w:lang w:val="es-ES"/>
        </w:rPr>
      </w:pPr>
      <w:r w:rsidRPr="00284BD1">
        <w:rPr>
          <w:rFonts w:cs="Calibri"/>
          <w:sz w:val="22"/>
          <w:szCs w:val="22"/>
          <w:lang w:val="es-ES"/>
        </w:rPr>
        <w:t>6</w:t>
      </w:r>
      <w:r w:rsidRPr="00284BD1">
        <w:rPr>
          <w:rFonts w:cs="Calibri"/>
          <w:sz w:val="22"/>
          <w:szCs w:val="22"/>
          <w:lang w:val="es-ES"/>
        </w:rPr>
        <w:tab/>
      </w:r>
      <w:proofErr w:type="gramStart"/>
      <w:r w:rsidRPr="00284BD1">
        <w:rPr>
          <w:rFonts w:cs="Calibri"/>
          <w:sz w:val="22"/>
          <w:szCs w:val="22"/>
          <w:lang w:val="es-ES"/>
        </w:rPr>
        <w:t>Toda</w:t>
      </w:r>
      <w:proofErr w:type="gramEnd"/>
      <w:r w:rsidRPr="00284BD1">
        <w:rPr>
          <w:rFonts w:cs="Calibri"/>
          <w:sz w:val="22"/>
          <w:szCs w:val="22"/>
          <w:lang w:val="es-ES"/>
        </w:rPr>
        <w:t xml:space="preserve"> la información pertinente relacionada con el Foro sobre transformación digital sostenible en América Latina (proyectos de programas, oradores, enlaces de inscripción, detalles sobre la conexión a distancia) </w:t>
      </w:r>
      <w:r w:rsidRPr="00284BD1">
        <w:rPr>
          <w:sz w:val="22"/>
          <w:szCs w:val="22"/>
          <w:lang w:val="es-ES"/>
        </w:rPr>
        <w:t>se publicarán en el sitio web del evento, en la dirección</w:t>
      </w:r>
      <w:r w:rsidRPr="00284BD1">
        <w:rPr>
          <w:rFonts w:cs="Calibri"/>
          <w:sz w:val="22"/>
          <w:szCs w:val="22"/>
          <w:lang w:val="es-ES"/>
        </w:rPr>
        <w:t xml:space="preserve"> </w:t>
      </w:r>
      <w:hyperlink r:id="rId11" w:history="1">
        <w:r w:rsidRPr="00284BD1">
          <w:rPr>
            <w:rStyle w:val="Hyperlink"/>
            <w:rFonts w:cs="Calibri"/>
            <w:sz w:val="22"/>
            <w:szCs w:val="22"/>
            <w:lang w:val="es-ES"/>
          </w:rPr>
          <w:t>http://itu.int/</w:t>
        </w:r>
        <w:r w:rsidRPr="00284BD1">
          <w:rPr>
            <w:rStyle w:val="Hyperlink"/>
            <w:rFonts w:cs="Calibri"/>
            <w:sz w:val="22"/>
            <w:szCs w:val="22"/>
            <w:lang w:val="es-ES"/>
          </w:rPr>
          <w:t>g</w:t>
        </w:r>
        <w:r w:rsidRPr="00284BD1">
          <w:rPr>
            <w:rStyle w:val="Hyperlink"/>
            <w:rFonts w:cs="Calibri"/>
            <w:sz w:val="22"/>
            <w:szCs w:val="22"/>
            <w:lang w:val="es-ES"/>
          </w:rPr>
          <w:t>o/SDT-LATAM</w:t>
        </w:r>
      </w:hyperlink>
      <w:r w:rsidRPr="00284BD1">
        <w:rPr>
          <w:rFonts w:cs="Calibri"/>
          <w:sz w:val="22"/>
          <w:szCs w:val="22"/>
          <w:lang w:val="es-ES"/>
        </w:rPr>
        <w:t>.</w:t>
      </w:r>
    </w:p>
    <w:p w14:paraId="3611033C" w14:textId="77777777" w:rsidR="00E274A1" w:rsidRPr="00284BD1" w:rsidRDefault="00E274A1" w:rsidP="00E274A1">
      <w:pPr>
        <w:rPr>
          <w:rFonts w:cs="Calibri"/>
          <w:sz w:val="22"/>
          <w:szCs w:val="22"/>
          <w:lang w:val="es-ES"/>
        </w:rPr>
      </w:pPr>
      <w:r w:rsidRPr="00284BD1">
        <w:rPr>
          <w:rFonts w:cs="Calibri"/>
          <w:sz w:val="22"/>
          <w:szCs w:val="22"/>
          <w:lang w:val="es-ES"/>
        </w:rPr>
        <w:t>Este sitio web se irá actualizando a medida que</w:t>
      </w:r>
      <w:r w:rsidRPr="00284BD1">
        <w:rPr>
          <w:sz w:val="22"/>
          <w:szCs w:val="22"/>
          <w:lang w:val="es-ES"/>
        </w:rPr>
        <w:t xml:space="preserve"> se disponga de información nueva o modificada. Se alienta a los participantes a consultarlo periódicamente para mantenerse al corriente de las novedades.</w:t>
      </w:r>
      <w:r w:rsidRPr="00284BD1">
        <w:rPr>
          <w:rFonts w:cs="Calibri"/>
          <w:sz w:val="22"/>
          <w:szCs w:val="22"/>
          <w:lang w:val="es-ES"/>
        </w:rPr>
        <w:t xml:space="preserve"> </w:t>
      </w:r>
    </w:p>
    <w:p w14:paraId="45B5F6CE" w14:textId="77777777" w:rsidR="00E274A1" w:rsidRPr="00284BD1" w:rsidRDefault="00E274A1" w:rsidP="00E274A1">
      <w:pPr>
        <w:rPr>
          <w:rFonts w:cs="Calibri"/>
          <w:sz w:val="22"/>
          <w:szCs w:val="22"/>
          <w:lang w:val="es-ES"/>
        </w:rPr>
      </w:pPr>
      <w:r w:rsidRPr="00284BD1">
        <w:rPr>
          <w:rFonts w:cs="Calibri"/>
          <w:sz w:val="22"/>
          <w:szCs w:val="22"/>
          <w:lang w:val="es-ES"/>
        </w:rPr>
        <w:t>7</w:t>
      </w:r>
      <w:r w:rsidRPr="00284BD1">
        <w:rPr>
          <w:rFonts w:cs="Calibri"/>
          <w:sz w:val="22"/>
          <w:szCs w:val="22"/>
          <w:lang w:val="es-ES"/>
        </w:rPr>
        <w:tab/>
      </w:r>
      <w:proofErr w:type="gramStart"/>
      <w:r w:rsidRPr="00284BD1">
        <w:rPr>
          <w:rFonts w:cs="Calibri"/>
          <w:sz w:val="22"/>
          <w:szCs w:val="22"/>
          <w:lang w:val="es-ES"/>
        </w:rPr>
        <w:t>Le</w:t>
      </w:r>
      <w:proofErr w:type="gramEnd"/>
      <w:r w:rsidRPr="00284BD1">
        <w:rPr>
          <w:rFonts w:cs="Calibri"/>
          <w:sz w:val="22"/>
          <w:szCs w:val="22"/>
          <w:lang w:val="es-ES"/>
        </w:rPr>
        <w:t xml:space="preserve"> rogamos tenga en cuenta que la inscripción en el evento es obligatoria para todos los participantes. Encontrará más información sobre el proceso de inscripción en la siguiente dirección: </w:t>
      </w:r>
      <w:hyperlink r:id="rId12" w:history="1">
        <w:r w:rsidRPr="00284BD1">
          <w:rPr>
            <w:rStyle w:val="Hyperlink"/>
            <w:rFonts w:cs="Calibri"/>
            <w:sz w:val="22"/>
            <w:szCs w:val="22"/>
            <w:lang w:val="es-ES"/>
          </w:rPr>
          <w:t>http://itu.int/go/S</w:t>
        </w:r>
        <w:r w:rsidRPr="00284BD1">
          <w:rPr>
            <w:rStyle w:val="Hyperlink"/>
            <w:rFonts w:cs="Calibri"/>
            <w:sz w:val="22"/>
            <w:szCs w:val="22"/>
            <w:lang w:val="es-ES"/>
          </w:rPr>
          <w:t>D</w:t>
        </w:r>
        <w:r w:rsidRPr="00284BD1">
          <w:rPr>
            <w:rStyle w:val="Hyperlink"/>
            <w:rFonts w:cs="Calibri"/>
            <w:sz w:val="22"/>
            <w:szCs w:val="22"/>
            <w:lang w:val="es-ES"/>
          </w:rPr>
          <w:t>T-LATAM</w:t>
        </w:r>
      </w:hyperlink>
      <w:r w:rsidRPr="00284BD1">
        <w:rPr>
          <w:rFonts w:cs="Calibri"/>
          <w:sz w:val="22"/>
          <w:szCs w:val="22"/>
          <w:lang w:val="es-ES"/>
        </w:rPr>
        <w:t>.</w:t>
      </w:r>
    </w:p>
    <w:p w14:paraId="70CA06CA" w14:textId="4ECE9E02" w:rsidR="00E274A1" w:rsidRPr="00284BD1" w:rsidRDefault="00E274A1" w:rsidP="00E274A1">
      <w:pPr>
        <w:rPr>
          <w:rFonts w:cs="Calibri"/>
          <w:sz w:val="22"/>
          <w:szCs w:val="22"/>
          <w:lang w:val="es-ES"/>
        </w:rPr>
      </w:pPr>
      <w:r w:rsidRPr="00284BD1">
        <w:rPr>
          <w:rFonts w:cs="Calibri"/>
          <w:sz w:val="22"/>
          <w:szCs w:val="22"/>
          <w:lang w:val="es-ES"/>
        </w:rPr>
        <w:t>8</w:t>
      </w:r>
      <w:r w:rsidRPr="00284BD1">
        <w:rPr>
          <w:rFonts w:cs="Calibri"/>
          <w:sz w:val="22"/>
          <w:szCs w:val="22"/>
          <w:lang w:val="es-ES"/>
        </w:rPr>
        <w:tab/>
      </w:r>
      <w:proofErr w:type="gramStart"/>
      <w:r w:rsidRPr="00284BD1">
        <w:rPr>
          <w:rFonts w:cs="Calibri"/>
          <w:b/>
          <w:bCs/>
          <w:sz w:val="22"/>
          <w:szCs w:val="22"/>
          <w:lang w:val="es-ES"/>
        </w:rPr>
        <w:t>Le</w:t>
      </w:r>
      <w:proofErr w:type="gramEnd"/>
      <w:r w:rsidRPr="00284BD1">
        <w:rPr>
          <w:rFonts w:cs="Calibri"/>
          <w:b/>
          <w:bCs/>
          <w:sz w:val="22"/>
          <w:szCs w:val="22"/>
          <w:lang w:val="es-ES"/>
        </w:rPr>
        <w:t xml:space="preserve"> rogamos tenga presente que también es obligatorio inscribirse para participar en las reuniones de los Grupos Regionales.</w:t>
      </w:r>
      <w:r w:rsidRPr="00284BD1">
        <w:rPr>
          <w:rFonts w:cs="Calibri"/>
          <w:sz w:val="22"/>
          <w:szCs w:val="22"/>
          <w:lang w:val="es-ES"/>
        </w:rPr>
        <w:t xml:space="preserve"> A fin de obtener más información sobre las reuniones de los Grupos Regionales, puede consultar sus respectivos sitios web: </w:t>
      </w:r>
      <w:hyperlink r:id="rId13" w:history="1">
        <w:r w:rsidRPr="00284BD1">
          <w:rPr>
            <w:rStyle w:val="Hyperlink"/>
            <w:rFonts w:cs="Calibri"/>
            <w:sz w:val="22"/>
            <w:szCs w:val="22"/>
            <w:lang w:val="es-ES"/>
          </w:rPr>
          <w:t>GRCE5</w:t>
        </w:r>
        <w:r w:rsidRPr="00284BD1">
          <w:rPr>
            <w:rStyle w:val="Hyperlink"/>
            <w:rFonts w:cs="Calibri"/>
            <w:sz w:val="22"/>
            <w:szCs w:val="22"/>
            <w:lang w:val="es-ES"/>
          </w:rPr>
          <w:t>-</w:t>
        </w:r>
        <w:r w:rsidRPr="00284BD1">
          <w:rPr>
            <w:rStyle w:val="Hyperlink"/>
            <w:rFonts w:cs="Calibri"/>
            <w:sz w:val="22"/>
            <w:szCs w:val="22"/>
            <w:lang w:val="es-ES"/>
          </w:rPr>
          <w:t>LATAM</w:t>
        </w:r>
      </w:hyperlink>
      <w:r w:rsidRPr="00284BD1">
        <w:rPr>
          <w:rFonts w:cs="Calibri"/>
          <w:sz w:val="22"/>
          <w:szCs w:val="22"/>
          <w:lang w:val="es-ES"/>
        </w:rPr>
        <w:t xml:space="preserve"> y </w:t>
      </w:r>
      <w:hyperlink r:id="rId14" w:history="1">
        <w:r w:rsidRPr="00284BD1">
          <w:rPr>
            <w:rStyle w:val="Hyperlink"/>
            <w:rFonts w:cs="Calibri"/>
            <w:sz w:val="22"/>
            <w:szCs w:val="22"/>
            <w:lang w:val="es-ES"/>
          </w:rPr>
          <w:t>GRCE20</w:t>
        </w:r>
        <w:r w:rsidRPr="00284BD1">
          <w:rPr>
            <w:rStyle w:val="Hyperlink"/>
            <w:rFonts w:cs="Calibri"/>
            <w:sz w:val="22"/>
            <w:szCs w:val="22"/>
            <w:lang w:val="es-ES"/>
          </w:rPr>
          <w:t>-</w:t>
        </w:r>
        <w:r w:rsidRPr="00284BD1">
          <w:rPr>
            <w:rStyle w:val="Hyperlink"/>
            <w:rFonts w:cs="Calibri"/>
            <w:sz w:val="22"/>
            <w:szCs w:val="22"/>
            <w:lang w:val="es-ES"/>
          </w:rPr>
          <w:t>LATAM</w:t>
        </w:r>
      </w:hyperlink>
      <w:r w:rsidRPr="00284BD1">
        <w:rPr>
          <w:rFonts w:cs="Calibri"/>
          <w:sz w:val="22"/>
          <w:szCs w:val="22"/>
          <w:lang w:val="es-ES"/>
        </w:rPr>
        <w:t xml:space="preserve">. </w:t>
      </w:r>
      <w:r w:rsidRPr="00284BD1">
        <w:rPr>
          <w:rFonts w:cstheme="minorHAnsi"/>
          <w:sz w:val="22"/>
          <w:szCs w:val="22"/>
          <w:lang w:val="es-ES"/>
        </w:rPr>
        <w:t>La participación en las</w:t>
      </w:r>
      <w:r w:rsidRPr="00284BD1">
        <w:rPr>
          <w:rFonts w:cs="Calibri"/>
          <w:sz w:val="22"/>
          <w:szCs w:val="22"/>
          <w:lang w:val="es-ES"/>
        </w:rPr>
        <w:t xml:space="preserve"> reuniones de los Grupos Regionales </w:t>
      </w:r>
      <w:r w:rsidRPr="00284BD1">
        <w:rPr>
          <w:rFonts w:cstheme="minorHAnsi"/>
          <w:sz w:val="22"/>
          <w:szCs w:val="22"/>
          <w:lang w:val="es-ES"/>
        </w:rPr>
        <w:t xml:space="preserve">está reservada a los delegados y representantes </w:t>
      </w:r>
      <w:r w:rsidRPr="00284BD1">
        <w:rPr>
          <w:rFonts w:cs="Calibri"/>
          <w:sz w:val="22"/>
          <w:szCs w:val="22"/>
          <w:lang w:val="es-ES"/>
        </w:rPr>
        <w:t>de los Estados Miembros, los Miembros de Sector y los Asociados que participan en los trabajos de la Comisión de Estudio 5 del UIT-T y la Comisión de Estudio 20 del UIT</w:t>
      </w:r>
      <w:r w:rsidR="00F330A3" w:rsidRPr="00284BD1">
        <w:rPr>
          <w:rFonts w:cs="Calibri"/>
          <w:sz w:val="22"/>
          <w:szCs w:val="22"/>
          <w:lang w:val="es-ES"/>
        </w:rPr>
        <w:noBreakHyphen/>
      </w:r>
      <w:r w:rsidRPr="00284BD1">
        <w:rPr>
          <w:rFonts w:cs="Calibri"/>
          <w:sz w:val="22"/>
          <w:szCs w:val="22"/>
          <w:lang w:val="es-ES"/>
        </w:rPr>
        <w:t xml:space="preserve">T de la región, conforme a lo estipulado en la </w:t>
      </w:r>
      <w:hyperlink r:id="rId15" w:history="1">
        <w:r w:rsidRPr="00284BD1">
          <w:rPr>
            <w:rStyle w:val="Hyperlink"/>
            <w:rFonts w:cs="Calibri"/>
            <w:sz w:val="22"/>
            <w:szCs w:val="22"/>
            <w:lang w:val="es-ES"/>
          </w:rPr>
          <w:t>Resolución 54 (Rev. Nueva Delhi, 2024)</w:t>
        </w:r>
        <w:r w:rsidRPr="00284BD1">
          <w:rPr>
            <w:rStyle w:val="Hyperlink"/>
            <w:rFonts w:cs="Calibri"/>
            <w:sz w:val="22"/>
            <w:szCs w:val="22"/>
            <w:lang w:val="es-ES"/>
          </w:rPr>
          <w:t xml:space="preserve"> </w:t>
        </w:r>
        <w:r w:rsidRPr="00284BD1">
          <w:rPr>
            <w:rStyle w:val="Hyperlink"/>
            <w:rFonts w:cs="Calibri"/>
            <w:sz w:val="22"/>
            <w:szCs w:val="22"/>
            <w:lang w:val="es-ES"/>
          </w:rPr>
          <w:t>de la AMNT</w:t>
        </w:r>
      </w:hyperlink>
      <w:r w:rsidRPr="00284BD1">
        <w:rPr>
          <w:rFonts w:cs="Calibri"/>
          <w:sz w:val="22"/>
          <w:szCs w:val="22"/>
          <w:lang w:val="es-ES"/>
        </w:rPr>
        <w:t xml:space="preserve"> (</w:t>
      </w:r>
      <w:r w:rsidRPr="00284BD1">
        <w:rPr>
          <w:rFonts w:cs="Calibri"/>
          <w:i/>
          <w:iCs/>
          <w:sz w:val="22"/>
          <w:szCs w:val="22"/>
          <w:lang w:val="es-ES"/>
        </w:rPr>
        <w:t>resuelve</w:t>
      </w:r>
      <w:r w:rsidR="00F330A3" w:rsidRPr="00284BD1">
        <w:rPr>
          <w:rFonts w:cs="Calibri"/>
          <w:sz w:val="22"/>
          <w:szCs w:val="22"/>
          <w:lang w:val="es-ES"/>
        </w:rPr>
        <w:t> </w:t>
      </w:r>
      <w:r w:rsidRPr="00284BD1">
        <w:rPr>
          <w:rFonts w:cs="Calibri"/>
          <w:sz w:val="22"/>
          <w:szCs w:val="22"/>
          <w:lang w:val="es-ES"/>
        </w:rPr>
        <w:t>4 a 6).</w:t>
      </w:r>
    </w:p>
    <w:p w14:paraId="41B15A2D" w14:textId="117357F1" w:rsidR="00E274A1" w:rsidRPr="00284BD1" w:rsidRDefault="00E274A1" w:rsidP="00E274A1">
      <w:pPr>
        <w:rPr>
          <w:sz w:val="22"/>
          <w:szCs w:val="18"/>
        </w:rPr>
      </w:pPr>
      <w:r w:rsidRPr="00284BD1">
        <w:rPr>
          <w:rFonts w:cs="Calibri"/>
          <w:sz w:val="22"/>
          <w:szCs w:val="22"/>
          <w:lang w:val="es-ES"/>
        </w:rPr>
        <w:t>9</w:t>
      </w:r>
      <w:r w:rsidRPr="00284BD1">
        <w:rPr>
          <w:rFonts w:cs="Calibri"/>
          <w:sz w:val="22"/>
          <w:szCs w:val="22"/>
          <w:lang w:val="es-ES"/>
        </w:rPr>
        <w:tab/>
      </w:r>
      <w:proofErr w:type="gramStart"/>
      <w:r w:rsidRPr="00284BD1">
        <w:rPr>
          <w:rFonts w:cs="Calibri"/>
          <w:sz w:val="22"/>
          <w:szCs w:val="22"/>
          <w:lang w:val="es-ES"/>
        </w:rPr>
        <w:t>Quisiera</w:t>
      </w:r>
      <w:proofErr w:type="gramEnd"/>
      <w:r w:rsidRPr="00284BD1">
        <w:rPr>
          <w:rFonts w:cs="Calibri"/>
          <w:sz w:val="22"/>
          <w:szCs w:val="22"/>
          <w:lang w:val="es-ES"/>
        </w:rPr>
        <w:t xml:space="preserve"> recordarle que los ciudadanos procedentes de ciertos países necesitan visado para entrar y efectuar una estadía en la República Dominicana. El visado debe solicitarse y obtenerse en la oficina (embajada o consulado) que represente a la República Dominicana en su país o, en su defecto, en la más próxima a su país de partida. La tramitación y aprobación del visado puede demorarse algún tiempo, por lo que se recomienda consultar directamente con la representación adecuada y presentar la solicitud con antelación.</w:t>
      </w:r>
    </w:p>
    <w:p w14:paraId="11B20BA6" w14:textId="35FF1AF4" w:rsidR="007B6316" w:rsidRPr="00284BD1" w:rsidRDefault="007B6316" w:rsidP="007B6316">
      <w:pPr>
        <w:rPr>
          <w:sz w:val="22"/>
          <w:szCs w:val="18"/>
        </w:rPr>
      </w:pPr>
      <w:r w:rsidRPr="00284BD1">
        <w:rPr>
          <w:sz w:val="22"/>
          <w:szCs w:val="18"/>
        </w:rPr>
        <w:t>Atentamente,</w:t>
      </w:r>
    </w:p>
    <w:p w14:paraId="1AD9EE4F" w14:textId="3DC14D3C" w:rsidR="007B6316" w:rsidRPr="00284BD1" w:rsidRDefault="00A16247" w:rsidP="00284BD1">
      <w:pPr>
        <w:spacing w:before="840"/>
        <w:rPr>
          <w:sz w:val="22"/>
          <w:szCs w:val="18"/>
        </w:rPr>
      </w:pPr>
      <w:r>
        <w:rPr>
          <w:rFonts w:cstheme="minorHAnsi"/>
          <w:noProof/>
          <w:sz w:val="22"/>
          <w:lang w:val="es-ES"/>
        </w:rPr>
        <w:drawing>
          <wp:anchor distT="0" distB="0" distL="114300" distR="114300" simplePos="0" relativeHeight="251658240" behindDoc="0" locked="0" layoutInCell="1" allowOverlap="1" wp14:anchorId="3BBCC9AB" wp14:editId="209B6541">
            <wp:simplePos x="0" y="0"/>
            <wp:positionH relativeFrom="margin">
              <wp:align>left</wp:align>
            </wp:positionH>
            <wp:positionV relativeFrom="paragraph">
              <wp:posOffset>125730</wp:posOffset>
            </wp:positionV>
            <wp:extent cx="825542" cy="330217"/>
            <wp:effectExtent l="0" t="0" r="0" b="0"/>
            <wp:wrapNone/>
            <wp:docPr id="205431069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10697" name="Picture 1" descr="A black text on a white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1350B9" w:rsidRPr="00284BD1">
        <w:rPr>
          <w:rFonts w:cstheme="minorHAnsi"/>
          <w:sz w:val="22"/>
          <w:lang w:val="es-ES"/>
        </w:rPr>
        <w:t>Seizo Onoe</w:t>
      </w:r>
      <w:r w:rsidR="007B6316" w:rsidRPr="00284BD1">
        <w:rPr>
          <w:sz w:val="22"/>
          <w:szCs w:val="18"/>
        </w:rPr>
        <w:br/>
      </w:r>
      <w:proofErr w:type="gramStart"/>
      <w:r w:rsidR="007B6316" w:rsidRPr="00284BD1">
        <w:rPr>
          <w:sz w:val="22"/>
          <w:szCs w:val="18"/>
        </w:rPr>
        <w:t>Director</w:t>
      </w:r>
      <w:proofErr w:type="gramEnd"/>
      <w:r w:rsidR="007B6316" w:rsidRPr="00284BD1">
        <w:rPr>
          <w:sz w:val="22"/>
          <w:szCs w:val="18"/>
        </w:rPr>
        <w:t xml:space="preserve"> de la Oficina de </w:t>
      </w:r>
      <w:r w:rsidR="007B6316" w:rsidRPr="00284BD1">
        <w:rPr>
          <w:sz w:val="22"/>
          <w:szCs w:val="18"/>
        </w:rPr>
        <w:br/>
        <w:t>Normalización de las Telecomunicaciones</w:t>
      </w:r>
    </w:p>
    <w:sectPr w:rsidR="007B6316" w:rsidRPr="00284BD1"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6E8C" w14:textId="77777777" w:rsidR="00E274A1" w:rsidRDefault="00E274A1">
      <w:r>
        <w:separator/>
      </w:r>
    </w:p>
  </w:endnote>
  <w:endnote w:type="continuationSeparator" w:id="0">
    <w:p w14:paraId="42E2B5C6" w14:textId="77777777" w:rsidR="00E274A1" w:rsidRDefault="00E2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60BB"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8B30" w14:textId="77777777" w:rsidR="00E274A1" w:rsidRDefault="00E274A1">
      <w:r>
        <w:t>____________________</w:t>
      </w:r>
    </w:p>
  </w:footnote>
  <w:footnote w:type="continuationSeparator" w:id="0">
    <w:p w14:paraId="5C0CBCC4" w14:textId="77777777" w:rsidR="00E274A1" w:rsidRDefault="00E2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EEC7" w14:textId="28113BF8"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0F4579">
      <w:rPr>
        <w:rStyle w:val="PageNumber"/>
        <w:sz w:val="18"/>
        <w:szCs w:val="18"/>
      </w:rPr>
      <w:br/>
    </w:r>
    <w:r w:rsidR="000F4579" w:rsidRPr="000F4579">
      <w:rPr>
        <w:sz w:val="18"/>
        <w:szCs w:val="18"/>
      </w:rPr>
      <w:t>Circular TSB 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A1"/>
    <w:rsid w:val="00002529"/>
    <w:rsid w:val="00085662"/>
    <w:rsid w:val="000B5E3C"/>
    <w:rsid w:val="000C382F"/>
    <w:rsid w:val="000F4579"/>
    <w:rsid w:val="001173CC"/>
    <w:rsid w:val="001350B9"/>
    <w:rsid w:val="0014464D"/>
    <w:rsid w:val="001A54CC"/>
    <w:rsid w:val="00257FB4"/>
    <w:rsid w:val="00284BD1"/>
    <w:rsid w:val="002E496E"/>
    <w:rsid w:val="00303D62"/>
    <w:rsid w:val="003258C7"/>
    <w:rsid w:val="00335367"/>
    <w:rsid w:val="00370C2D"/>
    <w:rsid w:val="003D1E8D"/>
    <w:rsid w:val="003D673B"/>
    <w:rsid w:val="003F2855"/>
    <w:rsid w:val="00401C20"/>
    <w:rsid w:val="004A7957"/>
    <w:rsid w:val="004C4144"/>
    <w:rsid w:val="0055719E"/>
    <w:rsid w:val="00610C1C"/>
    <w:rsid w:val="006969B4"/>
    <w:rsid w:val="00697D07"/>
    <w:rsid w:val="006D695C"/>
    <w:rsid w:val="006E4F7B"/>
    <w:rsid w:val="00755A48"/>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16247"/>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274A1"/>
    <w:rsid w:val="00E839B0"/>
    <w:rsid w:val="00E92C09"/>
    <w:rsid w:val="00F14380"/>
    <w:rsid w:val="00F330A3"/>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BD2FB"/>
  <w15:docId w15:val="{F4C369FD-5536-4972-90D8-165383C3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E27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sg5rglata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go/SDT-LAT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SDT-LATAM" TargetMode="External"/><Relationship Id="rId5" Type="http://schemas.openxmlformats.org/officeDocument/2006/relationships/webSettings" Target="webSettings.xml"/><Relationship Id="rId15" Type="http://schemas.openxmlformats.org/officeDocument/2006/relationships/hyperlink" Target="https://www.itu.int/pub/T-RES-T.54-2024" TargetMode="External"/><Relationship Id="rId10" Type="http://schemas.openxmlformats.org/officeDocument/2006/relationships/hyperlink" Target="mailto:tsbsg20@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itu.int/go/sg20rglata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14</TotalTime>
  <Pages>2</Pages>
  <Words>905</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6234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7</cp:revision>
  <cp:lastPrinted>2025-04-02T13:33:00Z</cp:lastPrinted>
  <dcterms:created xsi:type="dcterms:W3CDTF">2025-03-31T09:03:00Z</dcterms:created>
  <dcterms:modified xsi:type="dcterms:W3CDTF">2025-04-02T13:33:00Z</dcterms:modified>
</cp:coreProperties>
</file>