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1279"/>
        <w:gridCol w:w="3245"/>
        <w:gridCol w:w="5205"/>
      </w:tblGrid>
      <w:tr w:rsidR="00EF6A23" w:rsidRPr="00B60868" w14:paraId="3FDAE1F3" w14:textId="77777777" w:rsidTr="003F083D">
        <w:trPr>
          <w:cantSplit/>
        </w:trPr>
        <w:tc>
          <w:tcPr>
            <w:tcW w:w="0" w:type="auto"/>
            <w:vAlign w:val="center"/>
          </w:tcPr>
          <w:p w14:paraId="3DE42CAA" w14:textId="77777777" w:rsidR="00EF6A23" w:rsidRPr="00B60868" w:rsidRDefault="00EF6A23" w:rsidP="00D14F31">
            <w:pPr>
              <w:tabs>
                <w:tab w:val="right" w:pos="8732"/>
              </w:tabs>
              <w:spacing w:before="0"/>
              <w:rPr>
                <w:b/>
                <w:bCs/>
                <w:iCs/>
                <w:color w:val="FFFFFF"/>
                <w:sz w:val="30"/>
                <w:szCs w:val="30"/>
              </w:rPr>
            </w:pPr>
            <w:r w:rsidRPr="00B60868">
              <w:rPr>
                <w:noProof/>
                <w:lang w:eastAsia="zh-CN"/>
              </w:rPr>
              <w:drawing>
                <wp:inline distT="0" distB="0" distL="0" distR="0" wp14:anchorId="05764050" wp14:editId="248DEEAB">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0" w:type="auto"/>
            <w:gridSpan w:val="2"/>
            <w:vAlign w:val="center"/>
          </w:tcPr>
          <w:p w14:paraId="75924CEF" w14:textId="77777777" w:rsidR="00EF6A23" w:rsidRPr="00B60868" w:rsidRDefault="00EF6A23" w:rsidP="00EF6A23">
            <w:pPr>
              <w:spacing w:before="0"/>
              <w:rPr>
                <w:rFonts w:cs="Times New Roman Bold"/>
                <w:b/>
                <w:bCs/>
                <w:iCs/>
                <w:smallCaps/>
                <w:sz w:val="34"/>
                <w:szCs w:val="34"/>
              </w:rPr>
            </w:pPr>
            <w:r w:rsidRPr="00B60868">
              <w:rPr>
                <w:rFonts w:cs="Times New Roman Bold"/>
                <w:b/>
                <w:bCs/>
                <w:iCs/>
                <w:smallCaps/>
                <w:sz w:val="34"/>
                <w:szCs w:val="34"/>
              </w:rPr>
              <w:t>Union internationale des télécommunications</w:t>
            </w:r>
          </w:p>
          <w:p w14:paraId="089E66D0" w14:textId="77777777" w:rsidR="00EF6A23" w:rsidRPr="00B60868" w:rsidRDefault="00EF6A23" w:rsidP="00EF6A23">
            <w:pPr>
              <w:spacing w:before="0"/>
              <w:rPr>
                <w:color w:val="FFFFFF"/>
                <w:sz w:val="26"/>
                <w:szCs w:val="26"/>
              </w:rPr>
            </w:pPr>
            <w:r w:rsidRPr="00B60868">
              <w:rPr>
                <w:rFonts w:cs="Times New Roman Bold"/>
                <w:b/>
                <w:bCs/>
                <w:iCs/>
                <w:smallCaps/>
                <w:sz w:val="28"/>
                <w:szCs w:val="28"/>
              </w:rPr>
              <w:t>B</w:t>
            </w:r>
            <w:r w:rsidRPr="00B60868">
              <w:rPr>
                <w:b/>
                <w:bCs/>
                <w:iCs/>
                <w:smallCaps/>
                <w:sz w:val="28"/>
                <w:szCs w:val="28"/>
              </w:rPr>
              <w:t>ureau de la Normalisation des Télécommunications</w:t>
            </w:r>
          </w:p>
        </w:tc>
      </w:tr>
      <w:tr w:rsidR="00036F4F" w:rsidRPr="000D24F6" w14:paraId="18B25741" w14:textId="77777777" w:rsidTr="000D24F6">
        <w:trPr>
          <w:cantSplit/>
          <w:trHeight w:val="612"/>
        </w:trPr>
        <w:tc>
          <w:tcPr>
            <w:tcW w:w="0" w:type="auto"/>
          </w:tcPr>
          <w:p w14:paraId="4B1AFD72" w14:textId="77777777" w:rsidR="00036F4F" w:rsidRPr="000D24F6" w:rsidRDefault="00036F4F" w:rsidP="00A5280F">
            <w:pPr>
              <w:tabs>
                <w:tab w:val="left" w:pos="4111"/>
              </w:tabs>
              <w:spacing w:before="10"/>
              <w:ind w:left="57"/>
              <w:rPr>
                <w:rFonts w:cstheme="minorHAnsi"/>
                <w:sz w:val="22"/>
                <w:szCs w:val="22"/>
              </w:rPr>
            </w:pPr>
          </w:p>
        </w:tc>
        <w:tc>
          <w:tcPr>
            <w:tcW w:w="3257" w:type="dxa"/>
          </w:tcPr>
          <w:p w14:paraId="6579D3E8" w14:textId="77777777" w:rsidR="00036F4F" w:rsidRPr="000D24F6" w:rsidRDefault="00036F4F" w:rsidP="00A5280F">
            <w:pPr>
              <w:tabs>
                <w:tab w:val="left" w:pos="4111"/>
              </w:tabs>
              <w:spacing w:before="10"/>
              <w:ind w:left="57"/>
              <w:rPr>
                <w:rFonts w:cstheme="minorHAnsi"/>
                <w:b/>
                <w:sz w:val="22"/>
                <w:szCs w:val="22"/>
              </w:rPr>
            </w:pPr>
          </w:p>
        </w:tc>
        <w:tc>
          <w:tcPr>
            <w:tcW w:w="5193" w:type="dxa"/>
          </w:tcPr>
          <w:p w14:paraId="0DC34ECA" w14:textId="42E15119" w:rsidR="00036F4F" w:rsidRPr="000D24F6" w:rsidRDefault="00036F4F" w:rsidP="00A5645A">
            <w:pPr>
              <w:tabs>
                <w:tab w:val="clear" w:pos="794"/>
                <w:tab w:val="clear" w:pos="1191"/>
                <w:tab w:val="clear" w:pos="1588"/>
                <w:tab w:val="clear" w:pos="1985"/>
                <w:tab w:val="left" w:pos="284"/>
              </w:tabs>
              <w:spacing w:after="120"/>
              <w:ind w:left="284" w:hanging="227"/>
              <w:rPr>
                <w:rFonts w:cstheme="minorHAnsi"/>
                <w:sz w:val="22"/>
                <w:szCs w:val="22"/>
              </w:rPr>
            </w:pPr>
            <w:r w:rsidRPr="000D24F6">
              <w:rPr>
                <w:rFonts w:cstheme="minorHAnsi"/>
                <w:sz w:val="22"/>
                <w:szCs w:val="22"/>
              </w:rPr>
              <w:t>Genève, le</w:t>
            </w:r>
            <w:r w:rsidR="004419E9" w:rsidRPr="000D24F6">
              <w:rPr>
                <w:rFonts w:cstheme="minorHAnsi"/>
                <w:sz w:val="22"/>
                <w:szCs w:val="22"/>
              </w:rPr>
              <w:t xml:space="preserve"> </w:t>
            </w:r>
            <w:r w:rsidR="00FA37CD" w:rsidRPr="000D24F6">
              <w:rPr>
                <w:rFonts w:cstheme="minorHAnsi"/>
                <w:sz w:val="22"/>
                <w:szCs w:val="22"/>
              </w:rPr>
              <w:t>28 mars 2025</w:t>
            </w:r>
          </w:p>
        </w:tc>
      </w:tr>
      <w:tr w:rsidR="00FA37CD" w:rsidRPr="000D24F6" w14:paraId="16CDDFEF" w14:textId="77777777" w:rsidTr="00FA37CD">
        <w:trPr>
          <w:cantSplit/>
          <w:trHeight w:val="340"/>
        </w:trPr>
        <w:tc>
          <w:tcPr>
            <w:tcW w:w="0" w:type="auto"/>
          </w:tcPr>
          <w:p w14:paraId="3EFF375D" w14:textId="58556577" w:rsidR="00FA37CD" w:rsidRPr="000D24F6" w:rsidRDefault="00FA37CD" w:rsidP="000D24F6">
            <w:pPr>
              <w:tabs>
                <w:tab w:val="left" w:pos="4111"/>
              </w:tabs>
              <w:spacing w:before="10"/>
              <w:rPr>
                <w:rFonts w:cstheme="minorHAnsi"/>
                <w:b/>
                <w:bCs/>
                <w:sz w:val="22"/>
                <w:szCs w:val="22"/>
              </w:rPr>
            </w:pPr>
            <w:proofErr w:type="gramStart"/>
            <w:r w:rsidRPr="000D24F6">
              <w:rPr>
                <w:rFonts w:cstheme="minorHAnsi"/>
                <w:b/>
                <w:bCs/>
                <w:sz w:val="22"/>
                <w:szCs w:val="22"/>
              </w:rPr>
              <w:t>Réf.:</w:t>
            </w:r>
            <w:proofErr w:type="gramEnd"/>
          </w:p>
        </w:tc>
        <w:tc>
          <w:tcPr>
            <w:tcW w:w="3257" w:type="dxa"/>
          </w:tcPr>
          <w:p w14:paraId="44A98104" w14:textId="77777777" w:rsidR="00FA37CD" w:rsidRPr="000D24F6" w:rsidRDefault="00FA37CD" w:rsidP="00307FB4">
            <w:pPr>
              <w:tabs>
                <w:tab w:val="left" w:pos="4111"/>
              </w:tabs>
              <w:spacing w:before="10"/>
              <w:ind w:left="57"/>
              <w:rPr>
                <w:rFonts w:cstheme="minorHAnsi"/>
                <w:b/>
                <w:sz w:val="22"/>
                <w:szCs w:val="22"/>
              </w:rPr>
            </w:pPr>
            <w:r w:rsidRPr="000D24F6">
              <w:rPr>
                <w:rFonts w:cstheme="minorHAnsi"/>
                <w:b/>
                <w:sz w:val="22"/>
                <w:szCs w:val="22"/>
              </w:rPr>
              <w:t>Circulaire TSB 40</w:t>
            </w:r>
          </w:p>
          <w:p w14:paraId="577F6DA2" w14:textId="66785A93" w:rsidR="00A66643" w:rsidRPr="000D24F6" w:rsidRDefault="00A66643" w:rsidP="00307FB4">
            <w:pPr>
              <w:tabs>
                <w:tab w:val="left" w:pos="4111"/>
              </w:tabs>
              <w:spacing w:before="10"/>
              <w:ind w:left="57"/>
              <w:rPr>
                <w:rFonts w:cstheme="minorHAnsi"/>
                <w:b/>
                <w:sz w:val="22"/>
                <w:szCs w:val="22"/>
              </w:rPr>
            </w:pPr>
          </w:p>
        </w:tc>
        <w:tc>
          <w:tcPr>
            <w:tcW w:w="5193" w:type="dxa"/>
            <w:vMerge w:val="restart"/>
          </w:tcPr>
          <w:p w14:paraId="35271D8E" w14:textId="566F77AA" w:rsidR="00FA37CD" w:rsidRPr="000D24F6" w:rsidRDefault="00FA37CD" w:rsidP="00307FB4">
            <w:pPr>
              <w:tabs>
                <w:tab w:val="left" w:pos="4111"/>
              </w:tabs>
              <w:spacing w:before="0"/>
              <w:ind w:left="426" w:hanging="426"/>
              <w:rPr>
                <w:rFonts w:cstheme="minorHAnsi"/>
                <w:sz w:val="22"/>
                <w:szCs w:val="22"/>
              </w:rPr>
            </w:pPr>
            <w:bookmarkStart w:id="0" w:name="Addressee_F"/>
            <w:bookmarkEnd w:id="0"/>
            <w:r w:rsidRPr="000D24F6">
              <w:rPr>
                <w:rFonts w:cstheme="minorHAnsi"/>
                <w:sz w:val="22"/>
                <w:szCs w:val="22"/>
              </w:rPr>
              <w:t>–</w:t>
            </w:r>
            <w:r w:rsidRPr="000D24F6">
              <w:rPr>
                <w:rFonts w:cstheme="minorHAnsi"/>
                <w:sz w:val="22"/>
                <w:szCs w:val="22"/>
              </w:rPr>
              <w:tab/>
              <w:t xml:space="preserve">Aux Administrations des États Membres de </w:t>
            </w:r>
            <w:proofErr w:type="gramStart"/>
            <w:r w:rsidRPr="000D24F6">
              <w:rPr>
                <w:rFonts w:cstheme="minorHAnsi"/>
                <w:sz w:val="22"/>
                <w:szCs w:val="22"/>
              </w:rPr>
              <w:t>l'Union;</w:t>
            </w:r>
            <w:proofErr w:type="gramEnd"/>
          </w:p>
          <w:p w14:paraId="7FD2A57E" w14:textId="6D39B6F7" w:rsidR="00FA37CD" w:rsidRPr="000D24F6" w:rsidRDefault="00FA37CD" w:rsidP="00307FB4">
            <w:pPr>
              <w:tabs>
                <w:tab w:val="left" w:pos="4111"/>
              </w:tabs>
              <w:spacing w:before="0"/>
              <w:ind w:left="426" w:hanging="426"/>
              <w:rPr>
                <w:rFonts w:cstheme="minorHAnsi"/>
                <w:sz w:val="22"/>
                <w:szCs w:val="22"/>
              </w:rPr>
            </w:pPr>
            <w:r w:rsidRPr="000D24F6">
              <w:rPr>
                <w:rFonts w:cstheme="minorHAnsi"/>
                <w:sz w:val="22"/>
                <w:szCs w:val="22"/>
              </w:rPr>
              <w:t>–</w:t>
            </w:r>
            <w:r w:rsidRPr="000D24F6">
              <w:rPr>
                <w:rFonts w:cstheme="minorHAnsi"/>
                <w:sz w:val="22"/>
                <w:szCs w:val="22"/>
              </w:rPr>
              <w:tab/>
              <w:t>À l'État de Palestine (Rés. 99 (Rév. Dubaï, 2018</w:t>
            </w:r>
            <w:proofErr w:type="gramStart"/>
            <w:r w:rsidRPr="000D24F6">
              <w:rPr>
                <w:rFonts w:cstheme="minorHAnsi"/>
                <w:sz w:val="22"/>
                <w:szCs w:val="22"/>
              </w:rPr>
              <w:t>);</w:t>
            </w:r>
            <w:proofErr w:type="gramEnd"/>
          </w:p>
          <w:p w14:paraId="38A5A6AE" w14:textId="01F8B1DD" w:rsidR="00FA37CD" w:rsidRPr="000D24F6" w:rsidRDefault="00FA37CD" w:rsidP="00307FB4">
            <w:pPr>
              <w:tabs>
                <w:tab w:val="left" w:pos="4111"/>
              </w:tabs>
              <w:spacing w:before="0"/>
              <w:ind w:left="426" w:hanging="426"/>
              <w:rPr>
                <w:rFonts w:cstheme="minorHAnsi"/>
                <w:sz w:val="22"/>
                <w:szCs w:val="22"/>
              </w:rPr>
            </w:pPr>
            <w:r w:rsidRPr="000D24F6">
              <w:rPr>
                <w:rFonts w:cstheme="minorHAnsi"/>
                <w:sz w:val="22"/>
                <w:szCs w:val="22"/>
              </w:rPr>
              <w:t>–</w:t>
            </w:r>
            <w:r w:rsidRPr="000D24F6">
              <w:rPr>
                <w:rFonts w:cstheme="minorHAnsi"/>
                <w:sz w:val="22"/>
                <w:szCs w:val="22"/>
              </w:rPr>
              <w:tab/>
              <w:t>Aux Membres du Secteur de l'UIT-</w:t>
            </w:r>
            <w:proofErr w:type="gramStart"/>
            <w:r w:rsidRPr="000D24F6">
              <w:rPr>
                <w:rFonts w:cstheme="minorHAnsi"/>
                <w:sz w:val="22"/>
                <w:szCs w:val="22"/>
              </w:rPr>
              <w:t>T;</w:t>
            </w:r>
            <w:proofErr w:type="gramEnd"/>
          </w:p>
          <w:p w14:paraId="45F82FBC" w14:textId="1FED1F68" w:rsidR="00FA37CD" w:rsidRPr="000D24F6" w:rsidRDefault="00FA37CD" w:rsidP="00307FB4">
            <w:pPr>
              <w:tabs>
                <w:tab w:val="left" w:pos="4111"/>
              </w:tabs>
              <w:spacing w:before="0"/>
              <w:ind w:left="426" w:hanging="426"/>
              <w:rPr>
                <w:rFonts w:cstheme="minorHAnsi"/>
                <w:sz w:val="22"/>
                <w:szCs w:val="22"/>
              </w:rPr>
            </w:pPr>
            <w:r w:rsidRPr="000D24F6">
              <w:rPr>
                <w:rFonts w:cstheme="minorHAnsi"/>
                <w:sz w:val="22"/>
                <w:szCs w:val="22"/>
              </w:rPr>
              <w:t>–</w:t>
            </w:r>
            <w:r w:rsidRPr="000D24F6">
              <w:rPr>
                <w:rFonts w:cstheme="minorHAnsi"/>
                <w:sz w:val="22"/>
                <w:szCs w:val="22"/>
              </w:rPr>
              <w:tab/>
              <w:t>Aux Associés de l'UIT-</w:t>
            </w:r>
            <w:proofErr w:type="gramStart"/>
            <w:r w:rsidRPr="000D24F6">
              <w:rPr>
                <w:rFonts w:cstheme="minorHAnsi"/>
                <w:sz w:val="22"/>
                <w:szCs w:val="22"/>
              </w:rPr>
              <w:t>T;</w:t>
            </w:r>
            <w:proofErr w:type="gramEnd"/>
          </w:p>
          <w:p w14:paraId="4B79EBD5" w14:textId="77777777" w:rsidR="00FA37CD" w:rsidRPr="000D24F6" w:rsidRDefault="00FA37CD" w:rsidP="00307FB4">
            <w:pPr>
              <w:tabs>
                <w:tab w:val="left" w:pos="4111"/>
              </w:tabs>
              <w:spacing w:before="0"/>
              <w:ind w:left="426" w:hanging="426"/>
              <w:rPr>
                <w:rFonts w:cstheme="minorHAnsi"/>
                <w:sz w:val="22"/>
                <w:szCs w:val="22"/>
              </w:rPr>
            </w:pPr>
            <w:r w:rsidRPr="000D24F6">
              <w:rPr>
                <w:rFonts w:cstheme="minorHAnsi"/>
                <w:sz w:val="22"/>
                <w:szCs w:val="22"/>
              </w:rPr>
              <w:t>–</w:t>
            </w:r>
            <w:r w:rsidRPr="000D24F6">
              <w:rPr>
                <w:rFonts w:cstheme="minorHAnsi"/>
                <w:sz w:val="22"/>
                <w:szCs w:val="22"/>
              </w:rPr>
              <w:tab/>
              <w:t>Aux Établissements universitaires participant aux travaux de l'UIT</w:t>
            </w:r>
          </w:p>
          <w:p w14:paraId="1F591FA6" w14:textId="77777777" w:rsidR="00FA37CD" w:rsidRPr="000D24F6" w:rsidRDefault="00FA37CD" w:rsidP="00307FB4">
            <w:pPr>
              <w:tabs>
                <w:tab w:val="clear" w:pos="794"/>
                <w:tab w:val="left" w:pos="226"/>
                <w:tab w:val="left" w:pos="4111"/>
              </w:tabs>
              <w:spacing w:before="0"/>
              <w:ind w:left="226" w:hanging="226"/>
              <w:rPr>
                <w:rFonts w:cstheme="minorHAnsi"/>
                <w:b/>
                <w:bCs/>
                <w:sz w:val="22"/>
                <w:szCs w:val="22"/>
              </w:rPr>
            </w:pPr>
            <w:proofErr w:type="gramStart"/>
            <w:r w:rsidRPr="000D24F6">
              <w:rPr>
                <w:rFonts w:cstheme="minorHAnsi"/>
                <w:b/>
                <w:bCs/>
                <w:sz w:val="22"/>
                <w:szCs w:val="22"/>
              </w:rPr>
              <w:t>Copie:</w:t>
            </w:r>
            <w:proofErr w:type="gramEnd"/>
          </w:p>
          <w:p w14:paraId="391FF1E8" w14:textId="408204F8" w:rsidR="00FA37CD" w:rsidRPr="000D24F6" w:rsidRDefault="00FA37CD" w:rsidP="00307FB4">
            <w:pPr>
              <w:tabs>
                <w:tab w:val="clear" w:pos="794"/>
                <w:tab w:val="left" w:pos="4111"/>
              </w:tabs>
              <w:spacing w:before="0"/>
              <w:ind w:left="426" w:hanging="426"/>
              <w:rPr>
                <w:rFonts w:cstheme="minorHAnsi"/>
                <w:sz w:val="22"/>
                <w:szCs w:val="22"/>
              </w:rPr>
            </w:pPr>
            <w:r w:rsidRPr="000D24F6">
              <w:rPr>
                <w:rFonts w:cstheme="minorHAnsi"/>
                <w:sz w:val="22"/>
                <w:szCs w:val="22"/>
              </w:rPr>
              <w:t>–</w:t>
            </w:r>
            <w:r w:rsidRPr="000D24F6">
              <w:rPr>
                <w:rFonts w:cstheme="minorHAnsi"/>
                <w:sz w:val="22"/>
                <w:szCs w:val="22"/>
              </w:rPr>
              <w:tab/>
              <w:t>Aux Présidents et Vice-Présidents des Commissions d'études de l'UIT-</w:t>
            </w:r>
            <w:proofErr w:type="gramStart"/>
            <w:r w:rsidRPr="000D24F6">
              <w:rPr>
                <w:rFonts w:cstheme="minorHAnsi"/>
                <w:sz w:val="22"/>
                <w:szCs w:val="22"/>
              </w:rPr>
              <w:t>T;</w:t>
            </w:r>
            <w:proofErr w:type="gramEnd"/>
          </w:p>
          <w:p w14:paraId="19901984" w14:textId="77777777" w:rsidR="00FA37CD" w:rsidRPr="000D24F6" w:rsidRDefault="00FA37CD" w:rsidP="00307FB4">
            <w:pPr>
              <w:tabs>
                <w:tab w:val="clear" w:pos="794"/>
                <w:tab w:val="left" w:pos="4111"/>
              </w:tabs>
              <w:spacing w:before="0"/>
              <w:ind w:left="426" w:hanging="426"/>
              <w:rPr>
                <w:rFonts w:cstheme="minorHAnsi"/>
                <w:sz w:val="22"/>
                <w:szCs w:val="22"/>
              </w:rPr>
            </w:pPr>
            <w:r w:rsidRPr="000D24F6">
              <w:rPr>
                <w:rFonts w:cstheme="minorHAnsi"/>
                <w:sz w:val="22"/>
                <w:szCs w:val="22"/>
              </w:rPr>
              <w:t>–</w:t>
            </w:r>
            <w:r w:rsidRPr="000D24F6">
              <w:rPr>
                <w:rFonts w:cstheme="minorHAnsi"/>
                <w:sz w:val="22"/>
                <w:szCs w:val="22"/>
              </w:rPr>
              <w:tab/>
              <w:t xml:space="preserve">Au Directeur du Bureau de développement des </w:t>
            </w:r>
            <w:proofErr w:type="gramStart"/>
            <w:r w:rsidRPr="000D24F6">
              <w:rPr>
                <w:rFonts w:cstheme="minorHAnsi"/>
                <w:sz w:val="22"/>
                <w:szCs w:val="22"/>
              </w:rPr>
              <w:t>télécommunications;</w:t>
            </w:r>
            <w:proofErr w:type="gramEnd"/>
          </w:p>
          <w:p w14:paraId="064F2264" w14:textId="77777777" w:rsidR="00FA37CD" w:rsidRPr="000D24F6" w:rsidRDefault="00FA37CD" w:rsidP="00307FB4">
            <w:pPr>
              <w:tabs>
                <w:tab w:val="left" w:pos="4111"/>
              </w:tabs>
              <w:spacing w:before="0"/>
              <w:ind w:left="426" w:hanging="426"/>
              <w:rPr>
                <w:rFonts w:cstheme="minorHAnsi"/>
                <w:sz w:val="22"/>
                <w:szCs w:val="22"/>
              </w:rPr>
            </w:pPr>
            <w:r w:rsidRPr="000D24F6">
              <w:rPr>
                <w:rFonts w:cstheme="minorHAnsi"/>
                <w:sz w:val="22"/>
                <w:szCs w:val="22"/>
              </w:rPr>
              <w:t>–</w:t>
            </w:r>
            <w:r w:rsidRPr="000D24F6">
              <w:rPr>
                <w:rFonts w:cstheme="minorHAnsi"/>
                <w:sz w:val="22"/>
                <w:szCs w:val="22"/>
              </w:rPr>
              <w:tab/>
              <w:t xml:space="preserve">Au Directeur du Bureau des </w:t>
            </w:r>
            <w:proofErr w:type="gramStart"/>
            <w:r w:rsidRPr="000D24F6">
              <w:rPr>
                <w:rFonts w:cstheme="minorHAnsi"/>
                <w:sz w:val="22"/>
                <w:szCs w:val="22"/>
              </w:rPr>
              <w:t>radiocommunications;</w:t>
            </w:r>
            <w:proofErr w:type="gramEnd"/>
          </w:p>
          <w:p w14:paraId="461460AE" w14:textId="6AE22BBC" w:rsidR="00FA37CD" w:rsidRPr="000D24F6" w:rsidRDefault="00FA37CD" w:rsidP="00307FB4">
            <w:pPr>
              <w:tabs>
                <w:tab w:val="left" w:pos="4111"/>
              </w:tabs>
              <w:spacing w:before="0"/>
              <w:ind w:left="426" w:hanging="426"/>
              <w:rPr>
                <w:rFonts w:cstheme="minorHAnsi"/>
                <w:sz w:val="22"/>
                <w:szCs w:val="22"/>
              </w:rPr>
            </w:pPr>
            <w:r w:rsidRPr="000D24F6">
              <w:rPr>
                <w:rFonts w:cstheme="minorHAnsi"/>
                <w:sz w:val="22"/>
                <w:szCs w:val="22"/>
              </w:rPr>
              <w:t>–</w:t>
            </w:r>
            <w:r w:rsidRPr="000D24F6">
              <w:rPr>
                <w:rFonts w:cstheme="minorHAnsi"/>
                <w:sz w:val="22"/>
                <w:szCs w:val="22"/>
              </w:rPr>
              <w:tab/>
              <w:t>Au bureau régional de l'UIT, Brasilia (Brésil)</w:t>
            </w:r>
          </w:p>
        </w:tc>
      </w:tr>
      <w:tr w:rsidR="00FA37CD" w:rsidRPr="000D24F6" w14:paraId="724FD23E" w14:textId="77777777" w:rsidTr="00FA37CD">
        <w:trPr>
          <w:cantSplit/>
        </w:trPr>
        <w:tc>
          <w:tcPr>
            <w:tcW w:w="0" w:type="auto"/>
          </w:tcPr>
          <w:p w14:paraId="73149CCD" w14:textId="77777777" w:rsidR="00FA37CD" w:rsidRPr="000D24F6" w:rsidRDefault="00FA37CD" w:rsidP="000D24F6">
            <w:pPr>
              <w:tabs>
                <w:tab w:val="left" w:pos="4111"/>
              </w:tabs>
              <w:spacing w:before="10"/>
              <w:rPr>
                <w:rFonts w:cstheme="minorHAnsi"/>
                <w:sz w:val="22"/>
                <w:szCs w:val="22"/>
              </w:rPr>
            </w:pPr>
            <w:proofErr w:type="gramStart"/>
            <w:r w:rsidRPr="000D24F6">
              <w:rPr>
                <w:rFonts w:cstheme="minorHAnsi"/>
                <w:sz w:val="22"/>
                <w:szCs w:val="22"/>
              </w:rPr>
              <w:t>Tél.:</w:t>
            </w:r>
            <w:proofErr w:type="gramEnd"/>
          </w:p>
        </w:tc>
        <w:tc>
          <w:tcPr>
            <w:tcW w:w="3257" w:type="dxa"/>
          </w:tcPr>
          <w:p w14:paraId="22A26078" w14:textId="37F39B89" w:rsidR="00FA37CD" w:rsidRPr="000D24F6" w:rsidRDefault="00FA37CD" w:rsidP="00FA37CD">
            <w:pPr>
              <w:tabs>
                <w:tab w:val="left" w:pos="4111"/>
              </w:tabs>
              <w:spacing w:before="0"/>
              <w:ind w:left="57"/>
              <w:rPr>
                <w:rFonts w:cstheme="minorHAnsi"/>
                <w:sz w:val="22"/>
                <w:szCs w:val="22"/>
              </w:rPr>
            </w:pPr>
            <w:r w:rsidRPr="000D24F6">
              <w:rPr>
                <w:rFonts w:cstheme="minorHAnsi"/>
                <w:sz w:val="22"/>
                <w:szCs w:val="22"/>
              </w:rPr>
              <w:t>+411 22 730 5356</w:t>
            </w:r>
          </w:p>
          <w:p w14:paraId="78D06186" w14:textId="4A5B9F1B" w:rsidR="00FA37CD" w:rsidRPr="000D24F6" w:rsidRDefault="00FA37CD" w:rsidP="00FA37CD">
            <w:pPr>
              <w:tabs>
                <w:tab w:val="left" w:pos="4111"/>
              </w:tabs>
              <w:spacing w:before="0"/>
              <w:ind w:left="57"/>
              <w:rPr>
                <w:rFonts w:cstheme="minorHAnsi"/>
                <w:sz w:val="22"/>
                <w:szCs w:val="22"/>
              </w:rPr>
            </w:pPr>
            <w:r w:rsidRPr="000D24F6">
              <w:rPr>
                <w:rFonts w:cstheme="minorHAnsi"/>
                <w:sz w:val="22"/>
                <w:szCs w:val="22"/>
              </w:rPr>
              <w:t xml:space="preserve">+41 22 730 6301 </w:t>
            </w:r>
          </w:p>
        </w:tc>
        <w:tc>
          <w:tcPr>
            <w:tcW w:w="5193" w:type="dxa"/>
            <w:vMerge/>
          </w:tcPr>
          <w:p w14:paraId="6D3A5806" w14:textId="3809F682" w:rsidR="00FA37CD" w:rsidRPr="000D24F6" w:rsidRDefault="00FA37CD" w:rsidP="00307FB4">
            <w:pPr>
              <w:tabs>
                <w:tab w:val="left" w:pos="4111"/>
              </w:tabs>
              <w:spacing w:before="0"/>
              <w:ind w:left="426" w:hanging="426"/>
              <w:rPr>
                <w:rFonts w:cstheme="minorHAnsi"/>
                <w:b/>
                <w:sz w:val="22"/>
                <w:szCs w:val="22"/>
              </w:rPr>
            </w:pPr>
          </w:p>
        </w:tc>
      </w:tr>
      <w:tr w:rsidR="00FA37CD" w:rsidRPr="000D24F6" w14:paraId="030F9AE5" w14:textId="77777777" w:rsidTr="00FA37CD">
        <w:trPr>
          <w:cantSplit/>
          <w:trHeight w:val="235"/>
        </w:trPr>
        <w:tc>
          <w:tcPr>
            <w:tcW w:w="0" w:type="auto"/>
          </w:tcPr>
          <w:p w14:paraId="7B417C4C" w14:textId="77777777" w:rsidR="00FA37CD" w:rsidRPr="000D24F6" w:rsidRDefault="00FA37CD" w:rsidP="000D24F6">
            <w:pPr>
              <w:tabs>
                <w:tab w:val="left" w:pos="4111"/>
              </w:tabs>
              <w:spacing w:before="10"/>
              <w:rPr>
                <w:rFonts w:cstheme="minorHAnsi"/>
                <w:sz w:val="22"/>
                <w:szCs w:val="22"/>
              </w:rPr>
            </w:pPr>
            <w:proofErr w:type="gramStart"/>
            <w:r w:rsidRPr="000D24F6">
              <w:rPr>
                <w:rFonts w:cstheme="minorHAnsi"/>
                <w:sz w:val="22"/>
                <w:szCs w:val="22"/>
              </w:rPr>
              <w:t>Télécopie:</w:t>
            </w:r>
            <w:proofErr w:type="gramEnd"/>
          </w:p>
        </w:tc>
        <w:tc>
          <w:tcPr>
            <w:tcW w:w="3257" w:type="dxa"/>
          </w:tcPr>
          <w:p w14:paraId="1A4A5F7B" w14:textId="77777777" w:rsidR="00FA37CD" w:rsidRPr="000D24F6" w:rsidRDefault="00FA37CD" w:rsidP="00A5280F">
            <w:pPr>
              <w:tabs>
                <w:tab w:val="left" w:pos="4111"/>
              </w:tabs>
              <w:spacing w:before="0"/>
              <w:ind w:left="57"/>
              <w:rPr>
                <w:rFonts w:cstheme="minorHAnsi"/>
                <w:sz w:val="22"/>
                <w:szCs w:val="22"/>
              </w:rPr>
            </w:pPr>
            <w:r w:rsidRPr="000D24F6">
              <w:rPr>
                <w:rFonts w:cstheme="minorHAnsi"/>
                <w:sz w:val="22"/>
                <w:szCs w:val="22"/>
              </w:rPr>
              <w:t>+41 22 730 5853</w:t>
            </w:r>
          </w:p>
        </w:tc>
        <w:tc>
          <w:tcPr>
            <w:tcW w:w="5193" w:type="dxa"/>
            <w:vMerge/>
          </w:tcPr>
          <w:p w14:paraId="323DAC81" w14:textId="1D8DEE29" w:rsidR="00FA37CD" w:rsidRPr="000D24F6" w:rsidRDefault="00FA37CD" w:rsidP="00307FB4">
            <w:pPr>
              <w:tabs>
                <w:tab w:val="left" w:pos="4111"/>
              </w:tabs>
              <w:spacing w:before="0"/>
              <w:ind w:left="426" w:hanging="426"/>
              <w:rPr>
                <w:rFonts w:cstheme="minorHAnsi"/>
                <w:b/>
                <w:sz w:val="22"/>
                <w:szCs w:val="22"/>
              </w:rPr>
            </w:pPr>
          </w:p>
        </w:tc>
      </w:tr>
      <w:tr w:rsidR="00FA37CD" w:rsidRPr="000D24F6" w14:paraId="640FB6B9" w14:textId="77777777" w:rsidTr="00FA37CD">
        <w:trPr>
          <w:cantSplit/>
        </w:trPr>
        <w:tc>
          <w:tcPr>
            <w:tcW w:w="0" w:type="auto"/>
          </w:tcPr>
          <w:p w14:paraId="15527369" w14:textId="0865F49A" w:rsidR="00FA37CD" w:rsidRPr="000D24F6" w:rsidRDefault="00FA37CD" w:rsidP="000D24F6">
            <w:pPr>
              <w:tabs>
                <w:tab w:val="left" w:pos="4111"/>
              </w:tabs>
              <w:spacing w:before="10"/>
              <w:rPr>
                <w:rFonts w:cstheme="minorHAnsi"/>
                <w:sz w:val="22"/>
                <w:szCs w:val="22"/>
              </w:rPr>
            </w:pPr>
            <w:proofErr w:type="gramStart"/>
            <w:r w:rsidRPr="000D24F6">
              <w:rPr>
                <w:rFonts w:cstheme="minorHAnsi"/>
                <w:sz w:val="22"/>
                <w:szCs w:val="22"/>
              </w:rPr>
              <w:t>Courriel:</w:t>
            </w:r>
            <w:proofErr w:type="gramEnd"/>
          </w:p>
        </w:tc>
        <w:tc>
          <w:tcPr>
            <w:tcW w:w="3257" w:type="dxa"/>
          </w:tcPr>
          <w:p w14:paraId="770C020D" w14:textId="0EF00C55" w:rsidR="00FA37CD" w:rsidRPr="000D24F6" w:rsidRDefault="00FA37CD" w:rsidP="00A5280F">
            <w:pPr>
              <w:tabs>
                <w:tab w:val="left" w:pos="4111"/>
              </w:tabs>
              <w:spacing w:before="0"/>
              <w:ind w:left="57"/>
              <w:rPr>
                <w:rFonts w:cstheme="minorHAnsi"/>
                <w:sz w:val="22"/>
                <w:szCs w:val="22"/>
              </w:rPr>
            </w:pPr>
            <w:hyperlink r:id="rId9" w:history="1">
              <w:r w:rsidRPr="000D24F6">
                <w:rPr>
                  <w:rStyle w:val="Hyperlink"/>
                  <w:rFonts w:cstheme="minorHAnsi"/>
                  <w:sz w:val="22"/>
                  <w:szCs w:val="22"/>
                </w:rPr>
                <w:t>tsbsg5@itu.int</w:t>
              </w:r>
            </w:hyperlink>
          </w:p>
          <w:p w14:paraId="172249CE" w14:textId="39F24F77" w:rsidR="00FA37CD" w:rsidRPr="000D24F6" w:rsidRDefault="00FA37CD" w:rsidP="00A5280F">
            <w:pPr>
              <w:tabs>
                <w:tab w:val="left" w:pos="4111"/>
              </w:tabs>
              <w:spacing w:before="0"/>
              <w:ind w:left="57"/>
              <w:rPr>
                <w:rFonts w:cstheme="minorHAnsi"/>
                <w:sz w:val="22"/>
                <w:szCs w:val="22"/>
              </w:rPr>
            </w:pPr>
            <w:hyperlink r:id="rId10" w:history="1">
              <w:r w:rsidRPr="000D24F6">
                <w:rPr>
                  <w:rStyle w:val="Hyperlink"/>
                  <w:rFonts w:cstheme="minorHAnsi"/>
                  <w:sz w:val="22"/>
                  <w:szCs w:val="22"/>
                </w:rPr>
                <w:t>tsbsg20@itu.int</w:t>
              </w:r>
            </w:hyperlink>
          </w:p>
        </w:tc>
        <w:tc>
          <w:tcPr>
            <w:tcW w:w="5193" w:type="dxa"/>
            <w:vMerge/>
          </w:tcPr>
          <w:p w14:paraId="19762254" w14:textId="1CC7A922" w:rsidR="00FA37CD" w:rsidRPr="000D24F6" w:rsidRDefault="00FA37CD" w:rsidP="00307FB4">
            <w:pPr>
              <w:tabs>
                <w:tab w:val="clear" w:pos="794"/>
                <w:tab w:val="left" w:pos="4111"/>
              </w:tabs>
              <w:spacing w:before="0"/>
              <w:ind w:left="426" w:hanging="426"/>
              <w:rPr>
                <w:rFonts w:cstheme="minorHAnsi"/>
                <w:sz w:val="22"/>
                <w:szCs w:val="22"/>
              </w:rPr>
            </w:pPr>
          </w:p>
        </w:tc>
      </w:tr>
      <w:tr w:rsidR="00517A03" w:rsidRPr="000D24F6" w14:paraId="5435C04A" w14:textId="77777777" w:rsidTr="00C41B89">
        <w:trPr>
          <w:cantSplit/>
          <w:trHeight w:val="397"/>
        </w:trPr>
        <w:tc>
          <w:tcPr>
            <w:tcW w:w="0" w:type="auto"/>
          </w:tcPr>
          <w:p w14:paraId="2A0B9B4F" w14:textId="77777777" w:rsidR="00517A03" w:rsidRPr="000D24F6" w:rsidRDefault="00517A03" w:rsidP="000D24F6">
            <w:pPr>
              <w:tabs>
                <w:tab w:val="left" w:pos="4111"/>
              </w:tabs>
              <w:rPr>
                <w:rFonts w:cstheme="minorHAnsi"/>
                <w:b/>
                <w:bCs/>
                <w:sz w:val="22"/>
                <w:szCs w:val="22"/>
              </w:rPr>
            </w:pPr>
            <w:proofErr w:type="gramStart"/>
            <w:r w:rsidRPr="000D24F6">
              <w:rPr>
                <w:rFonts w:cstheme="minorHAnsi"/>
                <w:b/>
                <w:bCs/>
                <w:sz w:val="22"/>
                <w:szCs w:val="22"/>
              </w:rPr>
              <w:t>Objet:</w:t>
            </w:r>
            <w:proofErr w:type="gramEnd"/>
          </w:p>
        </w:tc>
        <w:tc>
          <w:tcPr>
            <w:tcW w:w="0" w:type="auto"/>
            <w:gridSpan w:val="2"/>
          </w:tcPr>
          <w:p w14:paraId="1A51EE75" w14:textId="7622A003" w:rsidR="00517A03" w:rsidRPr="000D24F6" w:rsidRDefault="00FA37CD" w:rsidP="0048088B">
            <w:pPr>
              <w:tabs>
                <w:tab w:val="left" w:pos="4111"/>
              </w:tabs>
              <w:spacing w:after="120"/>
              <w:ind w:left="57"/>
              <w:rPr>
                <w:rFonts w:cstheme="minorHAnsi"/>
                <w:b/>
                <w:bCs/>
                <w:sz w:val="22"/>
                <w:szCs w:val="22"/>
              </w:rPr>
            </w:pPr>
            <w:r w:rsidRPr="000D24F6">
              <w:rPr>
                <w:rFonts w:cstheme="minorHAnsi"/>
                <w:b/>
                <w:bCs/>
                <w:sz w:val="22"/>
                <w:szCs w:val="22"/>
              </w:rPr>
              <w:t>Forum sur la transformation numérique durable en Amérique latine (Saint</w:t>
            </w:r>
            <w:r w:rsidRPr="000D24F6">
              <w:rPr>
                <w:rFonts w:cstheme="minorHAnsi"/>
                <w:b/>
                <w:bCs/>
                <w:sz w:val="22"/>
                <w:szCs w:val="22"/>
              </w:rPr>
              <w:noBreakHyphen/>
              <w:t>Domingue, République dominicaine, 8 mai 2025)</w:t>
            </w:r>
          </w:p>
        </w:tc>
      </w:tr>
    </w:tbl>
    <w:p w14:paraId="2D1EC328" w14:textId="77777777" w:rsidR="00517A03" w:rsidRPr="000D24F6" w:rsidRDefault="00517A03" w:rsidP="000D24F6">
      <w:pPr>
        <w:rPr>
          <w:rFonts w:cstheme="minorHAnsi"/>
          <w:sz w:val="22"/>
          <w:szCs w:val="22"/>
        </w:rPr>
      </w:pPr>
      <w:bookmarkStart w:id="1" w:name="StartTyping_F"/>
      <w:bookmarkEnd w:id="1"/>
      <w:r w:rsidRPr="000D24F6">
        <w:rPr>
          <w:rFonts w:cstheme="minorHAnsi"/>
          <w:sz w:val="22"/>
          <w:szCs w:val="22"/>
        </w:rPr>
        <w:t>Madame, Monsieur,</w:t>
      </w:r>
    </w:p>
    <w:p w14:paraId="5FED1199" w14:textId="17D81890" w:rsidR="00FA37CD" w:rsidRPr="000D24F6" w:rsidRDefault="00FA37CD" w:rsidP="00FA37CD">
      <w:pPr>
        <w:rPr>
          <w:rFonts w:cstheme="minorHAnsi"/>
          <w:bCs/>
          <w:sz w:val="22"/>
          <w:szCs w:val="22"/>
        </w:rPr>
      </w:pPr>
      <w:r w:rsidRPr="000D24F6">
        <w:rPr>
          <w:rFonts w:cstheme="minorHAnsi"/>
          <w:bCs/>
          <w:sz w:val="22"/>
          <w:szCs w:val="22"/>
        </w:rPr>
        <w:t>1</w:t>
      </w:r>
      <w:r w:rsidRPr="000D24F6">
        <w:rPr>
          <w:rFonts w:cstheme="minorHAnsi"/>
          <w:bCs/>
          <w:sz w:val="22"/>
          <w:szCs w:val="22"/>
        </w:rPr>
        <w:tab/>
        <w:t xml:space="preserve">J'ai l'honneur de vous informer que l'Union internationale des télécommunications (UIT), en collaboration avec l'Institut dominicain des télécommunications (INDOTEL), la Commission technique régionale des télécommunications (COMTELCA) et la section de l'Internet Society (ISOC) en République dominicaine, organise le </w:t>
      </w:r>
      <w:r w:rsidRPr="000D24F6">
        <w:rPr>
          <w:rFonts w:cstheme="minorHAnsi"/>
          <w:b/>
          <w:sz w:val="22"/>
          <w:szCs w:val="22"/>
        </w:rPr>
        <w:t>Forum sur la transformation numérique durable en Amérique latine</w:t>
      </w:r>
      <w:r w:rsidRPr="000D24F6">
        <w:rPr>
          <w:rFonts w:cstheme="minorHAnsi"/>
          <w:bCs/>
          <w:sz w:val="22"/>
          <w:szCs w:val="22"/>
        </w:rPr>
        <w:t>, qui se déroulera le 8 mai 2025. Le Forum se tiendra au Centre Indotel, bâtiment René del Risco Bermúdez, à Saint</w:t>
      </w:r>
      <w:r w:rsidR="00DC5F94" w:rsidRPr="000D24F6">
        <w:rPr>
          <w:rFonts w:cstheme="minorHAnsi"/>
          <w:bCs/>
          <w:sz w:val="22"/>
          <w:szCs w:val="22"/>
        </w:rPr>
        <w:t>-</w:t>
      </w:r>
      <w:r w:rsidRPr="000D24F6">
        <w:rPr>
          <w:rFonts w:cstheme="minorHAnsi"/>
          <w:bCs/>
          <w:sz w:val="22"/>
          <w:szCs w:val="22"/>
        </w:rPr>
        <w:t>Domingue (République dominicaine), à l'aimable invitation d'INDOTEL.</w:t>
      </w:r>
    </w:p>
    <w:p w14:paraId="24C90F53" w14:textId="043AF06D" w:rsidR="00FA37CD" w:rsidRPr="000D24F6" w:rsidRDefault="00FA37CD" w:rsidP="00FA37CD">
      <w:pPr>
        <w:rPr>
          <w:rFonts w:cstheme="minorHAnsi"/>
          <w:bCs/>
          <w:sz w:val="22"/>
          <w:szCs w:val="22"/>
        </w:rPr>
      </w:pPr>
      <w:r w:rsidRPr="000D24F6">
        <w:rPr>
          <w:rFonts w:cstheme="minorHAnsi"/>
          <w:bCs/>
          <w:sz w:val="22"/>
          <w:szCs w:val="22"/>
        </w:rPr>
        <w:t>2</w:t>
      </w:r>
      <w:r w:rsidRPr="000D24F6">
        <w:rPr>
          <w:rFonts w:cstheme="minorHAnsi"/>
          <w:bCs/>
          <w:sz w:val="22"/>
          <w:szCs w:val="22"/>
        </w:rPr>
        <w:tab/>
        <w:t>Le Forum se tiendra en parallèle de la réunion du Groupe régional de la Commission d'études 5 de l'UIT-T pour l'Amérique latine (SG5RG-LATAM), de la réunion du Groupe régional de la Commission d'études 20 de l'UIT-T pour l'Amérique latine (SG20RG-LATAM) et de l'initiative "INDOTEL</w:t>
      </w:r>
      <w:r w:rsidR="00F15630" w:rsidRPr="000D24F6">
        <w:rPr>
          <w:rFonts w:cstheme="minorHAnsi"/>
          <w:bCs/>
          <w:sz w:val="22"/>
          <w:szCs w:val="22"/>
        </w:rPr>
        <w:t> </w:t>
      </w:r>
      <w:r w:rsidRPr="000D24F6">
        <w:rPr>
          <w:rFonts w:cstheme="minorHAnsi"/>
          <w:bCs/>
          <w:sz w:val="22"/>
          <w:szCs w:val="22"/>
        </w:rPr>
        <w:t>4.0", qui auront lieu du 6 au 8 mai 2025.</w:t>
      </w:r>
    </w:p>
    <w:p w14:paraId="505D967A" w14:textId="4E70EB38" w:rsidR="00FA37CD" w:rsidRPr="000D24F6" w:rsidRDefault="00FA37CD" w:rsidP="00FA37CD">
      <w:pPr>
        <w:rPr>
          <w:rFonts w:cstheme="minorHAnsi"/>
          <w:bCs/>
          <w:sz w:val="22"/>
          <w:szCs w:val="22"/>
        </w:rPr>
      </w:pPr>
      <w:r w:rsidRPr="000D24F6">
        <w:rPr>
          <w:rFonts w:cstheme="minorHAnsi"/>
          <w:bCs/>
          <w:sz w:val="22"/>
          <w:szCs w:val="22"/>
        </w:rPr>
        <w:t>3</w:t>
      </w:r>
      <w:r w:rsidRPr="000D24F6">
        <w:rPr>
          <w:rFonts w:cstheme="minorHAnsi"/>
          <w:bCs/>
          <w:sz w:val="22"/>
          <w:szCs w:val="22"/>
        </w:rPr>
        <w:tab/>
        <w:t>Le Forum sur la transformation numérique durable en Amérique latine réunira des précurseurs, des spécialistes et des acteurs du changement qui se pencheront sur les moyens d'accélérer la transformation numérique dans la région.</w:t>
      </w:r>
    </w:p>
    <w:p w14:paraId="3162B06C" w14:textId="368905B2" w:rsidR="00FA37CD" w:rsidRPr="000D24F6" w:rsidRDefault="00FA37CD" w:rsidP="00FA37CD">
      <w:pPr>
        <w:rPr>
          <w:rFonts w:cstheme="minorHAnsi"/>
          <w:bCs/>
          <w:sz w:val="22"/>
          <w:szCs w:val="22"/>
        </w:rPr>
      </w:pPr>
      <w:r w:rsidRPr="000D24F6">
        <w:rPr>
          <w:rFonts w:cstheme="minorHAnsi"/>
          <w:bCs/>
          <w:sz w:val="22"/>
          <w:szCs w:val="22"/>
        </w:rPr>
        <w:t xml:space="preserve">L'un des points forts du </w:t>
      </w:r>
      <w:r w:rsidR="00DC5F94" w:rsidRPr="000D24F6">
        <w:rPr>
          <w:rFonts w:cstheme="minorHAnsi"/>
          <w:bCs/>
          <w:sz w:val="22"/>
          <w:szCs w:val="22"/>
        </w:rPr>
        <w:t>F</w:t>
      </w:r>
      <w:r w:rsidRPr="000D24F6">
        <w:rPr>
          <w:rFonts w:cstheme="minorHAnsi"/>
          <w:bCs/>
          <w:sz w:val="22"/>
          <w:szCs w:val="22"/>
        </w:rPr>
        <w:t xml:space="preserve">orum sera une session interactive consacrée au rôle que peuvent jouer les technologies en tant que puissant catalyseur de la transformation numérique dans une optique de développement durable. Lors du Forum, les participants examineront les stratégies et les normes visant à réduire l'empreinte environnementale du secteur des TIC </w:t>
      </w:r>
      <w:r w:rsidR="00F15630" w:rsidRPr="000D24F6">
        <w:rPr>
          <w:rFonts w:cstheme="minorHAnsi"/>
          <w:bCs/>
          <w:sz w:val="22"/>
          <w:szCs w:val="22"/>
        </w:rPr>
        <w:t>–</w:t>
      </w:r>
      <w:r w:rsidRPr="000D24F6">
        <w:rPr>
          <w:rFonts w:cstheme="minorHAnsi"/>
          <w:bCs/>
          <w:sz w:val="22"/>
          <w:szCs w:val="22"/>
        </w:rPr>
        <w:t xml:space="preserve"> de la consommation d'énergie aux émissions de gaz à effet de serre </w:t>
      </w:r>
      <w:r w:rsidR="00F15630" w:rsidRPr="000D24F6">
        <w:rPr>
          <w:rFonts w:cstheme="minorHAnsi"/>
          <w:bCs/>
          <w:sz w:val="22"/>
          <w:szCs w:val="22"/>
        </w:rPr>
        <w:t>–</w:t>
      </w:r>
      <w:r w:rsidRPr="000D24F6">
        <w:rPr>
          <w:rFonts w:cstheme="minorHAnsi"/>
          <w:bCs/>
          <w:sz w:val="22"/>
          <w:szCs w:val="22"/>
        </w:rPr>
        <w:t xml:space="preserve"> et aborderont les conséquences de l'intelligence artificielle qui prennent de plus en plus d'ampleur.</w:t>
      </w:r>
    </w:p>
    <w:p w14:paraId="3216DA81" w14:textId="0191390E" w:rsidR="00FA37CD" w:rsidRPr="000D24F6" w:rsidRDefault="00FA37CD" w:rsidP="00FA37CD">
      <w:pPr>
        <w:rPr>
          <w:rFonts w:cstheme="minorHAnsi"/>
          <w:bCs/>
          <w:sz w:val="22"/>
          <w:szCs w:val="22"/>
        </w:rPr>
      </w:pPr>
      <w:r w:rsidRPr="000D24F6">
        <w:rPr>
          <w:rFonts w:cstheme="minorHAnsi"/>
          <w:bCs/>
          <w:sz w:val="22"/>
          <w:szCs w:val="22"/>
        </w:rPr>
        <w:t>Les participants découvriront des initiatives pionnières sur des sujets comme les bases de données d'émissions par secteur, des solutions circulaires pour la gestion des déchets d'équipements électriques et électroniques et des exemples concrets de villes intelligentes et durables, en mettant l'accent sur la mise en œuvre des indicateurs fondamentaux de performance (IFP) établis dans le cadre de l'initiative "Tous unis pour des villes intelligentes et durables" (U4SSC). Le Forum sera également l'occasion de mettre en avant le potentiel de transformation de l'agriculture intelligente et le rôle essentiel des universités dans l'élaboration de solutions numériques inclusives favorables à la durabilité.</w:t>
      </w:r>
    </w:p>
    <w:p w14:paraId="31C95457" w14:textId="7D28C549" w:rsidR="00FA37CD" w:rsidRPr="000D24F6" w:rsidRDefault="00FA37CD" w:rsidP="00FA37CD">
      <w:pPr>
        <w:rPr>
          <w:rFonts w:cstheme="minorHAnsi"/>
          <w:bCs/>
          <w:sz w:val="22"/>
          <w:szCs w:val="22"/>
        </w:rPr>
      </w:pPr>
      <w:r w:rsidRPr="000D24F6">
        <w:rPr>
          <w:rFonts w:cstheme="minorHAnsi"/>
          <w:bCs/>
          <w:sz w:val="22"/>
          <w:szCs w:val="22"/>
        </w:rPr>
        <w:lastRenderedPageBreak/>
        <w:t>4</w:t>
      </w:r>
      <w:r w:rsidRPr="000D24F6">
        <w:rPr>
          <w:rFonts w:cstheme="minorHAnsi"/>
          <w:bCs/>
          <w:sz w:val="22"/>
          <w:szCs w:val="22"/>
        </w:rPr>
        <w:tab/>
        <w:t>Le Forum sur la transformation numérique durable en Amérique latine se déroulera en espagnol et un service d'interprétation en anglais sera assuré.</w:t>
      </w:r>
    </w:p>
    <w:p w14:paraId="13B56067" w14:textId="20258E03" w:rsidR="00FA37CD" w:rsidRPr="000D24F6" w:rsidRDefault="00FA37CD" w:rsidP="00FA37CD">
      <w:pPr>
        <w:rPr>
          <w:rFonts w:cstheme="minorHAnsi"/>
          <w:bCs/>
          <w:sz w:val="22"/>
          <w:szCs w:val="22"/>
        </w:rPr>
      </w:pPr>
      <w:r w:rsidRPr="000D24F6">
        <w:rPr>
          <w:rFonts w:cstheme="minorHAnsi"/>
          <w:bCs/>
          <w:sz w:val="22"/>
          <w:szCs w:val="22"/>
        </w:rPr>
        <w:t>5</w:t>
      </w:r>
      <w:r w:rsidRPr="000D24F6">
        <w:rPr>
          <w:rFonts w:cstheme="minorHAnsi"/>
          <w:bCs/>
          <w:sz w:val="22"/>
          <w:szCs w:val="22"/>
        </w:rPr>
        <w:tab/>
        <w:t>La manifestation réunira des décideurs, des dirigeants d'entreprise et des spécialistes du secteur privé de haut rang, ainsi que des représentants de la région Amérique latine, d'autres organisations du système des Nations Unies, d'établissements universitaires, de la société civile, d'autres organisations régionales, d'organisations non gouvernementales, du secteur privé et d'autres acteurs concernés du monde entier. La participation est gratuite et ouverte à toutes les parties prenantes intéressées, notamment les États Membres, les Membres de Secteur, les Associés de l'UIT et les établissements universitaires participant aux travaux de l'UIT, ainsi qu'à toute personne issue d'un pays membre de l'UIT qui souhaite contribuer aux travaux.</w:t>
      </w:r>
    </w:p>
    <w:p w14:paraId="30401E3E" w14:textId="31F9558A" w:rsidR="00FA37CD" w:rsidRPr="000D24F6" w:rsidRDefault="00FA37CD" w:rsidP="00FA37CD">
      <w:pPr>
        <w:rPr>
          <w:rFonts w:cstheme="minorHAnsi"/>
          <w:bCs/>
          <w:sz w:val="22"/>
          <w:szCs w:val="22"/>
        </w:rPr>
      </w:pPr>
      <w:r w:rsidRPr="000D24F6">
        <w:rPr>
          <w:rFonts w:cstheme="minorHAnsi"/>
          <w:bCs/>
          <w:sz w:val="22"/>
          <w:szCs w:val="22"/>
        </w:rPr>
        <w:t>6</w:t>
      </w:r>
      <w:r w:rsidRPr="000D24F6">
        <w:rPr>
          <w:rFonts w:cstheme="minorHAnsi"/>
          <w:bCs/>
          <w:sz w:val="22"/>
          <w:szCs w:val="22"/>
        </w:rPr>
        <w:tab/>
        <w:t xml:space="preserve">Toutes les informations utiles concernant le Forum sur la transformation numérique durable en Amérique latine (projets de programme, intervenants, liens pour l'inscription, modalités de connexion à distance) seront mises à disposition sur le site web de la manifestation, à l'adresse </w:t>
      </w:r>
      <w:proofErr w:type="gramStart"/>
      <w:r w:rsidRPr="000D24F6">
        <w:rPr>
          <w:rFonts w:cstheme="minorHAnsi"/>
          <w:bCs/>
          <w:sz w:val="22"/>
          <w:szCs w:val="22"/>
        </w:rPr>
        <w:t>suivante:</w:t>
      </w:r>
      <w:proofErr w:type="gramEnd"/>
      <w:r w:rsidRPr="000D24F6">
        <w:rPr>
          <w:rFonts w:cstheme="minorHAnsi"/>
          <w:bCs/>
          <w:sz w:val="22"/>
          <w:szCs w:val="22"/>
        </w:rPr>
        <w:t xml:space="preserve"> </w:t>
      </w:r>
      <w:hyperlink r:id="rId11" w:history="1">
        <w:r w:rsidRPr="000D24F6">
          <w:rPr>
            <w:rStyle w:val="Hyperlink"/>
            <w:rFonts w:cstheme="minorHAnsi"/>
            <w:bCs/>
            <w:sz w:val="22"/>
            <w:szCs w:val="22"/>
          </w:rPr>
          <w:t>http://itu.int/go/SDT-LATAM</w:t>
        </w:r>
      </w:hyperlink>
      <w:r w:rsidRPr="000D24F6">
        <w:rPr>
          <w:rFonts w:cstheme="minorHAnsi"/>
          <w:bCs/>
          <w:sz w:val="22"/>
          <w:szCs w:val="22"/>
        </w:rPr>
        <w:t>.</w:t>
      </w:r>
    </w:p>
    <w:p w14:paraId="26D50DA9" w14:textId="455367C6" w:rsidR="00FA37CD" w:rsidRPr="000D24F6" w:rsidRDefault="00FA37CD" w:rsidP="00FA37CD">
      <w:pPr>
        <w:rPr>
          <w:rFonts w:cstheme="minorHAnsi"/>
          <w:bCs/>
          <w:sz w:val="22"/>
          <w:szCs w:val="22"/>
        </w:rPr>
      </w:pPr>
      <w:r w:rsidRPr="000D24F6">
        <w:rPr>
          <w:rFonts w:cstheme="minorHAnsi"/>
          <w:bCs/>
          <w:sz w:val="22"/>
          <w:szCs w:val="22"/>
        </w:rPr>
        <w:t>Ce site web sera actualisé à intervalles réguliers, à mesure que parviendront des informations nouvelles ou modifiées. Les participants sont priés de consulter régulièrement le site pour prendre connaissance des informations les plus récentes.</w:t>
      </w:r>
    </w:p>
    <w:p w14:paraId="5679DDC4" w14:textId="7EE2A6B9" w:rsidR="00FA37CD" w:rsidRPr="000D24F6" w:rsidRDefault="00FA37CD" w:rsidP="00FA37CD">
      <w:pPr>
        <w:rPr>
          <w:rFonts w:cstheme="minorHAnsi"/>
          <w:bCs/>
          <w:sz w:val="22"/>
          <w:szCs w:val="22"/>
        </w:rPr>
      </w:pPr>
      <w:r w:rsidRPr="000D24F6">
        <w:rPr>
          <w:rFonts w:cstheme="minorHAnsi"/>
          <w:bCs/>
          <w:sz w:val="22"/>
          <w:szCs w:val="22"/>
        </w:rPr>
        <w:t>7</w:t>
      </w:r>
      <w:r w:rsidRPr="000D24F6">
        <w:rPr>
          <w:rFonts w:cstheme="minorHAnsi"/>
          <w:bCs/>
          <w:sz w:val="22"/>
          <w:szCs w:val="22"/>
        </w:rPr>
        <w:tab/>
        <w:t xml:space="preserve">Veuillez noter que l'inscription en ligne est obligatoire pour tous les participants. De plus amples informations sur l'inscription seront mises à disposition à l'adresse </w:t>
      </w:r>
      <w:proofErr w:type="gramStart"/>
      <w:r w:rsidRPr="000D24F6">
        <w:rPr>
          <w:rFonts w:cstheme="minorHAnsi"/>
          <w:bCs/>
          <w:sz w:val="22"/>
          <w:szCs w:val="22"/>
        </w:rPr>
        <w:t>suivante:</w:t>
      </w:r>
      <w:proofErr w:type="gramEnd"/>
      <w:r w:rsidRPr="000D24F6">
        <w:rPr>
          <w:rFonts w:cstheme="minorHAnsi"/>
          <w:bCs/>
          <w:sz w:val="22"/>
          <w:szCs w:val="22"/>
        </w:rPr>
        <w:t xml:space="preserve"> </w:t>
      </w:r>
      <w:hyperlink r:id="rId12" w:history="1">
        <w:r w:rsidRPr="000D24F6">
          <w:rPr>
            <w:rStyle w:val="Hyperlink"/>
            <w:rFonts w:cstheme="minorHAnsi"/>
            <w:bCs/>
            <w:sz w:val="22"/>
            <w:szCs w:val="22"/>
          </w:rPr>
          <w:t>http://itu.int/</w:t>
        </w:r>
        <w:r w:rsidRPr="000D24F6">
          <w:rPr>
            <w:rStyle w:val="Hyperlink"/>
            <w:rFonts w:cstheme="minorHAnsi"/>
            <w:bCs/>
            <w:sz w:val="22"/>
            <w:szCs w:val="22"/>
          </w:rPr>
          <w:t>g</w:t>
        </w:r>
        <w:r w:rsidRPr="000D24F6">
          <w:rPr>
            <w:rStyle w:val="Hyperlink"/>
            <w:rFonts w:cstheme="minorHAnsi"/>
            <w:bCs/>
            <w:sz w:val="22"/>
            <w:szCs w:val="22"/>
          </w:rPr>
          <w:t>o/SDT-LATAM</w:t>
        </w:r>
      </w:hyperlink>
      <w:r w:rsidRPr="000D24F6">
        <w:rPr>
          <w:rFonts w:cstheme="minorHAnsi"/>
          <w:bCs/>
          <w:sz w:val="22"/>
          <w:szCs w:val="22"/>
        </w:rPr>
        <w:t>.</w:t>
      </w:r>
    </w:p>
    <w:p w14:paraId="1C3D8C16" w14:textId="167CB80D" w:rsidR="00FA37CD" w:rsidRPr="000D24F6" w:rsidRDefault="00FA37CD" w:rsidP="00FA37CD">
      <w:pPr>
        <w:rPr>
          <w:rFonts w:cstheme="minorHAnsi"/>
          <w:bCs/>
          <w:sz w:val="22"/>
          <w:szCs w:val="22"/>
        </w:rPr>
      </w:pPr>
      <w:r w:rsidRPr="000D24F6">
        <w:rPr>
          <w:rFonts w:cstheme="minorHAnsi"/>
          <w:bCs/>
          <w:sz w:val="22"/>
          <w:szCs w:val="22"/>
        </w:rPr>
        <w:t>8</w:t>
      </w:r>
      <w:r w:rsidRPr="000D24F6">
        <w:rPr>
          <w:rFonts w:cstheme="minorHAnsi"/>
          <w:bCs/>
          <w:sz w:val="22"/>
          <w:szCs w:val="22"/>
        </w:rPr>
        <w:tab/>
      </w:r>
      <w:r w:rsidRPr="000D24F6">
        <w:rPr>
          <w:rFonts w:cstheme="minorHAnsi"/>
          <w:b/>
          <w:sz w:val="22"/>
          <w:szCs w:val="22"/>
        </w:rPr>
        <w:t>Veuillez noter que l'inscription est également obligatoire pour les réunions des Groupes régionaux</w:t>
      </w:r>
      <w:r w:rsidRPr="000D24F6">
        <w:rPr>
          <w:rFonts w:cstheme="minorHAnsi"/>
          <w:bCs/>
          <w:sz w:val="22"/>
          <w:szCs w:val="22"/>
        </w:rPr>
        <w:t xml:space="preserve">. Pour plus d'informations sur les réunions des Groupes régionaux, veuillez consulter leurs sites web </w:t>
      </w:r>
      <w:proofErr w:type="gramStart"/>
      <w:r w:rsidRPr="000D24F6">
        <w:rPr>
          <w:rFonts w:cstheme="minorHAnsi"/>
          <w:bCs/>
          <w:sz w:val="22"/>
          <w:szCs w:val="22"/>
        </w:rPr>
        <w:t>respectifs:</w:t>
      </w:r>
      <w:proofErr w:type="gramEnd"/>
      <w:r w:rsidRPr="000D24F6">
        <w:rPr>
          <w:rFonts w:cstheme="minorHAnsi"/>
          <w:bCs/>
          <w:sz w:val="22"/>
          <w:szCs w:val="22"/>
        </w:rPr>
        <w:t xml:space="preserve"> </w:t>
      </w:r>
      <w:hyperlink r:id="rId13" w:history="1">
        <w:r w:rsidRPr="000D24F6">
          <w:rPr>
            <w:rStyle w:val="Hyperlink"/>
            <w:rFonts w:cstheme="minorHAnsi"/>
            <w:bCs/>
            <w:sz w:val="22"/>
            <w:szCs w:val="22"/>
          </w:rPr>
          <w:t>SG5RG-LAT</w:t>
        </w:r>
        <w:r w:rsidRPr="000D24F6">
          <w:rPr>
            <w:rStyle w:val="Hyperlink"/>
            <w:rFonts w:cstheme="minorHAnsi"/>
            <w:bCs/>
            <w:sz w:val="22"/>
            <w:szCs w:val="22"/>
          </w:rPr>
          <w:t>A</w:t>
        </w:r>
        <w:r w:rsidRPr="000D24F6">
          <w:rPr>
            <w:rStyle w:val="Hyperlink"/>
            <w:rFonts w:cstheme="minorHAnsi"/>
            <w:bCs/>
            <w:sz w:val="22"/>
            <w:szCs w:val="22"/>
          </w:rPr>
          <w:t>M</w:t>
        </w:r>
      </w:hyperlink>
      <w:r w:rsidRPr="000D24F6">
        <w:rPr>
          <w:rFonts w:cstheme="minorHAnsi"/>
          <w:bCs/>
          <w:sz w:val="22"/>
          <w:szCs w:val="22"/>
        </w:rPr>
        <w:t xml:space="preserve"> et </w:t>
      </w:r>
      <w:hyperlink r:id="rId14" w:history="1">
        <w:r w:rsidRPr="000D24F6">
          <w:rPr>
            <w:rStyle w:val="Hyperlink"/>
            <w:rFonts w:cstheme="minorHAnsi"/>
            <w:bCs/>
            <w:sz w:val="22"/>
            <w:szCs w:val="22"/>
          </w:rPr>
          <w:t>SG20RG-LA</w:t>
        </w:r>
        <w:r w:rsidRPr="000D24F6">
          <w:rPr>
            <w:rStyle w:val="Hyperlink"/>
            <w:rFonts w:cstheme="minorHAnsi"/>
            <w:bCs/>
            <w:sz w:val="22"/>
            <w:szCs w:val="22"/>
          </w:rPr>
          <w:t>T</w:t>
        </w:r>
        <w:r w:rsidRPr="000D24F6">
          <w:rPr>
            <w:rStyle w:val="Hyperlink"/>
            <w:rFonts w:cstheme="minorHAnsi"/>
            <w:bCs/>
            <w:sz w:val="22"/>
            <w:szCs w:val="22"/>
          </w:rPr>
          <w:t>AM</w:t>
        </w:r>
      </w:hyperlink>
      <w:r w:rsidRPr="000D24F6">
        <w:rPr>
          <w:rFonts w:cstheme="minorHAnsi"/>
          <w:bCs/>
          <w:sz w:val="22"/>
          <w:szCs w:val="22"/>
        </w:rPr>
        <w:t xml:space="preserve">. Les réunions des Groupes régionaux seront réservées aux délégués et aux représentants des États Membres, des Membres de Secteur et des Associés de la Commission d'études 5 et de la Commission d'études 20 de l'UIT-T de la région, conformément aux points 4 à 6 du </w:t>
      </w:r>
      <w:r w:rsidRPr="000D24F6">
        <w:rPr>
          <w:rFonts w:cstheme="minorHAnsi"/>
          <w:bCs/>
          <w:i/>
          <w:iCs/>
          <w:sz w:val="22"/>
          <w:szCs w:val="22"/>
        </w:rPr>
        <w:t>décide</w:t>
      </w:r>
      <w:r w:rsidRPr="000D24F6">
        <w:rPr>
          <w:rFonts w:cstheme="minorHAnsi"/>
          <w:bCs/>
          <w:sz w:val="22"/>
          <w:szCs w:val="22"/>
        </w:rPr>
        <w:t xml:space="preserve"> de la </w:t>
      </w:r>
      <w:hyperlink r:id="rId15" w:history="1">
        <w:r w:rsidRPr="000D24F6">
          <w:rPr>
            <w:rStyle w:val="Hyperlink"/>
            <w:rFonts w:cstheme="minorHAnsi"/>
            <w:bCs/>
            <w:sz w:val="22"/>
            <w:szCs w:val="22"/>
          </w:rPr>
          <w:t xml:space="preserve">Résolution 54 (Rév. </w:t>
        </w:r>
        <w:r w:rsidRPr="000D24F6">
          <w:rPr>
            <w:rStyle w:val="Hyperlink"/>
            <w:rFonts w:cstheme="minorHAnsi"/>
            <w:bCs/>
            <w:sz w:val="22"/>
            <w:szCs w:val="22"/>
          </w:rPr>
          <w:t>N</w:t>
        </w:r>
        <w:r w:rsidRPr="000D24F6">
          <w:rPr>
            <w:rStyle w:val="Hyperlink"/>
            <w:rFonts w:cstheme="minorHAnsi"/>
            <w:bCs/>
            <w:sz w:val="22"/>
            <w:szCs w:val="22"/>
          </w:rPr>
          <w:t>ew Dehli, 2024) de l'AMNT</w:t>
        </w:r>
      </w:hyperlink>
      <w:r w:rsidRPr="000D24F6">
        <w:rPr>
          <w:rFonts w:cstheme="minorHAnsi"/>
          <w:bCs/>
          <w:sz w:val="22"/>
          <w:szCs w:val="22"/>
        </w:rPr>
        <w:t>.</w:t>
      </w:r>
    </w:p>
    <w:p w14:paraId="46F2C3C2" w14:textId="22FCB79A" w:rsidR="00307FB4" w:rsidRPr="000D24F6" w:rsidRDefault="00FA37CD" w:rsidP="00FA37CD">
      <w:pPr>
        <w:rPr>
          <w:rFonts w:cstheme="minorHAnsi"/>
          <w:bCs/>
          <w:sz w:val="22"/>
          <w:szCs w:val="22"/>
        </w:rPr>
      </w:pPr>
      <w:r w:rsidRPr="000D24F6">
        <w:rPr>
          <w:rFonts w:cstheme="minorHAnsi"/>
          <w:bCs/>
          <w:sz w:val="22"/>
          <w:szCs w:val="22"/>
        </w:rPr>
        <w:t>9</w:t>
      </w:r>
      <w:r w:rsidRPr="000D24F6">
        <w:rPr>
          <w:rFonts w:cstheme="minorHAnsi"/>
          <w:bCs/>
          <w:sz w:val="22"/>
          <w:szCs w:val="22"/>
        </w:rPr>
        <w:tab/>
        <w:t>Nous vous rappelons que pour les ressortissants de certains pays, l'entrée et le séjour sur le territoire de la République dominicaine sont soumis à l'obtention d'un visa. Ce visa doit être demandé et obtenu auprès de la représentation de la République dominicaine (ambassade ou consulat) dans votre pays ou, à défaut, dans le pays le plus proche de votre pays de départ. Étant</w:t>
      </w:r>
      <w:r w:rsidR="00F15630" w:rsidRPr="000D24F6">
        <w:rPr>
          <w:rFonts w:cstheme="minorHAnsi"/>
          <w:bCs/>
          <w:sz w:val="22"/>
          <w:szCs w:val="22"/>
        </w:rPr>
        <w:t> </w:t>
      </w:r>
      <w:r w:rsidRPr="000D24F6">
        <w:rPr>
          <w:rFonts w:cstheme="minorHAnsi"/>
          <w:bCs/>
          <w:sz w:val="22"/>
          <w:szCs w:val="22"/>
        </w:rPr>
        <w:t>donné que le traitement des demandes de visa et la délivrance des visas peuvent prendre un certain temps, nous vous suggérons de vous renseigner directement auprès de la représentation concernée et de formuler votre demande au plus tôt.</w:t>
      </w:r>
    </w:p>
    <w:p w14:paraId="3A296738" w14:textId="333F06C5" w:rsidR="00B60868" w:rsidRPr="000D24F6" w:rsidRDefault="00307FB4" w:rsidP="000D24F6">
      <w:pPr>
        <w:rPr>
          <w:rFonts w:cstheme="minorHAnsi"/>
          <w:bCs/>
          <w:sz w:val="22"/>
          <w:szCs w:val="22"/>
        </w:rPr>
      </w:pPr>
      <w:r w:rsidRPr="000D24F6">
        <w:rPr>
          <w:rFonts w:cstheme="minorHAnsi"/>
          <w:bCs/>
          <w:sz w:val="22"/>
          <w:szCs w:val="22"/>
        </w:rPr>
        <w:t>Veuillez agréer, Madame, Monsieur, l'assurance de ma considération distinguée.</w:t>
      </w:r>
    </w:p>
    <w:p w14:paraId="558FB742" w14:textId="49C202BB" w:rsidR="002937DB" w:rsidRPr="000D24F6" w:rsidRDefault="001B658F" w:rsidP="000D24F6">
      <w:pPr>
        <w:spacing w:before="840"/>
        <w:rPr>
          <w:rFonts w:cstheme="minorHAnsi"/>
          <w:bCs/>
          <w:sz w:val="22"/>
          <w:szCs w:val="22"/>
        </w:rPr>
      </w:pPr>
      <w:r>
        <w:rPr>
          <w:rFonts w:cstheme="minorHAnsi"/>
          <w:bCs/>
          <w:noProof/>
          <w:sz w:val="22"/>
          <w:szCs w:val="22"/>
        </w:rPr>
        <w:drawing>
          <wp:anchor distT="0" distB="0" distL="114300" distR="114300" simplePos="0" relativeHeight="251658240" behindDoc="0" locked="0" layoutInCell="1" allowOverlap="1" wp14:anchorId="3C77EC13" wp14:editId="32EFA7A3">
            <wp:simplePos x="0" y="0"/>
            <wp:positionH relativeFrom="margin">
              <wp:align>left</wp:align>
            </wp:positionH>
            <wp:positionV relativeFrom="paragraph">
              <wp:posOffset>90170</wp:posOffset>
            </wp:positionV>
            <wp:extent cx="692150" cy="330200"/>
            <wp:effectExtent l="0" t="0" r="0" b="0"/>
            <wp:wrapNone/>
            <wp:docPr id="817333159"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333159" name="Picture 1" descr="A black text on a white background&#10;&#10;AI-generated content may be incorrect."/>
                    <pic:cNvPicPr/>
                  </pic:nvPicPr>
                  <pic:blipFill>
                    <a:blip r:embed="rId16">
                      <a:extLst>
                        <a:ext uri="{28A0092B-C50C-407E-A947-70E740481C1C}">
                          <a14:useLocalDpi xmlns:a14="http://schemas.microsoft.com/office/drawing/2010/main" val="0"/>
                        </a:ext>
                      </a:extLst>
                    </a:blip>
                    <a:stretch>
                      <a:fillRect/>
                    </a:stretch>
                  </pic:blipFill>
                  <pic:spPr>
                    <a:xfrm>
                      <a:off x="0" y="0"/>
                      <a:ext cx="692150" cy="330200"/>
                    </a:xfrm>
                    <a:prstGeom prst="rect">
                      <a:avLst/>
                    </a:prstGeom>
                  </pic:spPr>
                </pic:pic>
              </a:graphicData>
            </a:graphic>
          </wp:anchor>
        </w:drawing>
      </w:r>
      <w:r w:rsidR="00307FB4" w:rsidRPr="000D24F6">
        <w:rPr>
          <w:rFonts w:cstheme="minorHAnsi"/>
          <w:bCs/>
          <w:sz w:val="22"/>
          <w:szCs w:val="22"/>
        </w:rPr>
        <w:t>Seizo Onoe</w:t>
      </w:r>
      <w:r w:rsidR="00B60868" w:rsidRPr="000D24F6">
        <w:rPr>
          <w:rFonts w:cstheme="minorHAnsi"/>
          <w:bCs/>
          <w:sz w:val="22"/>
          <w:szCs w:val="22"/>
        </w:rPr>
        <w:br/>
      </w:r>
      <w:r w:rsidR="00307FB4" w:rsidRPr="000D24F6">
        <w:rPr>
          <w:rFonts w:cstheme="minorHAnsi"/>
          <w:bCs/>
          <w:sz w:val="22"/>
          <w:szCs w:val="22"/>
        </w:rPr>
        <w:t>Directeur du Bureau de la normalisation</w:t>
      </w:r>
      <w:r w:rsidR="00B60868" w:rsidRPr="000D24F6">
        <w:rPr>
          <w:rFonts w:cstheme="minorHAnsi"/>
          <w:bCs/>
          <w:sz w:val="22"/>
          <w:szCs w:val="22"/>
        </w:rPr>
        <w:br/>
      </w:r>
      <w:r w:rsidR="00307FB4" w:rsidRPr="000D24F6">
        <w:rPr>
          <w:rFonts w:cstheme="minorHAnsi"/>
          <w:bCs/>
          <w:sz w:val="22"/>
          <w:szCs w:val="22"/>
        </w:rPr>
        <w:t>des télécommunications</w:t>
      </w:r>
    </w:p>
    <w:sectPr w:rsidR="002937DB" w:rsidRPr="000D24F6" w:rsidSect="00A15179">
      <w:headerReference w:type="default" r:id="rId17"/>
      <w:footerReference w:type="first" r:id="rId18"/>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87419" w14:textId="77777777" w:rsidR="004419E9" w:rsidRDefault="004419E9">
      <w:r>
        <w:separator/>
      </w:r>
    </w:p>
  </w:endnote>
  <w:endnote w:type="continuationSeparator" w:id="0">
    <w:p w14:paraId="31479BA6" w14:textId="77777777" w:rsidR="004419E9" w:rsidRDefault="00441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1A9C5" w14:textId="77777777"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t>Tél</w:t>
    </w:r>
    <w:r w:rsidR="00085F5A" w:rsidRPr="003E66AD">
      <w:rPr>
        <w:color w:val="0070C0"/>
        <w:sz w:val="18"/>
        <w:szCs w:val="18"/>
        <w:lang w:val="fr-CH"/>
      </w:rPr>
      <w:t>.</w:t>
    </w:r>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9D309" w14:textId="77777777" w:rsidR="004419E9" w:rsidRDefault="004419E9">
      <w:r>
        <w:t>____________________</w:t>
      </w:r>
    </w:p>
  </w:footnote>
  <w:footnote w:type="continuationSeparator" w:id="0">
    <w:p w14:paraId="5828E93A" w14:textId="77777777" w:rsidR="004419E9" w:rsidRDefault="00441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D5492" w14:textId="19AD00CF" w:rsidR="00697BC1" w:rsidRPr="00697BC1" w:rsidRDefault="001B658F"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sdtContent>
    </w:sdt>
    <w:r w:rsidR="00AF0D7D">
      <w:rPr>
        <w:noProof/>
        <w:sz w:val="18"/>
        <w:szCs w:val="16"/>
      </w:rPr>
      <w:br/>
      <w:t xml:space="preserve">Circulaire TSB </w:t>
    </w:r>
    <w:r w:rsidR="00FA37CD">
      <w:rPr>
        <w:noProof/>
        <w:sz w:val="18"/>
        <w:szCs w:val="16"/>
      </w:rPr>
      <w:t>40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65120867">
    <w:abstractNumId w:val="1"/>
  </w:num>
  <w:num w:numId="2" w16cid:durableId="2119984868">
    <w:abstractNumId w:val="3"/>
  </w:num>
  <w:num w:numId="3" w16cid:durableId="2075545744">
    <w:abstractNumId w:val="2"/>
  </w:num>
  <w:num w:numId="4" w16cid:durableId="1871449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9E9"/>
    <w:rsid w:val="000039EE"/>
    <w:rsid w:val="00005622"/>
    <w:rsid w:val="0002519E"/>
    <w:rsid w:val="00035B43"/>
    <w:rsid w:val="00036F4F"/>
    <w:rsid w:val="000758B3"/>
    <w:rsid w:val="00085F5A"/>
    <w:rsid w:val="000B0D96"/>
    <w:rsid w:val="000B59D8"/>
    <w:rsid w:val="000C1F6B"/>
    <w:rsid w:val="000C25CC"/>
    <w:rsid w:val="000C56BE"/>
    <w:rsid w:val="000D24F6"/>
    <w:rsid w:val="001026FD"/>
    <w:rsid w:val="001077FD"/>
    <w:rsid w:val="00115DD7"/>
    <w:rsid w:val="00167472"/>
    <w:rsid w:val="00167F92"/>
    <w:rsid w:val="00173738"/>
    <w:rsid w:val="001B658F"/>
    <w:rsid w:val="001B79A3"/>
    <w:rsid w:val="001C2430"/>
    <w:rsid w:val="002152A3"/>
    <w:rsid w:val="0023667A"/>
    <w:rsid w:val="002937DB"/>
    <w:rsid w:val="002E395D"/>
    <w:rsid w:val="00307FB4"/>
    <w:rsid w:val="003131F0"/>
    <w:rsid w:val="00333A80"/>
    <w:rsid w:val="00341117"/>
    <w:rsid w:val="00364E95"/>
    <w:rsid w:val="00372875"/>
    <w:rsid w:val="003742F8"/>
    <w:rsid w:val="003B1E80"/>
    <w:rsid w:val="003B66E8"/>
    <w:rsid w:val="003E66AD"/>
    <w:rsid w:val="004033F1"/>
    <w:rsid w:val="00414B0C"/>
    <w:rsid w:val="00423C21"/>
    <w:rsid w:val="004257AC"/>
    <w:rsid w:val="00433C82"/>
    <w:rsid w:val="0043711B"/>
    <w:rsid w:val="004419E9"/>
    <w:rsid w:val="00445B68"/>
    <w:rsid w:val="0048088B"/>
    <w:rsid w:val="004977C9"/>
    <w:rsid w:val="004B732E"/>
    <w:rsid w:val="004D51F4"/>
    <w:rsid w:val="004D64E0"/>
    <w:rsid w:val="005120A2"/>
    <w:rsid w:val="0051210D"/>
    <w:rsid w:val="005136D2"/>
    <w:rsid w:val="00517A03"/>
    <w:rsid w:val="005A3DD9"/>
    <w:rsid w:val="005B1DFC"/>
    <w:rsid w:val="00601682"/>
    <w:rsid w:val="00603470"/>
    <w:rsid w:val="006136DF"/>
    <w:rsid w:val="00625E79"/>
    <w:rsid w:val="006333F7"/>
    <w:rsid w:val="006427A1"/>
    <w:rsid w:val="00644741"/>
    <w:rsid w:val="00653132"/>
    <w:rsid w:val="00697BC1"/>
    <w:rsid w:val="006A6FFE"/>
    <w:rsid w:val="006C5A91"/>
    <w:rsid w:val="006D695C"/>
    <w:rsid w:val="006F52F7"/>
    <w:rsid w:val="00716BBC"/>
    <w:rsid w:val="007321BC"/>
    <w:rsid w:val="00760063"/>
    <w:rsid w:val="00775E4B"/>
    <w:rsid w:val="0079553B"/>
    <w:rsid w:val="00795679"/>
    <w:rsid w:val="007A40FE"/>
    <w:rsid w:val="00810105"/>
    <w:rsid w:val="008157E0"/>
    <w:rsid w:val="00850477"/>
    <w:rsid w:val="00854E1D"/>
    <w:rsid w:val="00887FA6"/>
    <w:rsid w:val="008C4397"/>
    <w:rsid w:val="008C465A"/>
    <w:rsid w:val="008F2C9B"/>
    <w:rsid w:val="00923CD6"/>
    <w:rsid w:val="00935AA8"/>
    <w:rsid w:val="00971C9A"/>
    <w:rsid w:val="009D51FA"/>
    <w:rsid w:val="009F1E23"/>
    <w:rsid w:val="00A15179"/>
    <w:rsid w:val="00A51537"/>
    <w:rsid w:val="00A5280F"/>
    <w:rsid w:val="00A5645A"/>
    <w:rsid w:val="00A60FC1"/>
    <w:rsid w:val="00A66643"/>
    <w:rsid w:val="00A97C37"/>
    <w:rsid w:val="00AA131B"/>
    <w:rsid w:val="00AC37B5"/>
    <w:rsid w:val="00AD752F"/>
    <w:rsid w:val="00AF08A4"/>
    <w:rsid w:val="00AF0D7D"/>
    <w:rsid w:val="00B27B41"/>
    <w:rsid w:val="00B34996"/>
    <w:rsid w:val="00B42659"/>
    <w:rsid w:val="00B46F2D"/>
    <w:rsid w:val="00B60868"/>
    <w:rsid w:val="00B8573E"/>
    <w:rsid w:val="00BB24C0"/>
    <w:rsid w:val="00BD6ECF"/>
    <w:rsid w:val="00C26F2E"/>
    <w:rsid w:val="00C302E3"/>
    <w:rsid w:val="00C41B89"/>
    <w:rsid w:val="00C45376"/>
    <w:rsid w:val="00C9028F"/>
    <w:rsid w:val="00CA0416"/>
    <w:rsid w:val="00CB1125"/>
    <w:rsid w:val="00CB4E80"/>
    <w:rsid w:val="00CD042E"/>
    <w:rsid w:val="00CF2560"/>
    <w:rsid w:val="00CF5B46"/>
    <w:rsid w:val="00D46B68"/>
    <w:rsid w:val="00D542A5"/>
    <w:rsid w:val="00DC3D47"/>
    <w:rsid w:val="00DC5F94"/>
    <w:rsid w:val="00DD77DA"/>
    <w:rsid w:val="00E06C61"/>
    <w:rsid w:val="00E13DB3"/>
    <w:rsid w:val="00E2408B"/>
    <w:rsid w:val="00E62CEA"/>
    <w:rsid w:val="00E72AE1"/>
    <w:rsid w:val="00ED6A7A"/>
    <w:rsid w:val="00EE4C36"/>
    <w:rsid w:val="00EF6A23"/>
    <w:rsid w:val="00F15630"/>
    <w:rsid w:val="00F346CE"/>
    <w:rsid w:val="00F34F98"/>
    <w:rsid w:val="00F40540"/>
    <w:rsid w:val="00F67402"/>
    <w:rsid w:val="00F766A2"/>
    <w:rsid w:val="00F9451D"/>
    <w:rsid w:val="00FA37C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4031F"/>
  <w15:docId w15:val="{C0C524F5-3929-45CC-8FD1-E984F510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UnresolvedMention">
    <w:name w:val="Unresolved Mention"/>
    <w:basedOn w:val="DefaultParagraphFont"/>
    <w:uiPriority w:val="99"/>
    <w:semiHidden/>
    <w:unhideWhenUsed/>
    <w:rsid w:val="00307FB4"/>
    <w:rPr>
      <w:color w:val="605E5C"/>
      <w:shd w:val="clear" w:color="auto" w:fill="E1DFDD"/>
    </w:rPr>
  </w:style>
  <w:style w:type="character" w:styleId="FollowedHyperlink">
    <w:name w:val="FollowedHyperlink"/>
    <w:basedOn w:val="DefaultParagraphFont"/>
    <w:semiHidden/>
    <w:unhideWhenUsed/>
    <w:rsid w:val="00307F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regionalgroups/sg05-latam/Pages/default.asp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go/SDT-LATA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cities/foro-sobre-transformacion-digital-sostenible-en-america-latina/" TargetMode="External"/><Relationship Id="rId5" Type="http://schemas.openxmlformats.org/officeDocument/2006/relationships/webSettings" Target="webSettings.xml"/><Relationship Id="rId15" Type="http://schemas.openxmlformats.org/officeDocument/2006/relationships/hyperlink" Target="https://www.itu.int/pub/T-RES-T.54-2024/fr" TargetMode="External"/><Relationship Id="rId10" Type="http://schemas.openxmlformats.org/officeDocument/2006/relationships/hyperlink" Target="mailto:tsbsg20@itu.i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sg5@itu.int" TargetMode="External"/><Relationship Id="rId14" Type="http://schemas.openxmlformats.org/officeDocument/2006/relationships/hyperlink" Target="https://www.itu.int/en/itu-t/regionalgroups/sg20-latam/Pages/default.asp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824F-16C0-45D0-B266-61AC5B6D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PF_TSB_Circular.dotx</Template>
  <TotalTime>39</TotalTime>
  <Pages>2</Pages>
  <Words>901</Words>
  <Characters>5834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6722</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Braud, Olivia</cp:lastModifiedBy>
  <cp:revision>7</cp:revision>
  <cp:lastPrinted>2025-04-02T13:29:00Z</cp:lastPrinted>
  <dcterms:created xsi:type="dcterms:W3CDTF">2025-03-31T09:40:00Z</dcterms:created>
  <dcterms:modified xsi:type="dcterms:W3CDTF">2025-04-02T13:30:00Z</dcterms:modified>
</cp:coreProperties>
</file>