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36"/>
        <w:tblW w:w="10304" w:type="dxa"/>
        <w:tblLayout w:type="fixed"/>
        <w:tblCellMar>
          <w:left w:w="0" w:type="dxa"/>
          <w:right w:w="0" w:type="dxa"/>
        </w:tblCellMar>
        <w:tblLook w:val="0000" w:firstRow="0" w:lastRow="0" w:firstColumn="0" w:lastColumn="0" w:noHBand="0" w:noVBand="0"/>
      </w:tblPr>
      <w:tblGrid>
        <w:gridCol w:w="1091"/>
        <w:gridCol w:w="417"/>
        <w:gridCol w:w="3467"/>
        <w:gridCol w:w="4745"/>
        <w:gridCol w:w="584"/>
      </w:tblGrid>
      <w:tr w:rsidR="004654B9" w14:paraId="64A1447F" w14:textId="77777777" w:rsidTr="004654B9">
        <w:trPr>
          <w:cantSplit/>
          <w:trHeight w:val="340"/>
        </w:trPr>
        <w:tc>
          <w:tcPr>
            <w:tcW w:w="1508" w:type="dxa"/>
            <w:gridSpan w:val="2"/>
          </w:tcPr>
          <w:p w14:paraId="2E3775C3" w14:textId="77777777" w:rsidR="004654B9" w:rsidRDefault="004654B9" w:rsidP="004654B9">
            <w:pPr>
              <w:tabs>
                <w:tab w:val="left" w:pos="4111"/>
              </w:tabs>
              <w:spacing w:before="10"/>
              <w:ind w:left="57"/>
              <w:rPr>
                <w:sz w:val="22"/>
              </w:rPr>
            </w:pPr>
            <w:bookmarkStart w:id="0" w:name="StartTyping_S"/>
            <w:bookmarkStart w:id="1" w:name="suitetext"/>
            <w:bookmarkStart w:id="2" w:name="text"/>
            <w:bookmarkEnd w:id="0"/>
            <w:bookmarkEnd w:id="1"/>
            <w:bookmarkEnd w:id="2"/>
            <w:r w:rsidRPr="00F1238A">
              <w:rPr>
                <w:noProof/>
                <w:lang w:val="en-US" w:eastAsia="zh-CN"/>
              </w:rPr>
              <w:drawing>
                <wp:inline distT="0" distB="0" distL="0" distR="0" wp14:anchorId="461C0B36" wp14:editId="3CE6FE3E">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3"/>
            <w:vAlign w:val="center"/>
          </w:tcPr>
          <w:p w14:paraId="20AD85F8" w14:textId="77777777" w:rsidR="004654B9" w:rsidRPr="00081FE5" w:rsidRDefault="004654B9" w:rsidP="004654B9">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3BF9438D" w14:textId="77777777" w:rsidR="004654B9" w:rsidRDefault="004654B9" w:rsidP="004654B9">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4654B9" w:rsidRPr="004654B9" w14:paraId="4A5477F9" w14:textId="77777777" w:rsidTr="004654B9">
        <w:trPr>
          <w:gridAfter w:val="1"/>
          <w:wAfter w:w="584" w:type="dxa"/>
          <w:cantSplit/>
          <w:trHeight w:val="330"/>
        </w:trPr>
        <w:tc>
          <w:tcPr>
            <w:tcW w:w="1091" w:type="dxa"/>
          </w:tcPr>
          <w:p w14:paraId="19CDB8E5" w14:textId="77777777" w:rsidR="004654B9" w:rsidRPr="004654B9" w:rsidRDefault="004654B9" w:rsidP="004654B9">
            <w:pPr>
              <w:tabs>
                <w:tab w:val="left" w:pos="4111"/>
              </w:tabs>
              <w:spacing w:before="10"/>
              <w:rPr>
                <w:b/>
                <w:bCs/>
                <w:sz w:val="22"/>
                <w:szCs w:val="22"/>
              </w:rPr>
            </w:pPr>
          </w:p>
        </w:tc>
        <w:tc>
          <w:tcPr>
            <w:tcW w:w="3884" w:type="dxa"/>
            <w:gridSpan w:val="2"/>
          </w:tcPr>
          <w:p w14:paraId="043AED3B" w14:textId="77777777" w:rsidR="004654B9" w:rsidRPr="004654B9" w:rsidRDefault="004654B9" w:rsidP="004654B9">
            <w:pPr>
              <w:tabs>
                <w:tab w:val="left" w:pos="4111"/>
              </w:tabs>
              <w:spacing w:before="0"/>
              <w:ind w:left="57"/>
              <w:rPr>
                <w:b/>
                <w:sz w:val="22"/>
                <w:szCs w:val="22"/>
              </w:rPr>
            </w:pPr>
          </w:p>
        </w:tc>
        <w:tc>
          <w:tcPr>
            <w:tcW w:w="4745" w:type="dxa"/>
          </w:tcPr>
          <w:p w14:paraId="63ABA136" w14:textId="77777777" w:rsidR="004654B9" w:rsidRPr="004654B9" w:rsidRDefault="004654B9" w:rsidP="004654B9">
            <w:pPr>
              <w:tabs>
                <w:tab w:val="clear" w:pos="794"/>
                <w:tab w:val="clear" w:pos="1191"/>
                <w:tab w:val="clear" w:pos="1588"/>
                <w:tab w:val="clear" w:pos="1985"/>
                <w:tab w:val="left" w:pos="284"/>
              </w:tabs>
              <w:spacing w:before="0" w:after="100"/>
              <w:ind w:left="288" w:hanging="230"/>
              <w:rPr>
                <w:sz w:val="22"/>
                <w:szCs w:val="22"/>
              </w:rPr>
            </w:pPr>
            <w:r w:rsidRPr="004654B9">
              <w:rPr>
                <w:sz w:val="22"/>
                <w:szCs w:val="22"/>
              </w:rPr>
              <w:t xml:space="preserve">Ginebra, </w:t>
            </w:r>
            <w:r w:rsidRPr="004654B9">
              <w:rPr>
                <w:sz w:val="22"/>
                <w:szCs w:val="22"/>
                <w:lang w:val="es-ES"/>
              </w:rPr>
              <w:t>14 de abril de 2025</w:t>
            </w:r>
          </w:p>
        </w:tc>
      </w:tr>
      <w:tr w:rsidR="004654B9" w:rsidRPr="004654B9" w14:paraId="5794AF8E" w14:textId="77777777" w:rsidTr="004654B9">
        <w:trPr>
          <w:gridAfter w:val="1"/>
          <w:wAfter w:w="584" w:type="dxa"/>
          <w:cantSplit/>
          <w:trHeight w:val="340"/>
        </w:trPr>
        <w:tc>
          <w:tcPr>
            <w:tcW w:w="1091" w:type="dxa"/>
          </w:tcPr>
          <w:p w14:paraId="258B5FC1" w14:textId="77777777" w:rsidR="004654B9" w:rsidRPr="004654B9" w:rsidRDefault="004654B9" w:rsidP="004654B9">
            <w:pPr>
              <w:tabs>
                <w:tab w:val="left" w:pos="4111"/>
              </w:tabs>
              <w:spacing w:before="10"/>
              <w:rPr>
                <w:sz w:val="22"/>
                <w:szCs w:val="22"/>
              </w:rPr>
            </w:pPr>
            <w:r w:rsidRPr="004654B9">
              <w:rPr>
                <w:b/>
                <w:bCs/>
                <w:sz w:val="22"/>
                <w:szCs w:val="22"/>
              </w:rPr>
              <w:t>Ref</w:t>
            </w:r>
            <w:r w:rsidRPr="004654B9">
              <w:rPr>
                <w:sz w:val="22"/>
                <w:szCs w:val="22"/>
              </w:rPr>
              <w:t>.:</w:t>
            </w:r>
          </w:p>
          <w:p w14:paraId="6EE52FD9" w14:textId="77777777" w:rsidR="004654B9" w:rsidRPr="004654B9" w:rsidRDefault="004654B9" w:rsidP="004654B9">
            <w:pPr>
              <w:tabs>
                <w:tab w:val="left" w:pos="4111"/>
              </w:tabs>
              <w:spacing w:before="10"/>
              <w:rPr>
                <w:sz w:val="22"/>
                <w:szCs w:val="22"/>
              </w:rPr>
            </w:pPr>
          </w:p>
        </w:tc>
        <w:tc>
          <w:tcPr>
            <w:tcW w:w="3884" w:type="dxa"/>
            <w:gridSpan w:val="2"/>
          </w:tcPr>
          <w:p w14:paraId="696995A2" w14:textId="77777777" w:rsidR="004654B9" w:rsidRPr="004654B9" w:rsidRDefault="004654B9" w:rsidP="004654B9">
            <w:pPr>
              <w:tabs>
                <w:tab w:val="left" w:pos="4111"/>
              </w:tabs>
              <w:spacing w:before="0"/>
              <w:ind w:left="57"/>
              <w:rPr>
                <w:b/>
                <w:sz w:val="22"/>
                <w:szCs w:val="22"/>
              </w:rPr>
            </w:pPr>
            <w:r w:rsidRPr="004654B9">
              <w:rPr>
                <w:b/>
                <w:sz w:val="22"/>
                <w:szCs w:val="22"/>
              </w:rPr>
              <w:t>Circular TSB 39</w:t>
            </w:r>
          </w:p>
          <w:p w14:paraId="129E6728" w14:textId="77777777" w:rsidR="004654B9" w:rsidRPr="004654B9" w:rsidRDefault="004654B9" w:rsidP="004654B9">
            <w:pPr>
              <w:tabs>
                <w:tab w:val="left" w:pos="4111"/>
              </w:tabs>
              <w:spacing w:before="0"/>
              <w:ind w:left="57"/>
              <w:rPr>
                <w:b/>
                <w:sz w:val="22"/>
                <w:szCs w:val="22"/>
              </w:rPr>
            </w:pPr>
            <w:r w:rsidRPr="004654B9">
              <w:rPr>
                <w:sz w:val="22"/>
                <w:szCs w:val="22"/>
                <w:lang w:val="es-ES"/>
              </w:rPr>
              <w:t>SG20/CB</w:t>
            </w:r>
          </w:p>
          <w:p w14:paraId="61E8344F" w14:textId="77777777" w:rsidR="004654B9" w:rsidRPr="004654B9" w:rsidRDefault="004654B9" w:rsidP="004654B9">
            <w:pPr>
              <w:tabs>
                <w:tab w:val="left" w:pos="4111"/>
              </w:tabs>
              <w:spacing w:before="0"/>
              <w:ind w:left="57"/>
              <w:rPr>
                <w:sz w:val="22"/>
                <w:szCs w:val="22"/>
              </w:rPr>
            </w:pPr>
          </w:p>
        </w:tc>
        <w:tc>
          <w:tcPr>
            <w:tcW w:w="4745" w:type="dxa"/>
            <w:vMerge w:val="restart"/>
          </w:tcPr>
          <w:p w14:paraId="242B9F2E" w14:textId="77777777" w:rsidR="004654B9" w:rsidRPr="004654B9" w:rsidRDefault="004654B9" w:rsidP="004654B9">
            <w:pPr>
              <w:tabs>
                <w:tab w:val="clear" w:pos="794"/>
                <w:tab w:val="clear" w:pos="1191"/>
                <w:tab w:val="clear" w:pos="1588"/>
                <w:tab w:val="clear" w:pos="1985"/>
                <w:tab w:val="left" w:pos="284"/>
              </w:tabs>
              <w:spacing w:before="0"/>
              <w:ind w:left="284" w:hanging="227"/>
              <w:rPr>
                <w:b/>
                <w:bCs/>
                <w:sz w:val="22"/>
                <w:szCs w:val="22"/>
                <w:lang w:val="es-ES"/>
              </w:rPr>
            </w:pPr>
            <w:bookmarkStart w:id="3" w:name="Addressee_S"/>
            <w:bookmarkEnd w:id="3"/>
            <w:r w:rsidRPr="004654B9">
              <w:rPr>
                <w:b/>
                <w:bCs/>
                <w:sz w:val="22"/>
                <w:szCs w:val="22"/>
                <w:lang w:val="es-ES"/>
              </w:rPr>
              <w:t>A</w:t>
            </w:r>
          </w:p>
          <w:p w14:paraId="38867171" w14:textId="77777777" w:rsidR="004654B9" w:rsidRPr="004654B9" w:rsidRDefault="004654B9" w:rsidP="004654B9">
            <w:pPr>
              <w:tabs>
                <w:tab w:val="clear" w:pos="794"/>
                <w:tab w:val="clear" w:pos="1191"/>
                <w:tab w:val="clear" w:pos="1588"/>
                <w:tab w:val="clear" w:pos="1985"/>
                <w:tab w:val="left" w:pos="339"/>
              </w:tabs>
              <w:spacing w:before="0"/>
              <w:ind w:left="339" w:hanging="282"/>
              <w:rPr>
                <w:sz w:val="22"/>
                <w:szCs w:val="22"/>
                <w:lang w:val="es-ES"/>
              </w:rPr>
            </w:pPr>
            <w:r w:rsidRPr="004654B9">
              <w:rPr>
                <w:sz w:val="22"/>
                <w:szCs w:val="22"/>
              </w:rPr>
              <w:t>–</w:t>
            </w:r>
            <w:r w:rsidRPr="004654B9">
              <w:rPr>
                <w:sz w:val="22"/>
                <w:szCs w:val="22"/>
              </w:rPr>
              <w:tab/>
            </w:r>
            <w:r w:rsidRPr="004654B9">
              <w:rPr>
                <w:sz w:val="22"/>
                <w:szCs w:val="22"/>
                <w:lang w:val="es-ES"/>
              </w:rPr>
              <w:t>las Administraciones de los Estados Miembros de la Unión</w:t>
            </w:r>
          </w:p>
          <w:p w14:paraId="18BACBB4" w14:textId="77777777" w:rsidR="004654B9" w:rsidRPr="004654B9" w:rsidRDefault="004654B9" w:rsidP="004654B9">
            <w:pPr>
              <w:tabs>
                <w:tab w:val="clear" w:pos="794"/>
                <w:tab w:val="clear" w:pos="1191"/>
                <w:tab w:val="clear" w:pos="1588"/>
                <w:tab w:val="clear" w:pos="1985"/>
                <w:tab w:val="left" w:pos="339"/>
              </w:tabs>
              <w:spacing w:before="0"/>
              <w:ind w:left="339" w:hanging="282"/>
              <w:rPr>
                <w:sz w:val="22"/>
                <w:szCs w:val="22"/>
                <w:lang w:val="es-ES"/>
              </w:rPr>
            </w:pPr>
            <w:r w:rsidRPr="004654B9">
              <w:rPr>
                <w:sz w:val="22"/>
                <w:szCs w:val="22"/>
              </w:rPr>
              <w:t>–</w:t>
            </w:r>
            <w:r w:rsidRPr="004654B9">
              <w:rPr>
                <w:sz w:val="22"/>
                <w:szCs w:val="22"/>
                <w:lang w:val="es-ES"/>
              </w:rPr>
              <w:tab/>
              <w:t>el Estado de Palestina (Res. 99 (Rev. Dubái, 2018)</w:t>
            </w:r>
          </w:p>
          <w:p w14:paraId="51256F16" w14:textId="77777777" w:rsidR="004654B9" w:rsidRPr="004654B9" w:rsidRDefault="004654B9" w:rsidP="004654B9">
            <w:pPr>
              <w:tabs>
                <w:tab w:val="clear" w:pos="794"/>
                <w:tab w:val="clear" w:pos="1191"/>
                <w:tab w:val="clear" w:pos="1588"/>
                <w:tab w:val="clear" w:pos="1985"/>
                <w:tab w:val="left" w:pos="284"/>
              </w:tabs>
              <w:spacing w:before="0"/>
              <w:ind w:left="284" w:hanging="227"/>
              <w:rPr>
                <w:b/>
                <w:bCs/>
                <w:sz w:val="22"/>
                <w:szCs w:val="22"/>
                <w:lang w:val="es-ES"/>
              </w:rPr>
            </w:pPr>
            <w:r w:rsidRPr="004654B9">
              <w:rPr>
                <w:b/>
                <w:bCs/>
                <w:sz w:val="22"/>
                <w:szCs w:val="22"/>
                <w:lang w:val="es-ES"/>
              </w:rPr>
              <w:t>Copia a:</w:t>
            </w:r>
          </w:p>
          <w:p w14:paraId="24238FC3" w14:textId="77777777" w:rsidR="004654B9" w:rsidRPr="004654B9" w:rsidRDefault="004654B9" w:rsidP="004654B9">
            <w:pPr>
              <w:tabs>
                <w:tab w:val="clear" w:pos="794"/>
                <w:tab w:val="clear" w:pos="1191"/>
                <w:tab w:val="clear" w:pos="1588"/>
                <w:tab w:val="clear" w:pos="1985"/>
                <w:tab w:val="left" w:pos="339"/>
              </w:tabs>
              <w:spacing w:before="0"/>
              <w:ind w:left="339" w:hanging="282"/>
              <w:rPr>
                <w:sz w:val="22"/>
                <w:szCs w:val="22"/>
                <w:lang w:val="es-ES"/>
              </w:rPr>
            </w:pPr>
            <w:r w:rsidRPr="004654B9">
              <w:rPr>
                <w:sz w:val="22"/>
                <w:szCs w:val="22"/>
              </w:rPr>
              <w:t>–</w:t>
            </w:r>
            <w:r w:rsidRPr="004654B9">
              <w:rPr>
                <w:sz w:val="22"/>
                <w:szCs w:val="22"/>
                <w:lang w:val="es-ES"/>
              </w:rPr>
              <w:tab/>
              <w:t>los Miembros del Sector UIT</w:t>
            </w:r>
            <w:r w:rsidRPr="004654B9">
              <w:rPr>
                <w:sz w:val="22"/>
                <w:szCs w:val="22"/>
                <w:lang w:val="es-ES"/>
              </w:rPr>
              <w:noBreakHyphen/>
              <w:t>T;</w:t>
            </w:r>
          </w:p>
          <w:p w14:paraId="034EED7B" w14:textId="77777777" w:rsidR="004654B9" w:rsidRPr="004654B9" w:rsidRDefault="004654B9" w:rsidP="004654B9">
            <w:pPr>
              <w:tabs>
                <w:tab w:val="clear" w:pos="794"/>
                <w:tab w:val="clear" w:pos="1191"/>
                <w:tab w:val="clear" w:pos="1588"/>
                <w:tab w:val="clear" w:pos="1985"/>
                <w:tab w:val="left" w:pos="339"/>
              </w:tabs>
              <w:spacing w:before="0"/>
              <w:ind w:left="339" w:hanging="282"/>
              <w:rPr>
                <w:sz w:val="22"/>
                <w:szCs w:val="22"/>
                <w:lang w:val="es-ES"/>
              </w:rPr>
            </w:pPr>
            <w:r w:rsidRPr="004654B9">
              <w:rPr>
                <w:sz w:val="22"/>
                <w:szCs w:val="22"/>
              </w:rPr>
              <w:t>–</w:t>
            </w:r>
            <w:r w:rsidRPr="004654B9">
              <w:rPr>
                <w:sz w:val="22"/>
                <w:szCs w:val="22"/>
                <w:lang w:val="es-ES"/>
              </w:rPr>
              <w:tab/>
              <w:t>los Asociados del UIT</w:t>
            </w:r>
            <w:r w:rsidRPr="004654B9">
              <w:rPr>
                <w:sz w:val="22"/>
                <w:szCs w:val="22"/>
                <w:lang w:val="es-ES"/>
              </w:rPr>
              <w:noBreakHyphen/>
              <w:t>T;</w:t>
            </w:r>
          </w:p>
          <w:p w14:paraId="05F93FA9" w14:textId="77777777" w:rsidR="004654B9" w:rsidRPr="004654B9" w:rsidRDefault="004654B9" w:rsidP="004654B9">
            <w:pPr>
              <w:tabs>
                <w:tab w:val="clear" w:pos="794"/>
                <w:tab w:val="clear" w:pos="1191"/>
                <w:tab w:val="clear" w:pos="1588"/>
                <w:tab w:val="clear" w:pos="1985"/>
                <w:tab w:val="left" w:pos="339"/>
              </w:tabs>
              <w:spacing w:before="0"/>
              <w:ind w:left="339" w:hanging="282"/>
              <w:rPr>
                <w:sz w:val="22"/>
                <w:szCs w:val="22"/>
                <w:lang w:val="es-ES"/>
              </w:rPr>
            </w:pPr>
            <w:r w:rsidRPr="004654B9">
              <w:rPr>
                <w:sz w:val="22"/>
                <w:szCs w:val="22"/>
              </w:rPr>
              <w:t>–</w:t>
            </w:r>
            <w:r w:rsidRPr="004654B9">
              <w:rPr>
                <w:sz w:val="22"/>
                <w:szCs w:val="22"/>
                <w:lang w:val="es-ES"/>
              </w:rPr>
              <w:tab/>
              <w:t>las Instituciones Académicas del UIT-T;</w:t>
            </w:r>
          </w:p>
          <w:p w14:paraId="460BDDCF" w14:textId="77777777" w:rsidR="004654B9" w:rsidRPr="004654B9" w:rsidRDefault="004654B9" w:rsidP="004654B9">
            <w:pPr>
              <w:tabs>
                <w:tab w:val="clear" w:pos="794"/>
                <w:tab w:val="clear" w:pos="1191"/>
                <w:tab w:val="clear" w:pos="1588"/>
                <w:tab w:val="clear" w:pos="1985"/>
                <w:tab w:val="left" w:pos="339"/>
              </w:tabs>
              <w:spacing w:before="0"/>
              <w:ind w:left="339" w:hanging="282"/>
              <w:rPr>
                <w:sz w:val="22"/>
                <w:szCs w:val="22"/>
                <w:lang w:val="es-ES"/>
              </w:rPr>
            </w:pPr>
            <w:r w:rsidRPr="004654B9">
              <w:rPr>
                <w:sz w:val="22"/>
                <w:szCs w:val="22"/>
              </w:rPr>
              <w:t>–</w:t>
            </w:r>
            <w:r w:rsidRPr="004654B9">
              <w:rPr>
                <w:sz w:val="22"/>
                <w:szCs w:val="22"/>
                <w:lang w:val="es-ES"/>
              </w:rPr>
              <w:tab/>
              <w:t xml:space="preserve">el </w:t>
            </w:r>
            <w:proofErr w:type="gramStart"/>
            <w:r w:rsidRPr="004654B9">
              <w:rPr>
                <w:sz w:val="22"/>
                <w:szCs w:val="22"/>
                <w:lang w:val="es-ES"/>
              </w:rPr>
              <w:t>Presidente</w:t>
            </w:r>
            <w:proofErr w:type="gramEnd"/>
            <w:r w:rsidRPr="004654B9">
              <w:rPr>
                <w:sz w:val="22"/>
                <w:szCs w:val="22"/>
                <w:lang w:val="es-ES"/>
              </w:rPr>
              <w:t xml:space="preserve"> y los </w:t>
            </w:r>
            <w:proofErr w:type="gramStart"/>
            <w:r w:rsidRPr="004654B9">
              <w:rPr>
                <w:sz w:val="22"/>
                <w:szCs w:val="22"/>
                <w:lang w:val="es-ES"/>
              </w:rPr>
              <w:t>Vicepresidentes</w:t>
            </w:r>
            <w:proofErr w:type="gramEnd"/>
            <w:r w:rsidRPr="004654B9">
              <w:rPr>
                <w:sz w:val="22"/>
                <w:szCs w:val="22"/>
                <w:lang w:val="es-ES"/>
              </w:rPr>
              <w:t xml:space="preserve"> de la Comisión de Estudio 20;</w:t>
            </w:r>
          </w:p>
          <w:p w14:paraId="50492D7F" w14:textId="77777777" w:rsidR="004654B9" w:rsidRPr="004654B9" w:rsidRDefault="004654B9" w:rsidP="004654B9">
            <w:pPr>
              <w:tabs>
                <w:tab w:val="clear" w:pos="794"/>
                <w:tab w:val="clear" w:pos="1191"/>
                <w:tab w:val="clear" w:pos="1588"/>
                <w:tab w:val="clear" w:pos="1985"/>
                <w:tab w:val="left" w:pos="339"/>
              </w:tabs>
              <w:spacing w:before="0"/>
              <w:ind w:left="339" w:hanging="282"/>
              <w:rPr>
                <w:sz w:val="22"/>
                <w:szCs w:val="22"/>
                <w:lang w:val="es-ES"/>
              </w:rPr>
            </w:pPr>
            <w:r w:rsidRPr="004654B9">
              <w:rPr>
                <w:sz w:val="22"/>
                <w:szCs w:val="22"/>
              </w:rPr>
              <w:t>–</w:t>
            </w:r>
            <w:r w:rsidRPr="004654B9">
              <w:rPr>
                <w:sz w:val="22"/>
                <w:szCs w:val="22"/>
                <w:lang w:val="es-ES"/>
              </w:rPr>
              <w:tab/>
              <w:t xml:space="preserve">el </w:t>
            </w:r>
            <w:proofErr w:type="gramStart"/>
            <w:r w:rsidRPr="004654B9">
              <w:rPr>
                <w:sz w:val="22"/>
                <w:szCs w:val="22"/>
                <w:lang w:val="es-ES"/>
              </w:rPr>
              <w:t>Director</w:t>
            </w:r>
            <w:proofErr w:type="gramEnd"/>
            <w:r w:rsidRPr="004654B9">
              <w:rPr>
                <w:sz w:val="22"/>
                <w:szCs w:val="22"/>
                <w:lang w:val="es-ES"/>
              </w:rPr>
              <w:t xml:space="preserve"> de la Oficina de Desarrollo de las Telecomunicaciones;</w:t>
            </w:r>
          </w:p>
          <w:p w14:paraId="226353DB" w14:textId="77777777" w:rsidR="004654B9" w:rsidRPr="004654B9" w:rsidRDefault="004654B9" w:rsidP="004654B9">
            <w:pPr>
              <w:tabs>
                <w:tab w:val="clear" w:pos="794"/>
                <w:tab w:val="clear" w:pos="1191"/>
                <w:tab w:val="clear" w:pos="1588"/>
                <w:tab w:val="clear" w:pos="1985"/>
                <w:tab w:val="left" w:pos="339"/>
              </w:tabs>
              <w:spacing w:before="0"/>
              <w:ind w:left="339" w:hanging="282"/>
              <w:rPr>
                <w:sz w:val="22"/>
                <w:szCs w:val="22"/>
              </w:rPr>
            </w:pPr>
            <w:r w:rsidRPr="004654B9">
              <w:rPr>
                <w:sz w:val="22"/>
                <w:szCs w:val="22"/>
              </w:rPr>
              <w:t>–</w:t>
            </w:r>
            <w:r w:rsidRPr="004654B9">
              <w:rPr>
                <w:sz w:val="22"/>
                <w:szCs w:val="22"/>
                <w:lang w:val="es-ES"/>
              </w:rPr>
              <w:tab/>
              <w:t xml:space="preserve">el </w:t>
            </w:r>
            <w:proofErr w:type="gramStart"/>
            <w:r w:rsidRPr="004654B9">
              <w:rPr>
                <w:sz w:val="22"/>
                <w:szCs w:val="22"/>
                <w:lang w:val="es-ES"/>
              </w:rPr>
              <w:t>Director</w:t>
            </w:r>
            <w:proofErr w:type="gramEnd"/>
            <w:r w:rsidRPr="004654B9">
              <w:rPr>
                <w:sz w:val="22"/>
                <w:szCs w:val="22"/>
                <w:lang w:val="es-ES"/>
              </w:rPr>
              <w:t xml:space="preserve"> de la Oficina de Radiocomunicaciones</w:t>
            </w:r>
          </w:p>
        </w:tc>
      </w:tr>
      <w:tr w:rsidR="004654B9" w:rsidRPr="004654B9" w14:paraId="0713EB64" w14:textId="77777777" w:rsidTr="004654B9">
        <w:trPr>
          <w:gridAfter w:val="1"/>
          <w:wAfter w:w="584" w:type="dxa"/>
          <w:cantSplit/>
        </w:trPr>
        <w:tc>
          <w:tcPr>
            <w:tcW w:w="1091" w:type="dxa"/>
          </w:tcPr>
          <w:p w14:paraId="7E1FC0DC" w14:textId="77777777" w:rsidR="004654B9" w:rsidRPr="004654B9" w:rsidRDefault="004654B9" w:rsidP="004654B9">
            <w:pPr>
              <w:tabs>
                <w:tab w:val="left" w:pos="4111"/>
              </w:tabs>
              <w:spacing w:before="10"/>
              <w:rPr>
                <w:sz w:val="22"/>
                <w:szCs w:val="22"/>
              </w:rPr>
            </w:pPr>
            <w:r w:rsidRPr="004654B9">
              <w:rPr>
                <w:sz w:val="22"/>
                <w:szCs w:val="22"/>
              </w:rPr>
              <w:t>Tel.:</w:t>
            </w:r>
          </w:p>
        </w:tc>
        <w:tc>
          <w:tcPr>
            <w:tcW w:w="3884" w:type="dxa"/>
            <w:gridSpan w:val="2"/>
          </w:tcPr>
          <w:p w14:paraId="2336B5CE" w14:textId="77777777" w:rsidR="004654B9" w:rsidRPr="004654B9" w:rsidRDefault="004654B9" w:rsidP="004654B9">
            <w:pPr>
              <w:tabs>
                <w:tab w:val="left" w:pos="4111"/>
              </w:tabs>
              <w:spacing w:before="0"/>
              <w:ind w:left="57"/>
              <w:rPr>
                <w:rStyle w:val="Hyperlink"/>
                <w:sz w:val="22"/>
                <w:szCs w:val="22"/>
              </w:rPr>
            </w:pPr>
            <w:r w:rsidRPr="004654B9">
              <w:rPr>
                <w:sz w:val="22"/>
                <w:szCs w:val="22"/>
              </w:rPr>
              <w:t xml:space="preserve">+41 22 730 </w:t>
            </w:r>
            <w:r w:rsidRPr="004654B9">
              <w:rPr>
                <w:sz w:val="22"/>
                <w:szCs w:val="22"/>
                <w:lang w:val="es-ES"/>
              </w:rPr>
              <w:t>6301</w:t>
            </w:r>
          </w:p>
        </w:tc>
        <w:tc>
          <w:tcPr>
            <w:tcW w:w="4745" w:type="dxa"/>
            <w:vMerge/>
          </w:tcPr>
          <w:p w14:paraId="04E9594F" w14:textId="77777777" w:rsidR="004654B9" w:rsidRPr="004654B9" w:rsidRDefault="004654B9" w:rsidP="004654B9">
            <w:pPr>
              <w:tabs>
                <w:tab w:val="left" w:pos="226"/>
                <w:tab w:val="left" w:pos="510"/>
              </w:tabs>
              <w:spacing w:before="0"/>
              <w:ind w:left="226" w:hanging="169"/>
              <w:rPr>
                <w:b/>
                <w:sz w:val="22"/>
                <w:szCs w:val="22"/>
              </w:rPr>
            </w:pPr>
          </w:p>
        </w:tc>
      </w:tr>
      <w:tr w:rsidR="004654B9" w:rsidRPr="004654B9" w14:paraId="52E1BE95" w14:textId="77777777" w:rsidTr="004654B9">
        <w:trPr>
          <w:gridAfter w:val="1"/>
          <w:wAfter w:w="584" w:type="dxa"/>
          <w:cantSplit/>
        </w:trPr>
        <w:tc>
          <w:tcPr>
            <w:tcW w:w="1091" w:type="dxa"/>
          </w:tcPr>
          <w:p w14:paraId="223A1DF1" w14:textId="77777777" w:rsidR="004654B9" w:rsidRPr="004654B9" w:rsidRDefault="004654B9" w:rsidP="004654B9">
            <w:pPr>
              <w:tabs>
                <w:tab w:val="left" w:pos="4111"/>
              </w:tabs>
              <w:spacing w:before="10"/>
              <w:rPr>
                <w:sz w:val="22"/>
                <w:szCs w:val="22"/>
              </w:rPr>
            </w:pPr>
            <w:r w:rsidRPr="004654B9">
              <w:rPr>
                <w:sz w:val="22"/>
                <w:szCs w:val="22"/>
              </w:rPr>
              <w:t>Fax:</w:t>
            </w:r>
          </w:p>
        </w:tc>
        <w:tc>
          <w:tcPr>
            <w:tcW w:w="3884" w:type="dxa"/>
            <w:gridSpan w:val="2"/>
          </w:tcPr>
          <w:p w14:paraId="2A9B6C63" w14:textId="77777777" w:rsidR="004654B9" w:rsidRPr="004654B9" w:rsidRDefault="004654B9" w:rsidP="004654B9">
            <w:pPr>
              <w:tabs>
                <w:tab w:val="left" w:pos="4111"/>
              </w:tabs>
              <w:spacing w:before="0"/>
              <w:ind w:left="57"/>
              <w:rPr>
                <w:rStyle w:val="Hyperlink"/>
                <w:sz w:val="22"/>
                <w:szCs w:val="22"/>
              </w:rPr>
            </w:pPr>
            <w:r w:rsidRPr="004654B9">
              <w:rPr>
                <w:sz w:val="22"/>
                <w:szCs w:val="22"/>
              </w:rPr>
              <w:t>+41 22 730 5853</w:t>
            </w:r>
          </w:p>
        </w:tc>
        <w:tc>
          <w:tcPr>
            <w:tcW w:w="4745" w:type="dxa"/>
            <w:vMerge/>
          </w:tcPr>
          <w:p w14:paraId="2799D088" w14:textId="77777777" w:rsidR="004654B9" w:rsidRPr="004654B9" w:rsidRDefault="004654B9" w:rsidP="004654B9">
            <w:pPr>
              <w:tabs>
                <w:tab w:val="left" w:pos="226"/>
                <w:tab w:val="left" w:pos="510"/>
              </w:tabs>
              <w:spacing w:before="0"/>
              <w:ind w:left="226" w:hanging="169"/>
              <w:rPr>
                <w:b/>
                <w:sz w:val="22"/>
                <w:szCs w:val="22"/>
              </w:rPr>
            </w:pPr>
          </w:p>
        </w:tc>
      </w:tr>
      <w:tr w:rsidR="004654B9" w:rsidRPr="004654B9" w14:paraId="32A368C6" w14:textId="77777777" w:rsidTr="004654B9">
        <w:trPr>
          <w:gridAfter w:val="1"/>
          <w:wAfter w:w="584" w:type="dxa"/>
          <w:cantSplit/>
          <w:trHeight w:val="2202"/>
        </w:trPr>
        <w:tc>
          <w:tcPr>
            <w:tcW w:w="1091" w:type="dxa"/>
          </w:tcPr>
          <w:p w14:paraId="3959376A" w14:textId="77777777" w:rsidR="004654B9" w:rsidRPr="004654B9" w:rsidRDefault="004654B9" w:rsidP="004654B9">
            <w:pPr>
              <w:tabs>
                <w:tab w:val="left" w:pos="4111"/>
              </w:tabs>
              <w:spacing w:before="10"/>
              <w:rPr>
                <w:sz w:val="22"/>
                <w:szCs w:val="22"/>
              </w:rPr>
            </w:pPr>
            <w:r w:rsidRPr="004654B9">
              <w:rPr>
                <w:sz w:val="22"/>
                <w:szCs w:val="22"/>
              </w:rPr>
              <w:t>Correo-e:</w:t>
            </w:r>
          </w:p>
        </w:tc>
        <w:tc>
          <w:tcPr>
            <w:tcW w:w="3884" w:type="dxa"/>
            <w:gridSpan w:val="2"/>
          </w:tcPr>
          <w:p w14:paraId="2EAFBCD1" w14:textId="77777777" w:rsidR="004654B9" w:rsidRPr="004654B9" w:rsidRDefault="004654B9" w:rsidP="004654B9">
            <w:pPr>
              <w:tabs>
                <w:tab w:val="left" w:pos="4111"/>
              </w:tabs>
              <w:spacing w:before="0"/>
              <w:ind w:left="57"/>
              <w:rPr>
                <w:sz w:val="22"/>
                <w:szCs w:val="22"/>
                <w:highlight w:val="yellow"/>
              </w:rPr>
            </w:pPr>
            <w:hyperlink r:id="rId9" w:history="1">
              <w:r w:rsidRPr="004654B9">
                <w:rPr>
                  <w:rStyle w:val="Hyperlink"/>
                  <w:sz w:val="22"/>
                  <w:szCs w:val="22"/>
                </w:rPr>
                <w:t>tsbsg20@itu.int</w:t>
              </w:r>
            </w:hyperlink>
          </w:p>
        </w:tc>
        <w:tc>
          <w:tcPr>
            <w:tcW w:w="4745" w:type="dxa"/>
            <w:vMerge/>
          </w:tcPr>
          <w:p w14:paraId="26EB7991" w14:textId="77777777" w:rsidR="004654B9" w:rsidRPr="004654B9" w:rsidRDefault="004654B9" w:rsidP="004654B9">
            <w:pPr>
              <w:tabs>
                <w:tab w:val="clear" w:pos="794"/>
                <w:tab w:val="clear" w:pos="1191"/>
                <w:tab w:val="clear" w:pos="1588"/>
                <w:tab w:val="clear" w:pos="1985"/>
                <w:tab w:val="left" w:pos="226"/>
                <w:tab w:val="left" w:pos="510"/>
              </w:tabs>
              <w:spacing w:before="0"/>
              <w:ind w:left="226" w:hanging="169"/>
              <w:rPr>
                <w:sz w:val="22"/>
                <w:szCs w:val="22"/>
              </w:rPr>
            </w:pPr>
          </w:p>
        </w:tc>
      </w:tr>
      <w:tr w:rsidR="004654B9" w:rsidRPr="004654B9" w14:paraId="7D552291" w14:textId="77777777" w:rsidTr="004654B9">
        <w:trPr>
          <w:gridAfter w:val="1"/>
          <w:wAfter w:w="584" w:type="dxa"/>
          <w:cantSplit/>
        </w:trPr>
        <w:tc>
          <w:tcPr>
            <w:tcW w:w="1091" w:type="dxa"/>
          </w:tcPr>
          <w:p w14:paraId="41F73724" w14:textId="77777777" w:rsidR="004654B9" w:rsidRPr="004654B9" w:rsidRDefault="004654B9" w:rsidP="004654B9">
            <w:pPr>
              <w:tabs>
                <w:tab w:val="left" w:pos="4111"/>
              </w:tabs>
              <w:spacing w:before="0"/>
              <w:rPr>
                <w:sz w:val="22"/>
                <w:szCs w:val="22"/>
              </w:rPr>
            </w:pPr>
            <w:r w:rsidRPr="004654B9">
              <w:rPr>
                <w:b/>
                <w:bCs/>
                <w:sz w:val="22"/>
                <w:szCs w:val="22"/>
              </w:rPr>
              <w:t>Asunto</w:t>
            </w:r>
            <w:r w:rsidRPr="004654B9">
              <w:rPr>
                <w:sz w:val="22"/>
                <w:szCs w:val="22"/>
              </w:rPr>
              <w:t>:</w:t>
            </w:r>
          </w:p>
        </w:tc>
        <w:tc>
          <w:tcPr>
            <w:tcW w:w="8629" w:type="dxa"/>
            <w:gridSpan w:val="3"/>
          </w:tcPr>
          <w:p w14:paraId="440B374B" w14:textId="77777777" w:rsidR="004654B9" w:rsidRPr="004654B9" w:rsidRDefault="004654B9" w:rsidP="004654B9">
            <w:pPr>
              <w:tabs>
                <w:tab w:val="left" w:pos="4111"/>
              </w:tabs>
              <w:spacing w:before="0"/>
              <w:rPr>
                <w:b/>
                <w:sz w:val="22"/>
                <w:szCs w:val="22"/>
              </w:rPr>
            </w:pPr>
            <w:r w:rsidRPr="004654B9">
              <w:rPr>
                <w:b/>
                <w:sz w:val="22"/>
                <w:szCs w:val="22"/>
                <w:lang w:val="es-ES"/>
              </w:rPr>
              <w:t xml:space="preserve">Consulta a los Estados Miembros sobre los proyectos de nueva Recomendación determinada </w:t>
            </w:r>
            <w:bookmarkStart w:id="4" w:name="_Hlk193384054"/>
            <w:r w:rsidRPr="004654B9">
              <w:rPr>
                <w:b/>
                <w:sz w:val="22"/>
                <w:szCs w:val="22"/>
                <w:lang w:val="es-ES"/>
              </w:rPr>
              <w:t>UIT-T Y.4235 (ex </w:t>
            </w:r>
            <w:proofErr w:type="spellStart"/>
            <w:r w:rsidRPr="004654B9">
              <w:rPr>
                <w:b/>
                <w:sz w:val="22"/>
                <w:szCs w:val="22"/>
                <w:lang w:val="es-ES"/>
              </w:rPr>
              <w:t>Y.PGComNet-Reqts</w:t>
            </w:r>
            <w:proofErr w:type="spellEnd"/>
            <w:r w:rsidRPr="004654B9">
              <w:rPr>
                <w:b/>
                <w:sz w:val="22"/>
                <w:szCs w:val="22"/>
                <w:lang w:val="es-ES"/>
              </w:rPr>
              <w:t>), UIT-T Y.4236 (ex Y.EMM-</w:t>
            </w:r>
            <w:proofErr w:type="spellStart"/>
            <w:r w:rsidRPr="004654B9">
              <w:rPr>
                <w:b/>
                <w:sz w:val="22"/>
                <w:szCs w:val="22"/>
                <w:lang w:val="es-ES"/>
              </w:rPr>
              <w:t>Reqts</w:t>
            </w:r>
            <w:proofErr w:type="spellEnd"/>
            <w:r w:rsidRPr="004654B9">
              <w:rPr>
                <w:b/>
                <w:sz w:val="22"/>
                <w:szCs w:val="22"/>
                <w:lang w:val="es-ES"/>
              </w:rPr>
              <w:t>), UIT</w:t>
            </w:r>
            <w:r w:rsidRPr="004654B9">
              <w:rPr>
                <w:b/>
                <w:sz w:val="22"/>
                <w:szCs w:val="22"/>
                <w:lang w:val="es-ES"/>
              </w:rPr>
              <w:noBreakHyphen/>
              <w:t>T Y.4237</w:t>
            </w:r>
            <w:r>
              <w:rPr>
                <w:b/>
                <w:sz w:val="22"/>
                <w:szCs w:val="22"/>
                <w:lang w:val="es-ES"/>
              </w:rPr>
              <w:br/>
            </w:r>
            <w:r w:rsidRPr="004654B9">
              <w:rPr>
                <w:b/>
                <w:sz w:val="22"/>
                <w:szCs w:val="22"/>
                <w:lang w:val="es-ES"/>
              </w:rPr>
              <w:t xml:space="preserve">(ex </w:t>
            </w:r>
            <w:proofErr w:type="spellStart"/>
            <w:r w:rsidRPr="004654B9">
              <w:rPr>
                <w:b/>
                <w:sz w:val="22"/>
                <w:szCs w:val="22"/>
                <w:lang w:val="es-ES"/>
              </w:rPr>
              <w:t>Y.dt</w:t>
            </w:r>
            <w:proofErr w:type="spellEnd"/>
            <w:r w:rsidRPr="004654B9">
              <w:rPr>
                <w:b/>
                <w:sz w:val="22"/>
                <w:szCs w:val="22"/>
                <w:lang w:val="es-ES"/>
              </w:rPr>
              <w:t xml:space="preserve">-IWCS), UIT-T Y.4496 (ex Y.RA-PHE), UIT-T Y.4708 (ex </w:t>
            </w:r>
            <w:proofErr w:type="spellStart"/>
            <w:r w:rsidRPr="004654B9">
              <w:rPr>
                <w:b/>
                <w:sz w:val="22"/>
                <w:szCs w:val="22"/>
                <w:lang w:val="es-ES"/>
              </w:rPr>
              <w:t>Y.IoT</w:t>
            </w:r>
            <w:proofErr w:type="spellEnd"/>
            <w:r w:rsidRPr="004654B9">
              <w:rPr>
                <w:b/>
                <w:sz w:val="22"/>
                <w:szCs w:val="22"/>
                <w:lang w:val="es-ES"/>
              </w:rPr>
              <w:t>-DPE), UIT</w:t>
            </w:r>
            <w:r w:rsidRPr="004654B9">
              <w:rPr>
                <w:b/>
                <w:sz w:val="22"/>
                <w:szCs w:val="22"/>
                <w:lang w:val="es-ES"/>
              </w:rPr>
              <w:noBreakHyphen/>
              <w:t>T Y.4609</w:t>
            </w:r>
            <w:r>
              <w:rPr>
                <w:b/>
                <w:sz w:val="22"/>
                <w:szCs w:val="22"/>
                <w:lang w:val="es-ES"/>
              </w:rPr>
              <w:br/>
            </w:r>
            <w:r w:rsidRPr="004654B9">
              <w:rPr>
                <w:b/>
                <w:sz w:val="22"/>
                <w:szCs w:val="22"/>
                <w:lang w:val="es-ES"/>
              </w:rPr>
              <w:t xml:space="preserve">(ex </w:t>
            </w:r>
            <w:proofErr w:type="spellStart"/>
            <w:r w:rsidRPr="004654B9">
              <w:rPr>
                <w:b/>
                <w:sz w:val="22"/>
                <w:szCs w:val="22"/>
                <w:lang w:val="es-ES"/>
              </w:rPr>
              <w:t>Y.metadata</w:t>
            </w:r>
            <w:proofErr w:type="spellEnd"/>
            <w:r w:rsidRPr="004654B9">
              <w:rPr>
                <w:b/>
                <w:sz w:val="22"/>
                <w:szCs w:val="22"/>
                <w:lang w:val="es-ES"/>
              </w:rPr>
              <w:t xml:space="preserve">-EPI), UIT-T Y.4813 (ex </w:t>
            </w:r>
            <w:proofErr w:type="spellStart"/>
            <w:r w:rsidRPr="004654B9">
              <w:rPr>
                <w:b/>
                <w:sz w:val="22"/>
                <w:szCs w:val="22"/>
                <w:lang w:val="es-ES"/>
              </w:rPr>
              <w:t>Y.iepi</w:t>
            </w:r>
            <w:proofErr w:type="spellEnd"/>
            <w:r w:rsidRPr="004654B9">
              <w:rPr>
                <w:b/>
                <w:sz w:val="22"/>
                <w:szCs w:val="22"/>
                <w:lang w:val="es-ES"/>
              </w:rPr>
              <w:t>-dm-</w:t>
            </w:r>
            <w:proofErr w:type="spellStart"/>
            <w:r w:rsidRPr="004654B9">
              <w:rPr>
                <w:b/>
                <w:sz w:val="22"/>
                <w:szCs w:val="22"/>
                <w:lang w:val="es-ES"/>
              </w:rPr>
              <w:t>sa</w:t>
            </w:r>
            <w:proofErr w:type="spellEnd"/>
            <w:r w:rsidRPr="004654B9">
              <w:rPr>
                <w:b/>
                <w:sz w:val="22"/>
                <w:szCs w:val="22"/>
                <w:lang w:val="es-ES"/>
              </w:rPr>
              <w:t xml:space="preserve">), UIT-T Y.4814 (ex </w:t>
            </w:r>
            <w:proofErr w:type="spellStart"/>
            <w:r w:rsidRPr="004654B9">
              <w:rPr>
                <w:b/>
                <w:sz w:val="22"/>
                <w:szCs w:val="22"/>
                <w:lang w:val="es-ES"/>
              </w:rPr>
              <w:t>Y.IoT-acs-fra</w:t>
            </w:r>
            <w:proofErr w:type="spellEnd"/>
            <w:r w:rsidRPr="004654B9">
              <w:rPr>
                <w:b/>
                <w:sz w:val="22"/>
                <w:szCs w:val="22"/>
                <w:lang w:val="es-ES"/>
              </w:rPr>
              <w:t>) y UIT-T Y.4911 (ex Y.KPI-</w:t>
            </w:r>
            <w:proofErr w:type="spellStart"/>
            <w:r w:rsidRPr="004654B9">
              <w:rPr>
                <w:b/>
                <w:sz w:val="22"/>
                <w:szCs w:val="22"/>
                <w:lang w:val="es-ES"/>
              </w:rPr>
              <w:t>Flood</w:t>
            </w:r>
            <w:proofErr w:type="spellEnd"/>
            <w:r w:rsidRPr="004654B9">
              <w:rPr>
                <w:b/>
                <w:sz w:val="22"/>
                <w:szCs w:val="22"/>
                <w:lang w:val="es-ES"/>
              </w:rPr>
              <w:t>)</w:t>
            </w:r>
            <w:bookmarkEnd w:id="4"/>
            <w:r w:rsidRPr="004654B9">
              <w:rPr>
                <w:b/>
                <w:sz w:val="22"/>
                <w:szCs w:val="22"/>
                <w:lang w:val="es-ES"/>
              </w:rPr>
              <w:t>, propuestos para su aprobación en la reunión de la Comisión de Estudio 20 del UIT-T, Ginebra, 15-25 de septiembre de 2025</w:t>
            </w:r>
          </w:p>
        </w:tc>
      </w:tr>
    </w:tbl>
    <w:p w14:paraId="708EBE50" w14:textId="5A22E1C1" w:rsidR="00C34772" w:rsidRPr="004654B9" w:rsidRDefault="00C34772" w:rsidP="004654B9">
      <w:pPr>
        <w:spacing w:before="80"/>
        <w:rPr>
          <w:sz w:val="22"/>
          <w:szCs w:val="22"/>
        </w:rPr>
      </w:pPr>
      <w:r w:rsidRPr="004654B9">
        <w:rPr>
          <w:sz w:val="22"/>
          <w:szCs w:val="22"/>
        </w:rPr>
        <w:t>Muy Señora mía/Muy Señor mío</w:t>
      </w:r>
      <w:r w:rsidR="004654B9">
        <w:rPr>
          <w:sz w:val="22"/>
          <w:szCs w:val="22"/>
        </w:rPr>
        <w:t>,</w:t>
      </w:r>
    </w:p>
    <w:p w14:paraId="01767027" w14:textId="4959E3E8" w:rsidR="00126E2B" w:rsidRPr="004654B9" w:rsidRDefault="00126E2B" w:rsidP="004654B9">
      <w:pPr>
        <w:spacing w:before="80"/>
        <w:rPr>
          <w:sz w:val="22"/>
          <w:szCs w:val="22"/>
          <w:lang w:val="es-ES"/>
        </w:rPr>
      </w:pPr>
      <w:r w:rsidRPr="004654B9">
        <w:rPr>
          <w:bCs/>
          <w:sz w:val="22"/>
          <w:szCs w:val="22"/>
          <w:lang w:val="es-ES"/>
        </w:rPr>
        <w:t>1</w:t>
      </w:r>
      <w:r w:rsidRPr="004654B9">
        <w:rPr>
          <w:sz w:val="22"/>
          <w:szCs w:val="22"/>
          <w:lang w:val="es-ES"/>
        </w:rPr>
        <w:tab/>
      </w:r>
      <w:r w:rsidRPr="004654B9">
        <w:rPr>
          <w:sz w:val="22"/>
          <w:szCs w:val="22"/>
        </w:rPr>
        <w:t>La Comisión de Estudio 20 del UIT-T </w:t>
      </w:r>
      <w:r w:rsidRPr="004654B9">
        <w:rPr>
          <w:sz w:val="22"/>
          <w:szCs w:val="22"/>
          <w:lang w:val="es-ES"/>
        </w:rPr>
        <w:t xml:space="preserve"> (SG20: Internet of </w:t>
      </w:r>
      <w:proofErr w:type="spellStart"/>
      <w:r w:rsidRPr="004654B9">
        <w:rPr>
          <w:sz w:val="22"/>
          <w:szCs w:val="22"/>
          <w:lang w:val="es-ES"/>
        </w:rPr>
        <w:t>Things</w:t>
      </w:r>
      <w:proofErr w:type="spellEnd"/>
      <w:r w:rsidRPr="004654B9">
        <w:rPr>
          <w:sz w:val="22"/>
          <w:szCs w:val="22"/>
          <w:lang w:val="es-ES"/>
        </w:rPr>
        <w:t xml:space="preserve">, digital </w:t>
      </w:r>
      <w:proofErr w:type="spellStart"/>
      <w:r w:rsidRPr="004654B9">
        <w:rPr>
          <w:sz w:val="22"/>
          <w:szCs w:val="22"/>
          <w:lang w:val="es-ES"/>
        </w:rPr>
        <w:t>twins</w:t>
      </w:r>
      <w:proofErr w:type="spellEnd"/>
      <w:r w:rsidRPr="004654B9">
        <w:rPr>
          <w:sz w:val="22"/>
          <w:szCs w:val="22"/>
          <w:lang w:val="es-ES"/>
        </w:rPr>
        <w:t xml:space="preserve"> and </w:t>
      </w:r>
      <w:proofErr w:type="spellStart"/>
      <w:r w:rsidRPr="004654B9">
        <w:rPr>
          <w:sz w:val="22"/>
          <w:szCs w:val="22"/>
          <w:lang w:val="es-ES"/>
        </w:rPr>
        <w:t>smart</w:t>
      </w:r>
      <w:proofErr w:type="spellEnd"/>
      <w:r w:rsidRPr="004654B9">
        <w:rPr>
          <w:sz w:val="22"/>
          <w:szCs w:val="22"/>
          <w:lang w:val="es-ES"/>
        </w:rPr>
        <w:t xml:space="preserve"> </w:t>
      </w:r>
      <w:proofErr w:type="spellStart"/>
      <w:r w:rsidRPr="004654B9">
        <w:rPr>
          <w:sz w:val="22"/>
          <w:szCs w:val="22"/>
          <w:lang w:val="es-ES"/>
        </w:rPr>
        <w:t>sustainable</w:t>
      </w:r>
      <w:proofErr w:type="spellEnd"/>
      <w:r w:rsidRPr="004654B9">
        <w:rPr>
          <w:sz w:val="22"/>
          <w:szCs w:val="22"/>
          <w:lang w:val="es-ES"/>
        </w:rPr>
        <w:t xml:space="preserve"> </w:t>
      </w:r>
      <w:proofErr w:type="spellStart"/>
      <w:r w:rsidRPr="004654B9">
        <w:rPr>
          <w:sz w:val="22"/>
          <w:szCs w:val="22"/>
          <w:lang w:val="es-ES"/>
        </w:rPr>
        <w:t>cities</w:t>
      </w:r>
      <w:proofErr w:type="spellEnd"/>
      <w:r w:rsidRPr="004654B9">
        <w:rPr>
          <w:sz w:val="22"/>
          <w:szCs w:val="22"/>
          <w:lang w:val="es-ES"/>
        </w:rPr>
        <w:t xml:space="preserve"> and </w:t>
      </w:r>
      <w:proofErr w:type="spellStart"/>
      <w:r w:rsidRPr="004654B9">
        <w:rPr>
          <w:sz w:val="22"/>
          <w:szCs w:val="22"/>
          <w:lang w:val="es-ES"/>
        </w:rPr>
        <w:t>communities</w:t>
      </w:r>
      <w:proofErr w:type="spellEnd"/>
      <w:r w:rsidRPr="004654B9">
        <w:rPr>
          <w:sz w:val="22"/>
          <w:szCs w:val="22"/>
          <w:lang w:val="es-ES"/>
        </w:rPr>
        <w:t xml:space="preserve">) ha previsto aplicar el procedimiento de aprobación tradicional descrito en la cláusula 9 de la Resolución 1 (Rev. Ginebra, 2022) para la aprobación de los proyectos de nueva Recomendación citados UIT-T Y.4235 (ex </w:t>
      </w:r>
      <w:proofErr w:type="spellStart"/>
      <w:r w:rsidRPr="004654B9">
        <w:rPr>
          <w:sz w:val="22"/>
          <w:szCs w:val="22"/>
          <w:lang w:val="es-ES"/>
        </w:rPr>
        <w:t>Y.PGComNet-Reqts</w:t>
      </w:r>
      <w:proofErr w:type="spellEnd"/>
      <w:r w:rsidRPr="004654B9">
        <w:rPr>
          <w:sz w:val="22"/>
          <w:szCs w:val="22"/>
          <w:lang w:val="es-ES"/>
        </w:rPr>
        <w:t>), UIT-T Y.4236 (ex Y.EMM-</w:t>
      </w:r>
      <w:proofErr w:type="spellStart"/>
      <w:r w:rsidRPr="004654B9">
        <w:rPr>
          <w:sz w:val="22"/>
          <w:szCs w:val="22"/>
          <w:lang w:val="es-ES"/>
        </w:rPr>
        <w:t>Reqts</w:t>
      </w:r>
      <w:proofErr w:type="spellEnd"/>
      <w:r w:rsidRPr="004654B9">
        <w:rPr>
          <w:sz w:val="22"/>
          <w:szCs w:val="22"/>
          <w:lang w:val="es-ES"/>
        </w:rPr>
        <w:t xml:space="preserve">), UIT-T Y.4237 (ex </w:t>
      </w:r>
      <w:proofErr w:type="spellStart"/>
      <w:r w:rsidRPr="004654B9">
        <w:rPr>
          <w:sz w:val="22"/>
          <w:szCs w:val="22"/>
          <w:lang w:val="es-ES"/>
        </w:rPr>
        <w:t>Y.dt</w:t>
      </w:r>
      <w:proofErr w:type="spellEnd"/>
      <w:r w:rsidRPr="004654B9">
        <w:rPr>
          <w:sz w:val="22"/>
          <w:szCs w:val="22"/>
          <w:lang w:val="es-ES"/>
        </w:rPr>
        <w:t xml:space="preserve">-IWCS), UIT-T Y.4496 (ex Y.RA-PHE), UIT-T Y.4708 (ex </w:t>
      </w:r>
      <w:proofErr w:type="spellStart"/>
      <w:r w:rsidRPr="004654B9">
        <w:rPr>
          <w:sz w:val="22"/>
          <w:szCs w:val="22"/>
          <w:lang w:val="es-ES"/>
        </w:rPr>
        <w:t>Y.IoT</w:t>
      </w:r>
      <w:proofErr w:type="spellEnd"/>
      <w:r w:rsidRPr="004654B9">
        <w:rPr>
          <w:sz w:val="22"/>
          <w:szCs w:val="22"/>
          <w:lang w:val="es-ES"/>
        </w:rPr>
        <w:t xml:space="preserve">-DPE), UIT-T Y.4609 (ex </w:t>
      </w:r>
      <w:proofErr w:type="spellStart"/>
      <w:r w:rsidRPr="004654B9">
        <w:rPr>
          <w:sz w:val="22"/>
          <w:szCs w:val="22"/>
          <w:lang w:val="es-ES"/>
        </w:rPr>
        <w:t>Y.metadata</w:t>
      </w:r>
      <w:proofErr w:type="spellEnd"/>
      <w:r w:rsidRPr="004654B9">
        <w:rPr>
          <w:sz w:val="22"/>
          <w:szCs w:val="22"/>
          <w:lang w:val="es-ES"/>
        </w:rPr>
        <w:t>-EPI), UIT-T Y.4813 (ex </w:t>
      </w:r>
      <w:proofErr w:type="spellStart"/>
      <w:r w:rsidRPr="004654B9">
        <w:rPr>
          <w:sz w:val="22"/>
          <w:szCs w:val="22"/>
          <w:lang w:val="es-ES"/>
        </w:rPr>
        <w:t>Y.iepi</w:t>
      </w:r>
      <w:proofErr w:type="spellEnd"/>
      <w:r w:rsidRPr="004654B9">
        <w:rPr>
          <w:sz w:val="22"/>
          <w:szCs w:val="22"/>
          <w:lang w:val="es-ES"/>
        </w:rPr>
        <w:t>-dm-</w:t>
      </w:r>
      <w:proofErr w:type="spellStart"/>
      <w:r w:rsidRPr="004654B9">
        <w:rPr>
          <w:sz w:val="22"/>
          <w:szCs w:val="22"/>
          <w:lang w:val="es-ES"/>
        </w:rPr>
        <w:t>sa</w:t>
      </w:r>
      <w:proofErr w:type="spellEnd"/>
      <w:r w:rsidRPr="004654B9">
        <w:rPr>
          <w:sz w:val="22"/>
          <w:szCs w:val="22"/>
          <w:lang w:val="es-ES"/>
        </w:rPr>
        <w:t>), UIT-T Y.4814 (ex</w:t>
      </w:r>
      <w:r w:rsidR="00982867" w:rsidRPr="004654B9">
        <w:rPr>
          <w:sz w:val="22"/>
          <w:szCs w:val="22"/>
          <w:lang w:val="es-ES"/>
        </w:rPr>
        <w:t> </w:t>
      </w:r>
      <w:proofErr w:type="spellStart"/>
      <w:r w:rsidRPr="004654B9">
        <w:rPr>
          <w:sz w:val="22"/>
          <w:szCs w:val="22"/>
          <w:lang w:val="es-ES"/>
        </w:rPr>
        <w:t>Y.IoT-acs-fra</w:t>
      </w:r>
      <w:proofErr w:type="spellEnd"/>
      <w:r w:rsidRPr="004654B9">
        <w:rPr>
          <w:sz w:val="22"/>
          <w:szCs w:val="22"/>
          <w:lang w:val="es-ES"/>
        </w:rPr>
        <w:t>) y UIT-T Y.4911 (ex Y.KPI-</w:t>
      </w:r>
      <w:proofErr w:type="spellStart"/>
      <w:r w:rsidRPr="004654B9">
        <w:rPr>
          <w:sz w:val="22"/>
          <w:szCs w:val="22"/>
          <w:lang w:val="es-ES"/>
        </w:rPr>
        <w:t>Flood</w:t>
      </w:r>
      <w:proofErr w:type="spellEnd"/>
      <w:r w:rsidRPr="004654B9">
        <w:rPr>
          <w:sz w:val="22"/>
          <w:szCs w:val="22"/>
          <w:lang w:val="es-ES"/>
        </w:rPr>
        <w:t xml:space="preserve">) en su próxima reunión que tendrá lugar en Ginebra (Suiza), del 15 al 25 de septiembre de 2025. El orden del día y toda la información pertinente relativa a la reunión de la Comisión de Estudio 20 figurarán en la </w:t>
      </w:r>
      <w:hyperlink r:id="rId10" w:history="1">
        <w:r w:rsidRPr="004654B9">
          <w:rPr>
            <w:rStyle w:val="Hyperlink"/>
            <w:sz w:val="22"/>
            <w:szCs w:val="22"/>
            <w:lang w:val="es-ES"/>
          </w:rPr>
          <w:t>carta colectiva 2/20</w:t>
        </w:r>
      </w:hyperlink>
      <w:r w:rsidRPr="004654B9">
        <w:rPr>
          <w:sz w:val="22"/>
          <w:szCs w:val="22"/>
          <w:lang w:val="es-ES"/>
        </w:rPr>
        <w:t>.</w:t>
      </w:r>
    </w:p>
    <w:p w14:paraId="37B94024" w14:textId="77777777" w:rsidR="00126E2B" w:rsidRPr="004654B9" w:rsidRDefault="00126E2B" w:rsidP="004654B9">
      <w:pPr>
        <w:spacing w:before="80"/>
        <w:rPr>
          <w:sz w:val="22"/>
          <w:szCs w:val="22"/>
          <w:lang w:val="es-ES"/>
        </w:rPr>
      </w:pPr>
      <w:r w:rsidRPr="004654B9">
        <w:rPr>
          <w:bCs/>
          <w:sz w:val="22"/>
          <w:szCs w:val="22"/>
          <w:lang w:val="es-ES"/>
        </w:rPr>
        <w:t>2</w:t>
      </w:r>
      <w:r w:rsidRPr="004654B9">
        <w:rPr>
          <w:sz w:val="22"/>
          <w:szCs w:val="22"/>
          <w:lang w:val="es-ES"/>
        </w:rPr>
        <w:tab/>
      </w:r>
      <w:proofErr w:type="gramStart"/>
      <w:r w:rsidRPr="004654B9">
        <w:rPr>
          <w:sz w:val="22"/>
          <w:szCs w:val="22"/>
          <w:lang w:val="es-ES"/>
        </w:rPr>
        <w:t>El</w:t>
      </w:r>
      <w:proofErr w:type="gramEnd"/>
      <w:r w:rsidRPr="004654B9">
        <w:rPr>
          <w:sz w:val="22"/>
          <w:szCs w:val="22"/>
          <w:lang w:val="es-ES"/>
        </w:rPr>
        <w:t xml:space="preserve"> Anexo 1 contiene los títulos, resúmenes y ubicaciones de los proyectos de Recomendación UIT-T propuestos para su aprobación.</w:t>
      </w:r>
    </w:p>
    <w:p w14:paraId="58DE72DB" w14:textId="77777777" w:rsidR="00126E2B" w:rsidRPr="004654B9" w:rsidRDefault="00126E2B" w:rsidP="004654B9">
      <w:pPr>
        <w:spacing w:before="80"/>
        <w:rPr>
          <w:sz w:val="22"/>
          <w:szCs w:val="22"/>
          <w:lang w:val="es-ES"/>
        </w:rPr>
      </w:pPr>
      <w:r w:rsidRPr="004654B9">
        <w:rPr>
          <w:bCs/>
          <w:sz w:val="22"/>
          <w:szCs w:val="22"/>
          <w:lang w:val="es-ES"/>
        </w:rPr>
        <w:t>3</w:t>
      </w:r>
      <w:r w:rsidRPr="004654B9">
        <w:rPr>
          <w:sz w:val="22"/>
          <w:szCs w:val="22"/>
          <w:lang w:val="es-ES"/>
        </w:rPr>
        <w:tab/>
      </w:r>
      <w:proofErr w:type="gramStart"/>
      <w:r w:rsidRPr="004654B9">
        <w:rPr>
          <w:sz w:val="22"/>
          <w:szCs w:val="22"/>
          <w:lang w:val="es-ES"/>
        </w:rPr>
        <w:t>Con</w:t>
      </w:r>
      <w:proofErr w:type="gramEnd"/>
      <w:r w:rsidRPr="004654B9">
        <w:rPr>
          <w:sz w:val="22"/>
          <w:szCs w:val="22"/>
          <w:lang w:val="es-ES"/>
        </w:rPr>
        <w:t xml:space="preserve"> esta Circular se inicia la consulta formal con los Estados Miembros de la UIT sobre si este texto puede considerarse para aprobación en la próxima reunión, de conformidad con la cláusula 9.4 de la Resolución 1. Se ruega a los Estados Miembros que completen y devuelvan el formulario del Anexo 2 antes de las 23.59 horas UTC del </w:t>
      </w:r>
      <w:r w:rsidRPr="004654B9">
        <w:rPr>
          <w:b/>
          <w:bCs/>
          <w:sz w:val="22"/>
          <w:szCs w:val="22"/>
          <w:lang w:val="es-ES"/>
        </w:rPr>
        <w:t>3 de septiembre de 2025</w:t>
      </w:r>
      <w:r w:rsidRPr="004654B9">
        <w:rPr>
          <w:sz w:val="22"/>
          <w:szCs w:val="22"/>
          <w:lang w:val="es-ES"/>
        </w:rPr>
        <w:t>.</w:t>
      </w:r>
    </w:p>
    <w:p w14:paraId="68E90F54" w14:textId="77777777" w:rsidR="00126E2B" w:rsidRPr="004654B9" w:rsidRDefault="00126E2B" w:rsidP="004654B9">
      <w:pPr>
        <w:spacing w:before="80"/>
        <w:rPr>
          <w:sz w:val="22"/>
          <w:szCs w:val="22"/>
          <w:lang w:val="es-ES"/>
        </w:rPr>
      </w:pPr>
      <w:r w:rsidRPr="004654B9">
        <w:rPr>
          <w:bCs/>
          <w:sz w:val="22"/>
          <w:szCs w:val="22"/>
          <w:lang w:val="es-ES"/>
        </w:rPr>
        <w:t>4</w:t>
      </w:r>
      <w:r w:rsidRPr="004654B9">
        <w:rPr>
          <w:sz w:val="22"/>
          <w:szCs w:val="22"/>
          <w:lang w:val="es-ES"/>
        </w:rPr>
        <w:tab/>
      </w:r>
      <w:proofErr w:type="gramStart"/>
      <w:r w:rsidRPr="004654B9">
        <w:rPr>
          <w:sz w:val="22"/>
          <w:szCs w:val="22"/>
          <w:lang w:val="es-ES"/>
        </w:rPr>
        <w:t>Si</w:t>
      </w:r>
      <w:proofErr w:type="gramEnd"/>
      <w:r w:rsidRPr="004654B9">
        <w:rPr>
          <w:sz w:val="22"/>
          <w:szCs w:val="22"/>
          <w:lang w:val="es-ES"/>
        </w:rPr>
        <w:t xml:space="preserve"> al menos el 70% de las respuestas de los Estados Miembros es favorable a considerarse la aprobación, se dedicará una Sesión Plenaria a la aplicación del procedimiento de aprobación. Los Estados Miembros que no otorguen autoridad para proceder deben informar al </w:t>
      </w:r>
      <w:proofErr w:type="gramStart"/>
      <w:r w:rsidRPr="004654B9">
        <w:rPr>
          <w:sz w:val="22"/>
          <w:szCs w:val="22"/>
          <w:lang w:val="es-ES"/>
        </w:rPr>
        <w:t>Director</w:t>
      </w:r>
      <w:proofErr w:type="gramEnd"/>
      <w:r w:rsidRPr="004654B9">
        <w:rPr>
          <w:sz w:val="22"/>
          <w:szCs w:val="22"/>
          <w:lang w:val="es-ES"/>
        </w:rPr>
        <w:t xml:space="preserve"> de la TSB de los motivos en que se fundamenta esta opinión e indicar los cambios que podrían permitir el proseguimiento de los trabajos.</w:t>
      </w:r>
    </w:p>
    <w:p w14:paraId="29CABF37" w14:textId="5CE4F270" w:rsidR="007B6316" w:rsidRPr="004654B9" w:rsidRDefault="00126E2B" w:rsidP="004654B9">
      <w:pPr>
        <w:pStyle w:val="Note"/>
        <w:spacing w:before="80"/>
        <w:rPr>
          <w:sz w:val="22"/>
          <w:szCs w:val="22"/>
        </w:rPr>
      </w:pPr>
      <w:r w:rsidRPr="004654B9">
        <w:rPr>
          <w:sz w:val="22"/>
          <w:szCs w:val="22"/>
          <w:lang w:val="es-ES"/>
        </w:rPr>
        <w:t xml:space="preserve">NOTA DE LA TSB – En la fecha de la presente Circular, la TSB no había recibido ninguna declaración de DPI en relación con este proyecto de texto. Para obtener información actualizada, se invita a los Miembros a consultar la base de datos de DPI en </w:t>
      </w:r>
      <w:hyperlink r:id="rId11" w:history="1">
        <w:r w:rsidR="0026306F" w:rsidRPr="004654B9">
          <w:rPr>
            <w:rStyle w:val="Hyperlink"/>
            <w:sz w:val="22"/>
            <w:szCs w:val="22"/>
            <w:lang w:val="es-ES"/>
          </w:rPr>
          <w:t>www.itu.int/es/ITU-T/ipr/Pages/default.aspx</w:t>
        </w:r>
      </w:hyperlink>
      <w:r w:rsidRPr="004654B9">
        <w:rPr>
          <w:sz w:val="22"/>
          <w:szCs w:val="22"/>
          <w:lang w:val="es-ES"/>
        </w:rPr>
        <w:t>.</w:t>
      </w:r>
    </w:p>
    <w:p w14:paraId="44FC500D" w14:textId="3A5663A4" w:rsidR="004654B9" w:rsidRDefault="007B6316" w:rsidP="004654B9">
      <w:pPr>
        <w:spacing w:before="80"/>
        <w:rPr>
          <w:sz w:val="22"/>
          <w:szCs w:val="22"/>
        </w:rPr>
      </w:pPr>
      <w:r w:rsidRPr="004654B9">
        <w:rPr>
          <w:sz w:val="22"/>
          <w:szCs w:val="22"/>
        </w:rPr>
        <w:t>Atentamente,</w:t>
      </w:r>
    </w:p>
    <w:p w14:paraId="17A5FDAC" w14:textId="1F394CBE" w:rsidR="007B6316" w:rsidRPr="004654B9" w:rsidRDefault="008D580F" w:rsidP="004654B9">
      <w:pPr>
        <w:spacing w:before="600"/>
        <w:rPr>
          <w:sz w:val="22"/>
          <w:szCs w:val="22"/>
        </w:rPr>
      </w:pPr>
      <w:r>
        <w:rPr>
          <w:noProof/>
          <w:sz w:val="22"/>
          <w:szCs w:val="22"/>
        </w:rPr>
        <w:drawing>
          <wp:anchor distT="0" distB="0" distL="114300" distR="114300" simplePos="0" relativeHeight="251658240" behindDoc="1" locked="0" layoutInCell="1" allowOverlap="1" wp14:anchorId="78ABAC69" wp14:editId="7441D768">
            <wp:simplePos x="0" y="0"/>
            <wp:positionH relativeFrom="margin">
              <wp:align>left</wp:align>
            </wp:positionH>
            <wp:positionV relativeFrom="paragraph">
              <wp:posOffset>22225</wp:posOffset>
            </wp:positionV>
            <wp:extent cx="825542" cy="330217"/>
            <wp:effectExtent l="0" t="0" r="0" b="0"/>
            <wp:wrapNone/>
            <wp:docPr id="163789939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99392" name="Picture 2" descr="A black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1350B9" w:rsidRPr="004654B9">
        <w:rPr>
          <w:rFonts w:cstheme="minorHAnsi"/>
          <w:sz w:val="22"/>
          <w:szCs w:val="22"/>
          <w:lang w:val="es-ES"/>
        </w:rPr>
        <w:t>Seizo Onoe</w:t>
      </w:r>
      <w:r w:rsidR="007B6316" w:rsidRPr="004654B9">
        <w:rPr>
          <w:sz w:val="22"/>
          <w:szCs w:val="22"/>
        </w:rPr>
        <w:br/>
      </w:r>
      <w:proofErr w:type="gramStart"/>
      <w:r w:rsidR="007B6316" w:rsidRPr="004654B9">
        <w:rPr>
          <w:sz w:val="22"/>
          <w:szCs w:val="22"/>
        </w:rPr>
        <w:t>Director</w:t>
      </w:r>
      <w:proofErr w:type="gramEnd"/>
      <w:r w:rsidR="007B6316" w:rsidRPr="004654B9">
        <w:rPr>
          <w:sz w:val="22"/>
          <w:szCs w:val="22"/>
        </w:rPr>
        <w:t xml:space="preserve"> de la Oficina de </w:t>
      </w:r>
      <w:r w:rsidR="007B6316" w:rsidRPr="004654B9">
        <w:rPr>
          <w:sz w:val="22"/>
          <w:szCs w:val="22"/>
        </w:rPr>
        <w:br/>
        <w:t>Normalización de las Telecomunicaciones</w:t>
      </w:r>
    </w:p>
    <w:p w14:paraId="4B155690" w14:textId="045F1354" w:rsidR="0001213C" w:rsidRPr="004654B9" w:rsidRDefault="0001213C" w:rsidP="004654B9">
      <w:pPr>
        <w:rPr>
          <w:sz w:val="22"/>
          <w:szCs w:val="22"/>
        </w:rPr>
      </w:pPr>
      <w:r w:rsidRPr="004654B9">
        <w:rPr>
          <w:b/>
          <w:bCs/>
          <w:sz w:val="22"/>
          <w:szCs w:val="22"/>
        </w:rPr>
        <w:t>Anexos:</w:t>
      </w:r>
      <w:r w:rsidRPr="004654B9">
        <w:rPr>
          <w:sz w:val="22"/>
          <w:szCs w:val="22"/>
        </w:rPr>
        <w:t xml:space="preserve"> </w:t>
      </w:r>
      <w:r w:rsidRPr="004654B9">
        <w:rPr>
          <w:bCs/>
          <w:sz w:val="22"/>
          <w:szCs w:val="22"/>
        </w:rPr>
        <w:t>2</w:t>
      </w:r>
    </w:p>
    <w:p w14:paraId="3A3E95A4" w14:textId="278730C9" w:rsidR="00126E2B" w:rsidRPr="00551149" w:rsidRDefault="00126E2B" w:rsidP="00551149">
      <w:pPr>
        <w:pStyle w:val="AnnexNotitle"/>
      </w:pPr>
      <w:r w:rsidRPr="00551149">
        <w:lastRenderedPageBreak/>
        <w:t>ANEX</w:t>
      </w:r>
      <w:r w:rsidR="0001213C">
        <w:t>O</w:t>
      </w:r>
      <w:r w:rsidRPr="00551149">
        <w:t xml:space="preserve"> 1</w:t>
      </w:r>
      <w:r w:rsidRPr="00551149">
        <w:br/>
        <w:t>Resumen y ubicación de los proyectos de nueva Recomendación determinada UIT</w:t>
      </w:r>
      <w:r w:rsidR="0001213C">
        <w:noBreakHyphen/>
      </w:r>
      <w:r w:rsidRPr="00551149">
        <w:t xml:space="preserve">T Y.4235 (ex </w:t>
      </w:r>
      <w:proofErr w:type="spellStart"/>
      <w:proofErr w:type="gramStart"/>
      <w:r w:rsidRPr="00551149">
        <w:t>Y.PGComNet</w:t>
      </w:r>
      <w:proofErr w:type="gramEnd"/>
      <w:r w:rsidRPr="00551149">
        <w:t>-Reqts</w:t>
      </w:r>
      <w:proofErr w:type="spellEnd"/>
      <w:r w:rsidRPr="00551149">
        <w:t>), UIT-T Y.4236 (ex Y.EMM-</w:t>
      </w:r>
      <w:proofErr w:type="spellStart"/>
      <w:r w:rsidRPr="00551149">
        <w:t>Reqts</w:t>
      </w:r>
      <w:proofErr w:type="spellEnd"/>
      <w:r w:rsidRPr="00551149">
        <w:t>), UIT</w:t>
      </w:r>
      <w:r w:rsidR="0001213C">
        <w:noBreakHyphen/>
      </w:r>
      <w:r w:rsidRPr="00551149">
        <w:t>T</w:t>
      </w:r>
      <w:r w:rsidR="0001213C">
        <w:t> </w:t>
      </w:r>
      <w:r w:rsidRPr="00551149">
        <w:t xml:space="preserve">Y.4237 (ex </w:t>
      </w:r>
      <w:proofErr w:type="spellStart"/>
      <w:proofErr w:type="gramStart"/>
      <w:r w:rsidRPr="00551149">
        <w:t>Y.dt</w:t>
      </w:r>
      <w:proofErr w:type="spellEnd"/>
      <w:proofErr w:type="gramEnd"/>
      <w:r w:rsidRPr="00551149">
        <w:t xml:space="preserve">-IWCS), UIT-T Y.4496 (ex Y.RA-PHE), UIT-T Y.4708 </w:t>
      </w:r>
      <w:r w:rsidR="0001213C">
        <w:br/>
      </w:r>
      <w:r w:rsidRPr="00551149">
        <w:t xml:space="preserve">(ex </w:t>
      </w:r>
      <w:proofErr w:type="spellStart"/>
      <w:proofErr w:type="gramStart"/>
      <w:r w:rsidRPr="00551149">
        <w:t>Y.IoT</w:t>
      </w:r>
      <w:proofErr w:type="spellEnd"/>
      <w:proofErr w:type="gramEnd"/>
      <w:r w:rsidRPr="00551149">
        <w:t xml:space="preserve">-DPE), UIT-T Y.4609 (ex </w:t>
      </w:r>
      <w:proofErr w:type="spellStart"/>
      <w:proofErr w:type="gramStart"/>
      <w:r w:rsidRPr="00551149">
        <w:t>Y.metadata</w:t>
      </w:r>
      <w:proofErr w:type="spellEnd"/>
      <w:proofErr w:type="gramEnd"/>
      <w:r w:rsidRPr="00551149">
        <w:t xml:space="preserve">-EPI), UIT-T Y.4813 (ex </w:t>
      </w:r>
      <w:proofErr w:type="spellStart"/>
      <w:proofErr w:type="gramStart"/>
      <w:r w:rsidRPr="00551149">
        <w:t>Y.iepi</w:t>
      </w:r>
      <w:proofErr w:type="spellEnd"/>
      <w:proofErr w:type="gramEnd"/>
      <w:r w:rsidRPr="00551149">
        <w:t>-dm-</w:t>
      </w:r>
      <w:proofErr w:type="spellStart"/>
      <w:r w:rsidRPr="00551149">
        <w:t>sa</w:t>
      </w:r>
      <w:proofErr w:type="spellEnd"/>
      <w:r w:rsidRPr="00551149">
        <w:t xml:space="preserve">), UIT-T Y.4814 (ex </w:t>
      </w:r>
      <w:proofErr w:type="spellStart"/>
      <w:proofErr w:type="gramStart"/>
      <w:r w:rsidRPr="00551149">
        <w:t>Y.IoT</w:t>
      </w:r>
      <w:proofErr w:type="gramEnd"/>
      <w:r w:rsidRPr="00551149">
        <w:t>-acs-fra</w:t>
      </w:r>
      <w:proofErr w:type="spellEnd"/>
      <w:r w:rsidRPr="00551149">
        <w:t>) y UIT-T Y.4911 (ex Y.KPI-</w:t>
      </w:r>
      <w:proofErr w:type="spellStart"/>
      <w:r w:rsidRPr="00551149">
        <w:t>Flood</w:t>
      </w:r>
      <w:proofErr w:type="spellEnd"/>
      <w:r w:rsidRPr="00551149">
        <w:t>)</w:t>
      </w:r>
    </w:p>
    <w:p w14:paraId="0DFF7851" w14:textId="1DEE468F" w:rsidR="00126E2B" w:rsidRPr="00126E2B" w:rsidRDefault="00126E2B" w:rsidP="00551149">
      <w:pPr>
        <w:pStyle w:val="Heading1"/>
        <w:rPr>
          <w:lang w:val="es-ES"/>
        </w:rPr>
      </w:pPr>
      <w:r w:rsidRPr="00126E2B">
        <w:rPr>
          <w:lang w:val="es-ES"/>
        </w:rPr>
        <w:t>1</w:t>
      </w:r>
      <w:r w:rsidRPr="00126E2B">
        <w:rPr>
          <w:lang w:val="es-ES"/>
        </w:rPr>
        <w:tab/>
        <w:t xml:space="preserve">Proyecto de nueva Recomendación UIT-T Y.4235 (ex </w:t>
      </w:r>
      <w:proofErr w:type="spellStart"/>
      <w:r w:rsidRPr="00126E2B">
        <w:rPr>
          <w:lang w:val="es-ES"/>
        </w:rPr>
        <w:t>Y.PGComNet-Reqts</w:t>
      </w:r>
      <w:proofErr w:type="spellEnd"/>
      <w:r w:rsidRPr="00126E2B">
        <w:rPr>
          <w:lang w:val="es-ES"/>
        </w:rPr>
        <w:t>) [</w:t>
      </w:r>
      <w:hyperlink r:id="rId13" w:history="1">
        <w:r w:rsidRPr="00126E2B">
          <w:rPr>
            <w:rStyle w:val="Hyperlink"/>
            <w:lang w:val="es-ES"/>
          </w:rPr>
          <w:t>SG20-R2</w:t>
        </w:r>
      </w:hyperlink>
      <w:r w:rsidRPr="00126E2B">
        <w:rPr>
          <w:lang w:val="es-ES"/>
        </w:rPr>
        <w:t>]</w:t>
      </w:r>
    </w:p>
    <w:p w14:paraId="1CB776B2" w14:textId="5915B0C4" w:rsidR="00126E2B" w:rsidRPr="00126E2B" w:rsidRDefault="00126E2B" w:rsidP="00551149">
      <w:pPr>
        <w:rPr>
          <w:lang w:val="es-ES"/>
        </w:rPr>
      </w:pPr>
      <w:r w:rsidRPr="00126E2B">
        <w:rPr>
          <w:lang w:val="es-ES"/>
        </w:rPr>
        <w:t xml:space="preserve">Requisitos de las redes eléctricas de comunicaciones basadas en </w:t>
      </w:r>
      <w:proofErr w:type="spellStart"/>
      <w:r w:rsidRPr="00126E2B">
        <w:rPr>
          <w:lang w:val="es-ES"/>
        </w:rPr>
        <w:t>IoT</w:t>
      </w:r>
      <w:proofErr w:type="spellEnd"/>
      <w:r w:rsidR="0001213C">
        <w:rPr>
          <w:lang w:val="es-ES"/>
        </w:rPr>
        <w:t>.</w:t>
      </w:r>
    </w:p>
    <w:p w14:paraId="45515824" w14:textId="77777777" w:rsidR="00126E2B" w:rsidRPr="00126E2B" w:rsidRDefault="00126E2B" w:rsidP="00551149">
      <w:pPr>
        <w:pStyle w:val="Headingb0"/>
        <w:rPr>
          <w:lang w:val="es-ES"/>
        </w:rPr>
      </w:pPr>
      <w:r w:rsidRPr="00126E2B">
        <w:rPr>
          <w:lang w:val="es-ES"/>
        </w:rPr>
        <w:t>Resumen</w:t>
      </w:r>
    </w:p>
    <w:p w14:paraId="5CAF2FDF" w14:textId="77777777" w:rsidR="00126E2B" w:rsidRPr="00126E2B" w:rsidRDefault="00126E2B" w:rsidP="00551149">
      <w:pPr>
        <w:rPr>
          <w:lang w:val="es-ES"/>
        </w:rPr>
      </w:pPr>
      <w:r w:rsidRPr="00126E2B">
        <w:rPr>
          <w:lang w:val="es-ES"/>
        </w:rPr>
        <w:t xml:space="preserve">Esta Recomendación especifica los requisitos de las redes eléctricas de comunicaciones por </w:t>
      </w:r>
      <w:proofErr w:type="spellStart"/>
      <w:r w:rsidRPr="00126E2B">
        <w:rPr>
          <w:lang w:val="es-ES"/>
        </w:rPr>
        <w:t>IoT</w:t>
      </w:r>
      <w:proofErr w:type="spellEnd"/>
      <w:r w:rsidRPr="00126E2B">
        <w:rPr>
          <w:lang w:val="es-ES"/>
        </w:rPr>
        <w:t>.</w:t>
      </w:r>
    </w:p>
    <w:p w14:paraId="47CC7333" w14:textId="2E82B57A" w:rsidR="00126E2B" w:rsidRPr="00126E2B" w:rsidRDefault="00126E2B" w:rsidP="00551149">
      <w:pPr>
        <w:rPr>
          <w:lang w:val="es-ES"/>
        </w:rPr>
      </w:pPr>
      <w:r w:rsidRPr="00126E2B">
        <w:rPr>
          <w:lang w:val="es-ES"/>
        </w:rPr>
        <w:t xml:space="preserve">La red eléctrica de comunicación por </w:t>
      </w:r>
      <w:proofErr w:type="spellStart"/>
      <w:r w:rsidRPr="00126E2B">
        <w:rPr>
          <w:lang w:val="es-ES"/>
        </w:rPr>
        <w:t>IoT</w:t>
      </w:r>
      <w:proofErr w:type="spellEnd"/>
      <w:r w:rsidRPr="00126E2B">
        <w:rPr>
          <w:lang w:val="es-ES"/>
        </w:rPr>
        <w:t xml:space="preserve"> permite la interacción bidireccional de datos en todas las fases del funcionamiento de la red eléctrica, incluidas la generación, la transmisión, la distribución y el consumo de energía eléctrica. Se trata de un medio eficaz para conocer en detalle el estado de la red eléctrica y posibilitar la interacción persona-computador y el acceso ubicuo a los dispositivos </w:t>
      </w:r>
      <w:proofErr w:type="spellStart"/>
      <w:r w:rsidRPr="00126E2B">
        <w:rPr>
          <w:lang w:val="es-ES"/>
        </w:rPr>
        <w:t>IoT</w:t>
      </w:r>
      <w:proofErr w:type="spellEnd"/>
      <w:r w:rsidRPr="00126E2B">
        <w:rPr>
          <w:lang w:val="es-ES"/>
        </w:rPr>
        <w:t xml:space="preserve"> de la red eléctrica.</w:t>
      </w:r>
    </w:p>
    <w:p w14:paraId="096C48AB" w14:textId="4998BE32" w:rsidR="00126E2B" w:rsidRPr="00126E2B" w:rsidRDefault="00126E2B" w:rsidP="00551149">
      <w:pPr>
        <w:pStyle w:val="Heading1"/>
        <w:rPr>
          <w:lang w:val="es-ES"/>
        </w:rPr>
      </w:pPr>
      <w:r w:rsidRPr="00126E2B">
        <w:rPr>
          <w:lang w:val="es-ES"/>
        </w:rPr>
        <w:t>2</w:t>
      </w:r>
      <w:r w:rsidRPr="00126E2B">
        <w:rPr>
          <w:lang w:val="es-ES"/>
        </w:rPr>
        <w:tab/>
        <w:t>Proyecto de nueva Recomendación UIT-T Y.4236 (ex Y.EMM-</w:t>
      </w:r>
      <w:proofErr w:type="spellStart"/>
      <w:r w:rsidRPr="00126E2B">
        <w:rPr>
          <w:lang w:val="es-ES"/>
        </w:rPr>
        <w:t>Reqts</w:t>
      </w:r>
      <w:proofErr w:type="spellEnd"/>
      <w:r w:rsidRPr="00126E2B">
        <w:rPr>
          <w:lang w:val="es-ES"/>
        </w:rPr>
        <w:t>) [</w:t>
      </w:r>
      <w:hyperlink r:id="rId14" w:history="1">
        <w:r w:rsidRPr="00126E2B">
          <w:rPr>
            <w:color w:val="0000FF"/>
            <w:u w:val="single"/>
            <w:lang w:val="es-ES"/>
          </w:rPr>
          <w:t>SG20-R3</w:t>
        </w:r>
      </w:hyperlink>
      <w:r w:rsidRPr="00126E2B">
        <w:rPr>
          <w:lang w:val="es-ES"/>
        </w:rPr>
        <w:t>]</w:t>
      </w:r>
    </w:p>
    <w:p w14:paraId="1A2C7322" w14:textId="6778D42C" w:rsidR="00126E2B" w:rsidRPr="00126E2B" w:rsidRDefault="00126E2B" w:rsidP="00551149">
      <w:pPr>
        <w:rPr>
          <w:lang w:val="es-ES"/>
        </w:rPr>
      </w:pPr>
      <w:r w:rsidRPr="00126E2B">
        <w:rPr>
          <w:lang w:val="es-ES"/>
        </w:rPr>
        <w:t>Requisitos para la supervisión y gestión integrada de eventos en tiempo real en plataformas de ciudades inteligentes</w:t>
      </w:r>
      <w:r w:rsidR="00551149">
        <w:rPr>
          <w:lang w:val="es-ES"/>
        </w:rPr>
        <w:t>.</w:t>
      </w:r>
    </w:p>
    <w:p w14:paraId="36499CDE" w14:textId="77777777" w:rsidR="00126E2B" w:rsidRPr="00126E2B" w:rsidRDefault="00126E2B" w:rsidP="00551149">
      <w:pPr>
        <w:pStyle w:val="Headingb0"/>
        <w:rPr>
          <w:lang w:val="es-ES"/>
        </w:rPr>
      </w:pPr>
      <w:r w:rsidRPr="00126E2B">
        <w:rPr>
          <w:lang w:val="es-ES"/>
        </w:rPr>
        <w:t>Resumen</w:t>
      </w:r>
    </w:p>
    <w:p w14:paraId="4113CF5C" w14:textId="03C54D73" w:rsidR="00126E2B" w:rsidRPr="00126E2B" w:rsidRDefault="00126E2B" w:rsidP="00551149">
      <w:pPr>
        <w:rPr>
          <w:lang w:val="es-ES"/>
        </w:rPr>
      </w:pPr>
      <w:r w:rsidRPr="00126E2B">
        <w:rPr>
          <w:lang w:val="es-ES"/>
        </w:rPr>
        <w:t>Esta Recomendación describe y especifica los requisitos de una plataforma de supervisión y gestión integrada de eventos (EMM) en tiempo real. La plataforma EMM es un tipo de plataforma de ciudad inteligente (SCP) (véase la Recomendación UIT-T Y.4201) que está especialmente diseñada para permitir a las autoridades internas y externas de la ciudad tomar decisiones informadas y responder sin dilación a los eventos que puedan surgir en una ciudad gracias a la vigilancia en tiempo real, lo que en última instancia permite prestar servicios municipales más eficientes a los ciudadanos.</w:t>
      </w:r>
    </w:p>
    <w:p w14:paraId="3006C6AD" w14:textId="29CEAD02" w:rsidR="00126E2B" w:rsidRPr="00126E2B" w:rsidRDefault="00126E2B" w:rsidP="00551149">
      <w:pPr>
        <w:pStyle w:val="Heading1"/>
        <w:rPr>
          <w:lang w:val="es-ES"/>
        </w:rPr>
      </w:pPr>
      <w:r w:rsidRPr="00126E2B">
        <w:rPr>
          <w:lang w:val="es-ES"/>
        </w:rPr>
        <w:t>3</w:t>
      </w:r>
      <w:r w:rsidRPr="00126E2B">
        <w:rPr>
          <w:lang w:val="es-ES"/>
        </w:rPr>
        <w:tab/>
        <w:t xml:space="preserve">Proyecto de nueva Recomendación UIT-T Y.4237 (ex </w:t>
      </w:r>
      <w:proofErr w:type="spellStart"/>
      <w:r w:rsidRPr="00126E2B">
        <w:rPr>
          <w:lang w:val="es-ES"/>
        </w:rPr>
        <w:t>Y.dt</w:t>
      </w:r>
      <w:proofErr w:type="spellEnd"/>
      <w:r w:rsidRPr="00126E2B">
        <w:rPr>
          <w:lang w:val="es-ES"/>
        </w:rPr>
        <w:t>-IWCS) [</w:t>
      </w:r>
      <w:hyperlink r:id="rId15" w:history="1">
        <w:r w:rsidRPr="00126E2B">
          <w:rPr>
            <w:color w:val="0000FF"/>
            <w:u w:val="single"/>
            <w:lang w:val="es-ES"/>
          </w:rPr>
          <w:t>SG20-R4</w:t>
        </w:r>
      </w:hyperlink>
      <w:r w:rsidRPr="00126E2B">
        <w:rPr>
          <w:lang w:val="es-ES"/>
        </w:rPr>
        <w:t>]</w:t>
      </w:r>
    </w:p>
    <w:p w14:paraId="0F00B4EA" w14:textId="7727AED2" w:rsidR="00126E2B" w:rsidRPr="00126E2B" w:rsidRDefault="00126E2B" w:rsidP="00551149">
      <w:pPr>
        <w:rPr>
          <w:lang w:val="es-ES"/>
        </w:rPr>
      </w:pPr>
      <w:r w:rsidRPr="00126E2B">
        <w:rPr>
          <w:lang w:val="es-ES"/>
        </w:rPr>
        <w:t>Requisitos y marco de capacidades de gemelos inteligentes para sistemas inteligentes de conservación del agua</w:t>
      </w:r>
      <w:r w:rsidR="0001213C">
        <w:rPr>
          <w:lang w:val="es-ES"/>
        </w:rPr>
        <w:t>.</w:t>
      </w:r>
    </w:p>
    <w:p w14:paraId="29293539" w14:textId="77777777" w:rsidR="00126E2B" w:rsidRPr="00126E2B" w:rsidRDefault="00126E2B" w:rsidP="00551149">
      <w:pPr>
        <w:pStyle w:val="Headingb0"/>
        <w:rPr>
          <w:lang w:val="es-ES"/>
        </w:rPr>
      </w:pPr>
      <w:r w:rsidRPr="00126E2B">
        <w:rPr>
          <w:lang w:val="es-ES"/>
        </w:rPr>
        <w:t>Resumen</w:t>
      </w:r>
    </w:p>
    <w:p w14:paraId="2CEB98BC" w14:textId="3D0E880B" w:rsidR="00126E2B" w:rsidRPr="00126E2B" w:rsidRDefault="00126E2B" w:rsidP="00551149">
      <w:pPr>
        <w:rPr>
          <w:lang w:val="es-ES"/>
        </w:rPr>
      </w:pPr>
      <w:r w:rsidRPr="00126E2B">
        <w:rPr>
          <w:lang w:val="es-ES"/>
        </w:rPr>
        <w:t>La Recomendación UIT-T Y.4237 especifica los requisitos y el marco de capacidades del gemelo digital para sistemas inteligente</w:t>
      </w:r>
      <w:r w:rsidR="0001213C">
        <w:rPr>
          <w:lang w:val="es-ES"/>
        </w:rPr>
        <w:t>s</w:t>
      </w:r>
      <w:r w:rsidRPr="00126E2B">
        <w:rPr>
          <w:lang w:val="es-ES"/>
        </w:rPr>
        <w:t xml:space="preserve"> de conservación del agua. (DT-IWCS).</w:t>
      </w:r>
    </w:p>
    <w:p w14:paraId="654F33A5" w14:textId="365B8E1A" w:rsidR="00126E2B" w:rsidRPr="00126E2B" w:rsidRDefault="00126E2B" w:rsidP="00551149">
      <w:pPr>
        <w:rPr>
          <w:lang w:val="es-ES"/>
        </w:rPr>
      </w:pPr>
      <w:r w:rsidRPr="00126E2B">
        <w:rPr>
          <w:lang w:val="es-ES"/>
        </w:rPr>
        <w:t>La conservación del agua es siempre un factor importante en la planificación de los recursos hídricos. Los sistemas inteligentes de conservación del agua basados en gemelos digitales pueden ayudar a supervisar, controlar y gestionar de manera inteligente el uso de los recursos hídricos gracias a la interacción mediante gemelos digitales entre los objetos digitales y los objetos físicos de los sistemas inteligentes de conservación del agua.</w:t>
      </w:r>
    </w:p>
    <w:p w14:paraId="2A7D287E" w14:textId="5918172B" w:rsidR="00126E2B" w:rsidRPr="00126E2B" w:rsidRDefault="00126E2B" w:rsidP="00551149">
      <w:pPr>
        <w:pStyle w:val="Heading1"/>
        <w:rPr>
          <w:lang w:val="es-ES"/>
        </w:rPr>
      </w:pPr>
      <w:r w:rsidRPr="00126E2B">
        <w:rPr>
          <w:lang w:val="es-ES"/>
        </w:rPr>
        <w:lastRenderedPageBreak/>
        <w:t>4</w:t>
      </w:r>
      <w:r w:rsidRPr="00126E2B">
        <w:rPr>
          <w:lang w:val="es-ES"/>
        </w:rPr>
        <w:tab/>
        <w:t>Proyecto de nueva Recomendación UIT-T Y.4496 (ex Y.RA-PHE) [</w:t>
      </w:r>
      <w:hyperlink r:id="rId16" w:history="1">
        <w:r w:rsidRPr="00126E2B">
          <w:rPr>
            <w:color w:val="0000FF"/>
            <w:u w:val="single"/>
            <w:lang w:val="es-ES"/>
          </w:rPr>
          <w:t>SG20-R5</w:t>
        </w:r>
      </w:hyperlink>
      <w:r w:rsidRPr="00126E2B">
        <w:rPr>
          <w:lang w:val="es-ES"/>
        </w:rPr>
        <w:t>]</w:t>
      </w:r>
    </w:p>
    <w:p w14:paraId="1E8744AA" w14:textId="69AA9E1C" w:rsidR="00126E2B" w:rsidRPr="00126E2B" w:rsidRDefault="00126E2B" w:rsidP="00551149">
      <w:pPr>
        <w:rPr>
          <w:lang w:val="es-ES"/>
        </w:rPr>
      </w:pPr>
      <w:r w:rsidRPr="00126E2B">
        <w:rPr>
          <w:lang w:val="es-ES"/>
        </w:rPr>
        <w:t>Requisitos y arquitectura de referencia de los sistemas inteligentes de información sobre emergencias de salud pública</w:t>
      </w:r>
      <w:r w:rsidR="0001213C">
        <w:rPr>
          <w:lang w:val="es-ES"/>
        </w:rPr>
        <w:t>.</w:t>
      </w:r>
    </w:p>
    <w:p w14:paraId="4661EDE5" w14:textId="77777777" w:rsidR="00126E2B" w:rsidRPr="00126E2B" w:rsidRDefault="00126E2B" w:rsidP="00551149">
      <w:pPr>
        <w:pStyle w:val="Headingb0"/>
        <w:rPr>
          <w:lang w:val="es-ES"/>
        </w:rPr>
      </w:pPr>
      <w:r w:rsidRPr="00126E2B">
        <w:rPr>
          <w:lang w:val="es-ES"/>
        </w:rPr>
        <w:t>Resumen</w:t>
      </w:r>
    </w:p>
    <w:p w14:paraId="35F0569D" w14:textId="77777777" w:rsidR="00126E2B" w:rsidRPr="00126E2B" w:rsidRDefault="00126E2B" w:rsidP="00551149">
      <w:pPr>
        <w:rPr>
          <w:lang w:val="es-ES"/>
        </w:rPr>
      </w:pPr>
      <w:r w:rsidRPr="00126E2B">
        <w:rPr>
          <w:lang w:val="es-ES"/>
        </w:rPr>
        <w:t>La Recomendación UIT-T Y.4496 presenta los requisitos y la arquitectura de referencia de los sistemas inteligentes de información sobre emergencias de salud pública que pueden utilizarse para gestionar los riesgos presentes y futuros para la salud pública.</w:t>
      </w:r>
    </w:p>
    <w:p w14:paraId="60379881" w14:textId="57A9D7AE" w:rsidR="00126E2B" w:rsidRPr="00126E2B" w:rsidRDefault="00126E2B" w:rsidP="00551149">
      <w:pPr>
        <w:pStyle w:val="Heading1"/>
        <w:rPr>
          <w:lang w:val="es-ES"/>
        </w:rPr>
      </w:pPr>
      <w:r w:rsidRPr="00126E2B">
        <w:rPr>
          <w:lang w:val="es-ES"/>
        </w:rPr>
        <w:t>5</w:t>
      </w:r>
      <w:r w:rsidRPr="00126E2B">
        <w:rPr>
          <w:lang w:val="es-ES"/>
        </w:rPr>
        <w:tab/>
        <w:t xml:space="preserve">Proyecto de nueva Recomendación UIT-T Y.4708 (ex </w:t>
      </w:r>
      <w:proofErr w:type="spellStart"/>
      <w:r w:rsidRPr="00126E2B">
        <w:rPr>
          <w:lang w:val="es-ES"/>
        </w:rPr>
        <w:t>Y.IoT</w:t>
      </w:r>
      <w:proofErr w:type="spellEnd"/>
      <w:r w:rsidRPr="00126E2B">
        <w:rPr>
          <w:lang w:val="es-ES"/>
        </w:rPr>
        <w:t>-DPE) [</w:t>
      </w:r>
      <w:hyperlink r:id="rId17" w:history="1">
        <w:r w:rsidRPr="00126E2B">
          <w:rPr>
            <w:color w:val="0000FF"/>
            <w:u w:val="single"/>
            <w:lang w:val="es-ES"/>
          </w:rPr>
          <w:t>SG20-R6</w:t>
        </w:r>
      </w:hyperlink>
      <w:r w:rsidRPr="00126E2B">
        <w:rPr>
          <w:lang w:val="es-ES"/>
        </w:rPr>
        <w:t>]</w:t>
      </w:r>
    </w:p>
    <w:p w14:paraId="4FE2740A" w14:textId="29C4237A" w:rsidR="00126E2B" w:rsidRPr="00126E2B" w:rsidRDefault="00126E2B" w:rsidP="00551149">
      <w:pPr>
        <w:rPr>
          <w:lang w:val="es-ES"/>
        </w:rPr>
      </w:pPr>
      <w:r w:rsidRPr="00126E2B">
        <w:rPr>
          <w:lang w:val="es-ES"/>
        </w:rPr>
        <w:t xml:space="preserve">Marco de gestión de equipos de energía eléctrica distribuidos basados en </w:t>
      </w:r>
      <w:proofErr w:type="spellStart"/>
      <w:r w:rsidRPr="00126E2B">
        <w:rPr>
          <w:lang w:val="es-ES"/>
        </w:rPr>
        <w:t>IoT</w:t>
      </w:r>
      <w:proofErr w:type="spellEnd"/>
      <w:r w:rsidR="0001213C">
        <w:rPr>
          <w:lang w:val="es-ES"/>
        </w:rPr>
        <w:t>.</w:t>
      </w:r>
    </w:p>
    <w:p w14:paraId="3D8A820B" w14:textId="77777777" w:rsidR="00126E2B" w:rsidRPr="00126E2B" w:rsidRDefault="00126E2B" w:rsidP="00551149">
      <w:pPr>
        <w:pStyle w:val="Headingb0"/>
        <w:rPr>
          <w:lang w:val="es-ES"/>
        </w:rPr>
      </w:pPr>
      <w:r w:rsidRPr="00126E2B">
        <w:rPr>
          <w:lang w:val="es-ES"/>
        </w:rPr>
        <w:t>Resumen</w:t>
      </w:r>
    </w:p>
    <w:p w14:paraId="05ABB4BE" w14:textId="77777777" w:rsidR="00126E2B" w:rsidRPr="00126E2B" w:rsidRDefault="00126E2B" w:rsidP="00551149">
      <w:pPr>
        <w:rPr>
          <w:lang w:val="es-ES"/>
        </w:rPr>
      </w:pPr>
      <w:r w:rsidRPr="00126E2B">
        <w:rPr>
          <w:lang w:val="es-ES"/>
        </w:rPr>
        <w:t xml:space="preserve">En los últimos años, ha aumentado la tendencia hacia la integración de inteligencia e </w:t>
      </w:r>
      <w:proofErr w:type="spellStart"/>
      <w:r w:rsidRPr="00126E2B">
        <w:rPr>
          <w:lang w:val="es-ES"/>
        </w:rPr>
        <w:t>IoT</w:t>
      </w:r>
      <w:proofErr w:type="spellEnd"/>
      <w:r w:rsidRPr="00126E2B">
        <w:rPr>
          <w:lang w:val="es-ES"/>
        </w:rPr>
        <w:t xml:space="preserve"> en los equipos de energía eléctrica. La utilización de varios sensores distribuidos y sus sistemas </w:t>
      </w:r>
      <w:proofErr w:type="spellStart"/>
      <w:r w:rsidRPr="00126E2B">
        <w:rPr>
          <w:lang w:val="es-ES"/>
        </w:rPr>
        <w:t>IoT</w:t>
      </w:r>
      <w:proofErr w:type="spellEnd"/>
      <w:r w:rsidRPr="00126E2B">
        <w:rPr>
          <w:lang w:val="es-ES"/>
        </w:rPr>
        <w:t xml:space="preserve"> permite realizar funciones como la supervisión del estado de los equipos de energía eléctrica, la evaluación de diagnósticos y la adopción de decisiones relativas al mantenimiento. Mientras tanto, el funcionamiento seguro, estable y fiable de los equipos de energía eléctrica también depende de la colaboración eficaz de numerosos dispositivos </w:t>
      </w:r>
      <w:proofErr w:type="spellStart"/>
      <w:r w:rsidRPr="00126E2B">
        <w:rPr>
          <w:lang w:val="es-ES"/>
        </w:rPr>
        <w:t>IoT</w:t>
      </w:r>
      <w:proofErr w:type="spellEnd"/>
      <w:r w:rsidRPr="00126E2B">
        <w:rPr>
          <w:lang w:val="es-ES"/>
        </w:rPr>
        <w:t xml:space="preserve"> de detección y control. En consecuencia, urge cada vez más la necesidad de gestionar y coordinar de forma unificada los equipos de energía eléctrica y sus dispositivos de detección y control mediante la tecnología </w:t>
      </w:r>
      <w:proofErr w:type="spellStart"/>
      <w:r w:rsidRPr="00126E2B">
        <w:rPr>
          <w:lang w:val="es-ES"/>
        </w:rPr>
        <w:t>IoT</w:t>
      </w:r>
      <w:proofErr w:type="spellEnd"/>
      <w:r w:rsidRPr="00126E2B">
        <w:rPr>
          <w:lang w:val="es-ES"/>
        </w:rPr>
        <w:t xml:space="preserve"> distribuida.</w:t>
      </w:r>
    </w:p>
    <w:p w14:paraId="2741A136" w14:textId="77777777" w:rsidR="00126E2B" w:rsidRPr="00126E2B" w:rsidRDefault="00126E2B" w:rsidP="00551149">
      <w:pPr>
        <w:rPr>
          <w:lang w:val="es-ES"/>
        </w:rPr>
      </w:pPr>
      <w:r w:rsidRPr="00126E2B">
        <w:rPr>
          <w:lang w:val="es-ES"/>
        </w:rPr>
        <w:t xml:space="preserve">Esta Recomendación describe el marco de gestión de los equipos de energía eléctrica distribuidos basados en </w:t>
      </w:r>
      <w:proofErr w:type="spellStart"/>
      <w:r w:rsidRPr="00126E2B">
        <w:rPr>
          <w:lang w:val="es-ES"/>
        </w:rPr>
        <w:t>IoT</w:t>
      </w:r>
      <w:proofErr w:type="spellEnd"/>
      <w:r w:rsidRPr="00126E2B">
        <w:rPr>
          <w:lang w:val="es-ES"/>
        </w:rPr>
        <w:t>, en particular el marco, los sistemas funcionales y las interfaces de referencia.</w:t>
      </w:r>
    </w:p>
    <w:p w14:paraId="1BD25356" w14:textId="4841352C" w:rsidR="00126E2B" w:rsidRPr="00126E2B" w:rsidRDefault="00126E2B" w:rsidP="00551149">
      <w:pPr>
        <w:pStyle w:val="Heading1"/>
        <w:rPr>
          <w:lang w:val="es-ES"/>
        </w:rPr>
      </w:pPr>
      <w:r w:rsidRPr="00126E2B">
        <w:rPr>
          <w:lang w:val="es-ES"/>
        </w:rPr>
        <w:t>6</w:t>
      </w:r>
      <w:r w:rsidRPr="00126E2B">
        <w:rPr>
          <w:lang w:val="es-ES"/>
        </w:rPr>
        <w:tab/>
        <w:t xml:space="preserve">Proyecto de nueva Recomendación UIT-T Y.4609 (ex </w:t>
      </w:r>
      <w:proofErr w:type="spellStart"/>
      <w:r w:rsidRPr="00126E2B">
        <w:rPr>
          <w:lang w:val="es-ES"/>
        </w:rPr>
        <w:t>Y.metadata</w:t>
      </w:r>
      <w:proofErr w:type="spellEnd"/>
      <w:r w:rsidRPr="00126E2B">
        <w:rPr>
          <w:lang w:val="es-ES"/>
        </w:rPr>
        <w:t>-EPI) [</w:t>
      </w:r>
      <w:hyperlink r:id="rId18" w:history="1">
        <w:r w:rsidRPr="00126E2B">
          <w:rPr>
            <w:color w:val="0000FF"/>
            <w:u w:val="single"/>
            <w:lang w:val="es-ES"/>
          </w:rPr>
          <w:t>SG20-R7</w:t>
        </w:r>
      </w:hyperlink>
      <w:r w:rsidRPr="00126E2B">
        <w:rPr>
          <w:lang w:val="es-ES"/>
        </w:rPr>
        <w:t>]</w:t>
      </w:r>
    </w:p>
    <w:p w14:paraId="6ED3BEFD" w14:textId="76EF376D" w:rsidR="00126E2B" w:rsidRPr="00126E2B" w:rsidRDefault="00126E2B" w:rsidP="00551149">
      <w:pPr>
        <w:rPr>
          <w:lang w:val="es-ES"/>
        </w:rPr>
      </w:pPr>
      <w:r w:rsidRPr="00126E2B">
        <w:rPr>
          <w:lang w:val="es-ES"/>
        </w:rPr>
        <w:t>Metadatos de inventario para sistemas de supervisión de infraestructuras de energía eléctrica basada en </w:t>
      </w:r>
      <w:proofErr w:type="spellStart"/>
      <w:r w:rsidRPr="00126E2B">
        <w:rPr>
          <w:lang w:val="es-ES"/>
        </w:rPr>
        <w:t>IoT</w:t>
      </w:r>
      <w:proofErr w:type="spellEnd"/>
      <w:r w:rsidR="00010F34">
        <w:rPr>
          <w:lang w:val="es-ES"/>
        </w:rPr>
        <w:t>.</w:t>
      </w:r>
    </w:p>
    <w:p w14:paraId="4C52EB51" w14:textId="77777777" w:rsidR="00126E2B" w:rsidRPr="00126E2B" w:rsidRDefault="00126E2B" w:rsidP="00551149">
      <w:pPr>
        <w:pStyle w:val="Headingb0"/>
        <w:rPr>
          <w:lang w:val="es-ES"/>
        </w:rPr>
      </w:pPr>
      <w:r w:rsidRPr="00126E2B">
        <w:rPr>
          <w:lang w:val="es-ES"/>
        </w:rPr>
        <w:t>Resumen</w:t>
      </w:r>
    </w:p>
    <w:p w14:paraId="241A6290" w14:textId="77777777" w:rsidR="00126E2B" w:rsidRPr="00126E2B" w:rsidRDefault="00126E2B" w:rsidP="00551149">
      <w:pPr>
        <w:rPr>
          <w:lang w:val="es-ES"/>
        </w:rPr>
      </w:pPr>
      <w:r w:rsidRPr="00126E2B">
        <w:rPr>
          <w:lang w:val="es-ES"/>
        </w:rPr>
        <w:t xml:space="preserve">El vasto despliegue del sistema de supervisión de infraestructuras de energía eléctrica basado en </w:t>
      </w:r>
      <w:proofErr w:type="spellStart"/>
      <w:r w:rsidRPr="00126E2B">
        <w:rPr>
          <w:lang w:val="es-ES"/>
        </w:rPr>
        <w:t>IoT</w:t>
      </w:r>
      <w:proofErr w:type="spellEnd"/>
      <w:r w:rsidRPr="00126E2B">
        <w:rPr>
          <w:lang w:val="es-ES"/>
        </w:rPr>
        <w:t xml:space="preserve"> (</w:t>
      </w:r>
      <w:proofErr w:type="spellStart"/>
      <w:r w:rsidRPr="00126E2B">
        <w:rPr>
          <w:lang w:val="es-ES"/>
        </w:rPr>
        <w:t>IoT</w:t>
      </w:r>
      <w:proofErr w:type="spellEnd"/>
      <w:r w:rsidRPr="00126E2B">
        <w:rPr>
          <w:lang w:val="es-ES"/>
        </w:rPr>
        <w:t xml:space="preserve">-EPIMS) ha mejorado la inteligencia y la digitalización de los sistemas de energía. Sin embargo, debido a su naturaleza heterogénea, la idoneidad y el rendimiento de estos sistemas varían sobremanera a la hora de supervisar un determinado incidente, lo que hace más difícil la aplicación eficiente del sistema de supervisión. La creación de metadatos para los sistemas de supervisión de infraestructuras de energía eléctrica basados en </w:t>
      </w:r>
      <w:proofErr w:type="spellStart"/>
      <w:r w:rsidRPr="00126E2B">
        <w:rPr>
          <w:lang w:val="es-ES"/>
        </w:rPr>
        <w:t>IoT</w:t>
      </w:r>
      <w:proofErr w:type="spellEnd"/>
      <w:r w:rsidRPr="00126E2B">
        <w:rPr>
          <w:lang w:val="es-ES"/>
        </w:rPr>
        <w:t xml:space="preserve"> puede mejorar efectivamente las capacidades de aplicación y gestión de datos, y hacer más transparentes, inteligentes y avanzados los servicios de suministro eléctrico en las ciudades inteligentes. La Recomendación UIT-T Y.4609 presenta metadatos de inventario para sistemas de supervisión de infraestructuras de energía eléctrica basados en </w:t>
      </w:r>
      <w:proofErr w:type="spellStart"/>
      <w:r w:rsidRPr="00126E2B">
        <w:rPr>
          <w:lang w:val="es-ES"/>
        </w:rPr>
        <w:t>IoT</w:t>
      </w:r>
      <w:proofErr w:type="spellEnd"/>
      <w:r w:rsidRPr="00126E2B">
        <w:rPr>
          <w:lang w:val="es-ES"/>
        </w:rPr>
        <w:t>.</w:t>
      </w:r>
    </w:p>
    <w:p w14:paraId="2343E383" w14:textId="2FE98005" w:rsidR="00126E2B" w:rsidRPr="00126E2B" w:rsidRDefault="00126E2B" w:rsidP="00551149">
      <w:pPr>
        <w:pStyle w:val="Heading1"/>
        <w:rPr>
          <w:lang w:val="es-ES"/>
        </w:rPr>
      </w:pPr>
      <w:r w:rsidRPr="00126E2B">
        <w:rPr>
          <w:lang w:val="es-ES"/>
        </w:rPr>
        <w:t>7</w:t>
      </w:r>
      <w:r w:rsidRPr="00126E2B">
        <w:rPr>
          <w:lang w:val="es-ES"/>
        </w:rPr>
        <w:tab/>
        <w:t xml:space="preserve">Proyecto de nueva Recomendación UIT-T Y.4813 (ex </w:t>
      </w:r>
      <w:proofErr w:type="spellStart"/>
      <w:r w:rsidRPr="00126E2B">
        <w:rPr>
          <w:lang w:val="es-ES"/>
        </w:rPr>
        <w:t>Y.iepi</w:t>
      </w:r>
      <w:proofErr w:type="spellEnd"/>
      <w:r w:rsidRPr="00126E2B">
        <w:rPr>
          <w:lang w:val="es-ES"/>
        </w:rPr>
        <w:t>-dm-</w:t>
      </w:r>
      <w:proofErr w:type="spellStart"/>
      <w:r w:rsidRPr="00126E2B">
        <w:rPr>
          <w:lang w:val="es-ES"/>
        </w:rPr>
        <w:t>sa</w:t>
      </w:r>
      <w:proofErr w:type="spellEnd"/>
      <w:r w:rsidRPr="00126E2B">
        <w:rPr>
          <w:lang w:val="es-ES"/>
        </w:rPr>
        <w:t>) [</w:t>
      </w:r>
      <w:hyperlink r:id="rId19" w:history="1">
        <w:r w:rsidRPr="00126E2B">
          <w:rPr>
            <w:color w:val="0000FF"/>
            <w:u w:val="single"/>
            <w:lang w:val="es-ES"/>
          </w:rPr>
          <w:t>SG20-R8</w:t>
        </w:r>
      </w:hyperlink>
      <w:r w:rsidRPr="00126E2B">
        <w:rPr>
          <w:lang w:val="es-ES"/>
        </w:rPr>
        <w:t>]</w:t>
      </w:r>
    </w:p>
    <w:p w14:paraId="7E7BF114" w14:textId="2BE11683" w:rsidR="00126E2B" w:rsidRPr="00126E2B" w:rsidRDefault="00126E2B" w:rsidP="00551149">
      <w:pPr>
        <w:rPr>
          <w:lang w:val="es-ES"/>
        </w:rPr>
      </w:pPr>
      <w:r w:rsidRPr="00126E2B">
        <w:rPr>
          <w:lang w:val="es-ES"/>
        </w:rPr>
        <w:t xml:space="preserve">Marco de evaluación de la seguridad en la gestión de datos para infraestructuras de energía eléctrica basadas en </w:t>
      </w:r>
      <w:proofErr w:type="spellStart"/>
      <w:r w:rsidRPr="00126E2B">
        <w:rPr>
          <w:lang w:val="es-ES"/>
        </w:rPr>
        <w:t>IoT</w:t>
      </w:r>
      <w:proofErr w:type="spellEnd"/>
      <w:r w:rsidR="00010F34">
        <w:rPr>
          <w:lang w:val="es-ES"/>
        </w:rPr>
        <w:t>.</w:t>
      </w:r>
    </w:p>
    <w:p w14:paraId="73DC79F5" w14:textId="77777777" w:rsidR="00126E2B" w:rsidRPr="00126E2B" w:rsidRDefault="00126E2B" w:rsidP="00551149">
      <w:pPr>
        <w:pStyle w:val="Headingb0"/>
        <w:rPr>
          <w:lang w:val="es-ES"/>
        </w:rPr>
      </w:pPr>
      <w:r w:rsidRPr="00126E2B">
        <w:rPr>
          <w:lang w:val="es-ES"/>
        </w:rPr>
        <w:lastRenderedPageBreak/>
        <w:t>Resumen</w:t>
      </w:r>
    </w:p>
    <w:p w14:paraId="6C3FA935" w14:textId="049F5D07" w:rsidR="00126E2B" w:rsidRPr="00126E2B" w:rsidRDefault="00126E2B" w:rsidP="00551149">
      <w:pPr>
        <w:rPr>
          <w:lang w:val="es-ES"/>
        </w:rPr>
      </w:pPr>
      <w:r w:rsidRPr="00126E2B">
        <w:rPr>
          <w:lang w:val="es-ES"/>
        </w:rPr>
        <w:t>La evaluación de la seguridad en la gestión de datos comprende varios aspectos de la vida útil de los datos relativos a la infraestructura de energía eléctrica basada en el Internet de las cosas (</w:t>
      </w:r>
      <w:proofErr w:type="spellStart"/>
      <w:r w:rsidRPr="00126E2B">
        <w:rPr>
          <w:lang w:val="es-ES"/>
        </w:rPr>
        <w:t>IoT</w:t>
      </w:r>
      <w:proofErr w:type="spellEnd"/>
      <w:r w:rsidR="00010F34">
        <w:rPr>
          <w:lang w:val="es-ES"/>
        </w:rPr>
        <w:noBreakHyphen/>
      </w:r>
      <w:r w:rsidRPr="00126E2B">
        <w:rPr>
          <w:lang w:val="es-ES"/>
        </w:rPr>
        <w:t xml:space="preserve">EPI), como la recopilación, la transmisión, el almacenamiento, el procesamiento y el servicio de datos. Mediante la evaluación de las capacidades de seguridad en cada etapa de la vida útil de los datos, la evaluación de la seguridad tiene por objeto reducir los riesgos de seguridad y las amenazas inherentes a la infraestructura de energía eléctrica basada en </w:t>
      </w:r>
      <w:proofErr w:type="spellStart"/>
      <w:r w:rsidRPr="00126E2B">
        <w:rPr>
          <w:lang w:val="es-ES"/>
        </w:rPr>
        <w:t>IoT</w:t>
      </w:r>
      <w:proofErr w:type="spellEnd"/>
      <w:r w:rsidRPr="00126E2B">
        <w:rPr>
          <w:lang w:val="es-ES"/>
        </w:rPr>
        <w:t>, y mejorar la prestación de servicios de datos eficientes y seguros en las ciudades inteligentes.</w:t>
      </w:r>
    </w:p>
    <w:p w14:paraId="614B442C" w14:textId="77777777" w:rsidR="00126E2B" w:rsidRPr="00126E2B" w:rsidRDefault="00126E2B" w:rsidP="00551149">
      <w:pPr>
        <w:rPr>
          <w:lang w:val="es-ES"/>
        </w:rPr>
      </w:pPr>
      <w:r w:rsidRPr="00126E2B">
        <w:rPr>
          <w:lang w:val="es-ES"/>
        </w:rPr>
        <w:t xml:space="preserve">Esta Recomendación especifica un marco de evaluación de la seguridad y los correspondientes factores de evaluación de la seguridad en la gestión de datos para la infraestructura de energía eléctrica basada en </w:t>
      </w:r>
      <w:proofErr w:type="spellStart"/>
      <w:r w:rsidRPr="00126E2B">
        <w:rPr>
          <w:lang w:val="es-ES"/>
        </w:rPr>
        <w:t>IoT</w:t>
      </w:r>
      <w:proofErr w:type="spellEnd"/>
      <w:r w:rsidRPr="00126E2B">
        <w:rPr>
          <w:lang w:val="es-ES"/>
        </w:rPr>
        <w:t>.</w:t>
      </w:r>
    </w:p>
    <w:p w14:paraId="1F8337CF" w14:textId="539CB083" w:rsidR="00126E2B" w:rsidRPr="00126E2B" w:rsidRDefault="00126E2B" w:rsidP="00551149">
      <w:pPr>
        <w:pStyle w:val="Heading1"/>
        <w:rPr>
          <w:lang w:val="es-ES"/>
        </w:rPr>
      </w:pPr>
      <w:r w:rsidRPr="00126E2B">
        <w:rPr>
          <w:lang w:val="es-ES"/>
        </w:rPr>
        <w:t>8</w:t>
      </w:r>
      <w:r w:rsidRPr="00126E2B">
        <w:rPr>
          <w:lang w:val="es-ES"/>
        </w:rPr>
        <w:tab/>
        <w:t xml:space="preserve">Proyecto de nueva Recomendación UIT-T Y.4814 (ex </w:t>
      </w:r>
      <w:proofErr w:type="spellStart"/>
      <w:r w:rsidRPr="00126E2B">
        <w:rPr>
          <w:lang w:val="es-ES"/>
        </w:rPr>
        <w:t>Y.IoT-acs-fra</w:t>
      </w:r>
      <w:proofErr w:type="spellEnd"/>
      <w:r w:rsidRPr="00126E2B">
        <w:rPr>
          <w:lang w:val="es-ES"/>
        </w:rPr>
        <w:t>) [</w:t>
      </w:r>
      <w:hyperlink r:id="rId20" w:history="1">
        <w:r w:rsidRPr="00126E2B">
          <w:rPr>
            <w:rStyle w:val="Hyperlink"/>
            <w:lang w:val="es-ES"/>
          </w:rPr>
          <w:t>SG20-R9</w:t>
        </w:r>
      </w:hyperlink>
      <w:r w:rsidRPr="00126E2B">
        <w:rPr>
          <w:lang w:val="es-ES"/>
        </w:rPr>
        <w:t>]</w:t>
      </w:r>
    </w:p>
    <w:p w14:paraId="0800C24A" w14:textId="3D2C6788" w:rsidR="00126E2B" w:rsidRPr="00126E2B" w:rsidRDefault="00126E2B" w:rsidP="00551149">
      <w:pPr>
        <w:rPr>
          <w:lang w:val="es-ES"/>
        </w:rPr>
      </w:pPr>
      <w:r w:rsidRPr="00126E2B">
        <w:rPr>
          <w:lang w:val="es-ES"/>
        </w:rPr>
        <w:t>Requisitos funcionales y arquitectura del servicio de control de acceso de la plataforma Internet de las cosas (</w:t>
      </w:r>
      <w:proofErr w:type="spellStart"/>
      <w:r w:rsidRPr="00126E2B">
        <w:rPr>
          <w:lang w:val="es-ES"/>
        </w:rPr>
        <w:t>IoT</w:t>
      </w:r>
      <w:proofErr w:type="spellEnd"/>
      <w:r w:rsidRPr="00126E2B">
        <w:rPr>
          <w:lang w:val="es-ES"/>
        </w:rPr>
        <w:t>) basado en confianza cero en entornos descentralizados</w:t>
      </w:r>
      <w:r w:rsidR="00010F34">
        <w:rPr>
          <w:lang w:val="es-ES"/>
        </w:rPr>
        <w:t>.</w:t>
      </w:r>
    </w:p>
    <w:p w14:paraId="202A4C4E" w14:textId="77777777" w:rsidR="00126E2B" w:rsidRPr="00126E2B" w:rsidRDefault="00126E2B" w:rsidP="00551149">
      <w:pPr>
        <w:pStyle w:val="Headingb0"/>
        <w:rPr>
          <w:lang w:val="es-ES"/>
        </w:rPr>
      </w:pPr>
      <w:r w:rsidRPr="00126E2B">
        <w:rPr>
          <w:lang w:val="es-ES"/>
        </w:rPr>
        <w:t>Resumen</w:t>
      </w:r>
    </w:p>
    <w:p w14:paraId="11BE0163" w14:textId="77777777" w:rsidR="00126E2B" w:rsidRPr="00126E2B" w:rsidRDefault="00126E2B" w:rsidP="00551149">
      <w:pPr>
        <w:rPr>
          <w:lang w:val="es-ES"/>
        </w:rPr>
      </w:pPr>
      <w:r w:rsidRPr="00126E2B">
        <w:rPr>
          <w:lang w:val="es-ES"/>
        </w:rPr>
        <w:t>Las plataformas de Internet de las cosas (</w:t>
      </w:r>
      <w:proofErr w:type="spellStart"/>
      <w:r w:rsidRPr="00126E2B">
        <w:rPr>
          <w:lang w:val="es-ES"/>
        </w:rPr>
        <w:t>IoT</w:t>
      </w:r>
      <w:proofErr w:type="spellEnd"/>
      <w:r w:rsidRPr="00126E2B">
        <w:rPr>
          <w:lang w:val="es-ES"/>
        </w:rPr>
        <w:t xml:space="preserve">) en entornos descentralizados plantean muchos retos importantes a la hora de generar confianza entre entidades </w:t>
      </w:r>
      <w:proofErr w:type="spellStart"/>
      <w:r w:rsidRPr="00126E2B">
        <w:rPr>
          <w:lang w:val="es-ES"/>
        </w:rPr>
        <w:t>IoT</w:t>
      </w:r>
      <w:proofErr w:type="spellEnd"/>
      <w:r w:rsidRPr="00126E2B">
        <w:rPr>
          <w:lang w:val="es-ES"/>
        </w:rPr>
        <w:t xml:space="preserve"> (como dispositivos </w:t>
      </w:r>
      <w:proofErr w:type="spellStart"/>
      <w:r w:rsidRPr="00126E2B">
        <w:rPr>
          <w:lang w:val="es-ES"/>
        </w:rPr>
        <w:t>IoT</w:t>
      </w:r>
      <w:proofErr w:type="spellEnd"/>
      <w:r w:rsidRPr="00126E2B">
        <w:rPr>
          <w:lang w:val="es-ES"/>
        </w:rPr>
        <w:t xml:space="preserve">, servicios </w:t>
      </w:r>
      <w:proofErr w:type="spellStart"/>
      <w:r w:rsidRPr="00126E2B">
        <w:rPr>
          <w:lang w:val="es-ES"/>
        </w:rPr>
        <w:t>IoT</w:t>
      </w:r>
      <w:proofErr w:type="spellEnd"/>
      <w:r w:rsidRPr="00126E2B">
        <w:rPr>
          <w:lang w:val="es-ES"/>
        </w:rPr>
        <w:t xml:space="preserve">, pasarelas </w:t>
      </w:r>
      <w:proofErr w:type="spellStart"/>
      <w:r w:rsidRPr="00126E2B">
        <w:rPr>
          <w:lang w:val="es-ES"/>
        </w:rPr>
        <w:t>IoT</w:t>
      </w:r>
      <w:proofErr w:type="spellEnd"/>
      <w:r w:rsidRPr="00126E2B">
        <w:rPr>
          <w:lang w:val="es-ES"/>
        </w:rPr>
        <w:t xml:space="preserve">) cuando interactúan entre sí. Las soluciones tradicionales de control de acceso de las plataformas </w:t>
      </w:r>
      <w:proofErr w:type="spellStart"/>
      <w:r w:rsidRPr="00126E2B">
        <w:rPr>
          <w:lang w:val="es-ES"/>
        </w:rPr>
        <w:t>IoT</w:t>
      </w:r>
      <w:proofErr w:type="spellEnd"/>
      <w:r w:rsidRPr="00126E2B">
        <w:rPr>
          <w:lang w:val="es-ES"/>
        </w:rPr>
        <w:t xml:space="preserve"> (como el control perimetral, la autenticación por contraseña o las redes privadas virtuales) no pueden resolver plenamente estos problemas, especialmente cuando las entidades </w:t>
      </w:r>
      <w:proofErr w:type="spellStart"/>
      <w:r w:rsidRPr="00126E2B">
        <w:rPr>
          <w:lang w:val="es-ES"/>
        </w:rPr>
        <w:t>IoT</w:t>
      </w:r>
      <w:proofErr w:type="spellEnd"/>
      <w:r w:rsidRPr="00126E2B">
        <w:rPr>
          <w:lang w:val="es-ES"/>
        </w:rPr>
        <w:t xml:space="preserve"> se despliegan en entornos descentralizados.</w:t>
      </w:r>
    </w:p>
    <w:p w14:paraId="4147FD85" w14:textId="77777777" w:rsidR="00126E2B" w:rsidRPr="00126E2B" w:rsidRDefault="00126E2B" w:rsidP="00551149">
      <w:pPr>
        <w:rPr>
          <w:lang w:val="es-ES"/>
        </w:rPr>
      </w:pPr>
      <w:r w:rsidRPr="00126E2B">
        <w:rPr>
          <w:lang w:val="es-ES"/>
        </w:rPr>
        <w:t xml:space="preserve">La confianza cero (ZT) es un principio de ciberseguridad que consiste en un conjunto de conceptos e ideas concebidos para minimizar la incertidumbre al tomar decisiones de acceso precisas y con privilegios mínimos para cada solicitud en sistemas y servicios de información ante una red que se considera vulnerada [b-NIST SP 800-207]. Las soluciones de control de acceso basadas en ZT ya no requieren determinar los derechos de acceso por ubicación y dominio de seguridad para que las entidades </w:t>
      </w:r>
      <w:proofErr w:type="spellStart"/>
      <w:r w:rsidRPr="00126E2B">
        <w:rPr>
          <w:lang w:val="es-ES"/>
        </w:rPr>
        <w:t>IoT</w:t>
      </w:r>
      <w:proofErr w:type="spellEnd"/>
      <w:r w:rsidRPr="00126E2B">
        <w:rPr>
          <w:lang w:val="es-ES"/>
        </w:rPr>
        <w:t xml:space="preserve"> detecten y accedan a otras entidades </w:t>
      </w:r>
      <w:proofErr w:type="spellStart"/>
      <w:r w:rsidRPr="00126E2B">
        <w:rPr>
          <w:lang w:val="es-ES"/>
        </w:rPr>
        <w:t>IoT</w:t>
      </w:r>
      <w:proofErr w:type="spellEnd"/>
      <w:r w:rsidRPr="00126E2B">
        <w:rPr>
          <w:lang w:val="es-ES"/>
        </w:rPr>
        <w:t xml:space="preserve"> en la misma o en diferentes plataformas </w:t>
      </w:r>
      <w:proofErr w:type="spellStart"/>
      <w:r w:rsidRPr="00126E2B">
        <w:rPr>
          <w:lang w:val="es-ES"/>
        </w:rPr>
        <w:t>IoT</w:t>
      </w:r>
      <w:proofErr w:type="spellEnd"/>
      <w:r w:rsidRPr="00126E2B">
        <w:rPr>
          <w:lang w:val="es-ES"/>
        </w:rPr>
        <w:t xml:space="preserve">. En cambio, es necesario determinar esos derechos para toda solicitud de detección y acceso a cualquier otra entidad </w:t>
      </w:r>
      <w:proofErr w:type="spellStart"/>
      <w:r w:rsidRPr="00126E2B">
        <w:rPr>
          <w:lang w:val="es-ES"/>
        </w:rPr>
        <w:t>IoT</w:t>
      </w:r>
      <w:proofErr w:type="spellEnd"/>
      <w:r w:rsidRPr="00126E2B">
        <w:rPr>
          <w:lang w:val="es-ES"/>
        </w:rPr>
        <w:t xml:space="preserve"> en plataformas </w:t>
      </w:r>
      <w:proofErr w:type="spellStart"/>
      <w:r w:rsidRPr="00126E2B">
        <w:rPr>
          <w:lang w:val="es-ES"/>
        </w:rPr>
        <w:t>IoT</w:t>
      </w:r>
      <w:proofErr w:type="spellEnd"/>
      <w:r w:rsidRPr="00126E2B">
        <w:rPr>
          <w:lang w:val="es-ES"/>
        </w:rPr>
        <w:t xml:space="preserve">. Por consiguiente, las soluciones de control de acceso basadas en ZT son adecuadas para plataformas </w:t>
      </w:r>
      <w:proofErr w:type="spellStart"/>
      <w:r w:rsidRPr="00126E2B">
        <w:rPr>
          <w:lang w:val="es-ES"/>
        </w:rPr>
        <w:t>IoT</w:t>
      </w:r>
      <w:proofErr w:type="spellEnd"/>
      <w:r w:rsidRPr="00126E2B">
        <w:rPr>
          <w:lang w:val="es-ES"/>
        </w:rPr>
        <w:t xml:space="preserve"> en entornos descentralizados.</w:t>
      </w:r>
    </w:p>
    <w:p w14:paraId="01D5A6E5" w14:textId="77777777" w:rsidR="00126E2B" w:rsidRPr="00126E2B" w:rsidRDefault="00126E2B" w:rsidP="00551149">
      <w:pPr>
        <w:rPr>
          <w:lang w:val="es-ES"/>
        </w:rPr>
      </w:pPr>
      <w:r w:rsidRPr="00126E2B">
        <w:rPr>
          <w:lang w:val="es-ES"/>
        </w:rPr>
        <w:t xml:space="preserve">Esta Recomendación describe un servicio de control de acceso para plataformas </w:t>
      </w:r>
      <w:proofErr w:type="spellStart"/>
      <w:r w:rsidRPr="00126E2B">
        <w:rPr>
          <w:lang w:val="es-ES"/>
        </w:rPr>
        <w:t>IoT</w:t>
      </w:r>
      <w:proofErr w:type="spellEnd"/>
      <w:r w:rsidRPr="00126E2B">
        <w:rPr>
          <w:lang w:val="es-ES"/>
        </w:rPr>
        <w:t xml:space="preserve"> en entornos descentralizados basado en ZT, y especifica sus características técnicas, requisitos funcionales y arquitectura.</w:t>
      </w:r>
    </w:p>
    <w:p w14:paraId="7C704EEB" w14:textId="40EB2434" w:rsidR="00126E2B" w:rsidRPr="00126E2B" w:rsidRDefault="00126E2B" w:rsidP="00551149">
      <w:pPr>
        <w:pStyle w:val="Heading1"/>
        <w:rPr>
          <w:lang w:val="es-ES"/>
        </w:rPr>
      </w:pPr>
      <w:r w:rsidRPr="00126E2B">
        <w:rPr>
          <w:lang w:val="es-ES"/>
        </w:rPr>
        <w:t>9</w:t>
      </w:r>
      <w:r w:rsidRPr="00126E2B">
        <w:rPr>
          <w:lang w:val="es-ES"/>
        </w:rPr>
        <w:tab/>
        <w:t>Proyecto de nueva Recomendación UIT-T Y.4911 (ex Y.KPI-</w:t>
      </w:r>
      <w:proofErr w:type="spellStart"/>
      <w:r w:rsidRPr="00126E2B">
        <w:rPr>
          <w:lang w:val="es-ES"/>
        </w:rPr>
        <w:t>Flood</w:t>
      </w:r>
      <w:proofErr w:type="spellEnd"/>
      <w:r w:rsidRPr="00126E2B">
        <w:rPr>
          <w:lang w:val="es-ES"/>
        </w:rPr>
        <w:t>) [</w:t>
      </w:r>
      <w:hyperlink r:id="rId21" w:history="1">
        <w:r w:rsidRPr="00126E2B">
          <w:rPr>
            <w:rStyle w:val="Hyperlink"/>
            <w:lang w:val="es-ES"/>
          </w:rPr>
          <w:t>SG20-R10</w:t>
        </w:r>
      </w:hyperlink>
      <w:r w:rsidRPr="00126E2B">
        <w:rPr>
          <w:lang w:val="es-ES"/>
        </w:rPr>
        <w:t>]</w:t>
      </w:r>
    </w:p>
    <w:p w14:paraId="7B908242" w14:textId="17D8A7CC" w:rsidR="00126E2B" w:rsidRPr="00126E2B" w:rsidRDefault="00126E2B" w:rsidP="00551149">
      <w:pPr>
        <w:rPr>
          <w:lang w:val="es-ES"/>
        </w:rPr>
      </w:pPr>
      <w:r w:rsidRPr="00126E2B">
        <w:rPr>
          <w:lang w:val="es-ES"/>
        </w:rPr>
        <w:t>Indicadores fundamentales de rendimiento de las capacidades de soporte de datos basadas en las TIC para la prevención y mitigación de catástrofes causadas por inundaciones urbanas</w:t>
      </w:r>
      <w:r w:rsidR="00010F34">
        <w:rPr>
          <w:lang w:val="es-ES"/>
        </w:rPr>
        <w:t>.</w:t>
      </w:r>
    </w:p>
    <w:p w14:paraId="71E21CAD" w14:textId="77777777" w:rsidR="00126E2B" w:rsidRPr="00126E2B" w:rsidRDefault="00126E2B" w:rsidP="00551149">
      <w:pPr>
        <w:pStyle w:val="Headingb0"/>
        <w:rPr>
          <w:lang w:val="es-ES"/>
        </w:rPr>
      </w:pPr>
      <w:r w:rsidRPr="00126E2B">
        <w:rPr>
          <w:lang w:val="es-ES"/>
        </w:rPr>
        <w:t>Resumen</w:t>
      </w:r>
    </w:p>
    <w:p w14:paraId="0A731F0C" w14:textId="77777777" w:rsidR="00126E2B" w:rsidRPr="00126E2B" w:rsidRDefault="00126E2B" w:rsidP="00551149">
      <w:pPr>
        <w:rPr>
          <w:lang w:val="es-ES"/>
        </w:rPr>
      </w:pPr>
      <w:r w:rsidRPr="00126E2B">
        <w:rPr>
          <w:lang w:val="es-ES"/>
        </w:rPr>
        <w:t xml:space="preserve">Las catástrofes causadas por inundaciones constituyen un grave problema que afecta a la seguridad de las ciudades. Existen muchos tipos de soportes de datos para prevenir este tipo de catástrofes y mitigar sus efectos; en ese sentido, analizar de manera exhaustiva las capacidades de soporte de datos sería sumamente beneficioso para las ciudades. La presente Recomendación especifica un conjunto de indicadores fundamentales de rendimiento destinados a evaluar las capacidades de </w:t>
      </w:r>
      <w:r w:rsidRPr="00126E2B">
        <w:rPr>
          <w:lang w:val="es-ES"/>
        </w:rPr>
        <w:lastRenderedPageBreak/>
        <w:t>soporte de datos basadas en las TIC para prevenir y mitigar las catástrofes causadas por inundaciones urbanas.</w:t>
      </w:r>
    </w:p>
    <w:p w14:paraId="7D7ACF1F" w14:textId="5693C304" w:rsidR="00126E2B" w:rsidRPr="00126E2B" w:rsidRDefault="00126E2B" w:rsidP="00551149">
      <w:pPr>
        <w:pStyle w:val="AnnexNotitle"/>
        <w:spacing w:after="240"/>
        <w:rPr>
          <w:lang w:val="es-ES"/>
        </w:rPr>
      </w:pPr>
      <w:r w:rsidRPr="00126E2B">
        <w:rPr>
          <w:lang w:val="es-ES"/>
        </w:rPr>
        <w:br w:type="page"/>
      </w:r>
      <w:r w:rsidR="00ED690F" w:rsidRPr="00126E2B">
        <w:rPr>
          <w:lang w:val="es-ES"/>
        </w:rPr>
        <w:lastRenderedPageBreak/>
        <w:t>ANEXO 2</w:t>
      </w:r>
      <w:r w:rsidRPr="00126E2B">
        <w:rPr>
          <w:lang w:val="es-ES"/>
        </w:rPr>
        <w:br/>
        <w:t>Asunto: Respue</w:t>
      </w:r>
      <w:r w:rsidR="00AF32B2">
        <w:rPr>
          <w:lang w:val="es-ES"/>
        </w:rPr>
        <w:t>s</w:t>
      </w:r>
      <w:r w:rsidRPr="00126E2B">
        <w:rPr>
          <w:lang w:val="es-ES"/>
        </w:rPr>
        <w:t>ta del Estado Miembro a la Circular TSB 39:</w:t>
      </w:r>
      <w:r w:rsidRPr="00126E2B">
        <w:rPr>
          <w:lang w:val="es-ES"/>
        </w:rPr>
        <w:br/>
        <w:t xml:space="preserve">Consulta sobre los proyectos de nueva Recomendación determinados UIT-T Y.4235 (ex </w:t>
      </w:r>
      <w:proofErr w:type="spellStart"/>
      <w:proofErr w:type="gramStart"/>
      <w:r w:rsidRPr="00126E2B">
        <w:rPr>
          <w:lang w:val="es-ES"/>
        </w:rPr>
        <w:t>Y.PGComNet</w:t>
      </w:r>
      <w:proofErr w:type="gramEnd"/>
      <w:r w:rsidRPr="00126E2B">
        <w:rPr>
          <w:lang w:val="es-ES"/>
        </w:rPr>
        <w:t>-Reqts</w:t>
      </w:r>
      <w:proofErr w:type="spellEnd"/>
      <w:r w:rsidRPr="00126E2B">
        <w:rPr>
          <w:lang w:val="es-ES"/>
        </w:rPr>
        <w:t>), UIT-T Y.4236 (ex Y.EMM-</w:t>
      </w:r>
      <w:proofErr w:type="spellStart"/>
      <w:r w:rsidRPr="00126E2B">
        <w:rPr>
          <w:lang w:val="es-ES"/>
        </w:rPr>
        <w:t>Reqts</w:t>
      </w:r>
      <w:proofErr w:type="spellEnd"/>
      <w:r w:rsidRPr="00126E2B">
        <w:rPr>
          <w:lang w:val="es-ES"/>
        </w:rPr>
        <w:t xml:space="preserve">), UIT-T Y.4237 </w:t>
      </w:r>
      <w:r w:rsidR="00AF32B2">
        <w:rPr>
          <w:lang w:val="es-ES"/>
        </w:rPr>
        <w:br/>
      </w:r>
      <w:r w:rsidRPr="00126E2B">
        <w:rPr>
          <w:lang w:val="es-ES"/>
        </w:rPr>
        <w:t xml:space="preserve">(ex </w:t>
      </w:r>
      <w:proofErr w:type="spellStart"/>
      <w:proofErr w:type="gramStart"/>
      <w:r w:rsidRPr="00126E2B">
        <w:rPr>
          <w:lang w:val="es-ES"/>
        </w:rPr>
        <w:t>Y.dt</w:t>
      </w:r>
      <w:proofErr w:type="spellEnd"/>
      <w:proofErr w:type="gramEnd"/>
      <w:r w:rsidRPr="00126E2B">
        <w:rPr>
          <w:lang w:val="es-ES"/>
        </w:rPr>
        <w:t xml:space="preserve">-IWCS), UIT-T Y.4496 (ex Y.RA-PHE), UIT-T Y.4708 (ex </w:t>
      </w:r>
      <w:proofErr w:type="spellStart"/>
      <w:proofErr w:type="gramStart"/>
      <w:r w:rsidRPr="00126E2B">
        <w:rPr>
          <w:lang w:val="es-ES"/>
        </w:rPr>
        <w:t>Y.IoT</w:t>
      </w:r>
      <w:proofErr w:type="spellEnd"/>
      <w:proofErr w:type="gramEnd"/>
      <w:r w:rsidRPr="00126E2B">
        <w:rPr>
          <w:lang w:val="es-ES"/>
        </w:rPr>
        <w:t xml:space="preserve">-DPE), </w:t>
      </w:r>
      <w:r w:rsidR="00AF32B2">
        <w:rPr>
          <w:lang w:val="es-ES"/>
        </w:rPr>
        <w:br/>
      </w:r>
      <w:r w:rsidRPr="00126E2B">
        <w:rPr>
          <w:lang w:val="es-ES"/>
        </w:rPr>
        <w:t xml:space="preserve">UIT-T Y.4609 (ex </w:t>
      </w:r>
      <w:proofErr w:type="spellStart"/>
      <w:proofErr w:type="gramStart"/>
      <w:r w:rsidRPr="00126E2B">
        <w:rPr>
          <w:lang w:val="es-ES"/>
        </w:rPr>
        <w:t>Y.metadata</w:t>
      </w:r>
      <w:proofErr w:type="spellEnd"/>
      <w:proofErr w:type="gramEnd"/>
      <w:r w:rsidRPr="00126E2B">
        <w:rPr>
          <w:lang w:val="es-ES"/>
        </w:rPr>
        <w:t xml:space="preserve">-EPI), UIT-T Y.4813 (ex </w:t>
      </w:r>
      <w:proofErr w:type="spellStart"/>
      <w:proofErr w:type="gramStart"/>
      <w:r w:rsidRPr="00126E2B">
        <w:rPr>
          <w:lang w:val="es-ES"/>
        </w:rPr>
        <w:t>Y.iepi</w:t>
      </w:r>
      <w:proofErr w:type="spellEnd"/>
      <w:proofErr w:type="gramEnd"/>
      <w:r w:rsidRPr="00126E2B">
        <w:rPr>
          <w:lang w:val="es-ES"/>
        </w:rPr>
        <w:t>-dm-</w:t>
      </w:r>
      <w:proofErr w:type="spellStart"/>
      <w:r w:rsidRPr="00126E2B">
        <w:rPr>
          <w:lang w:val="es-ES"/>
        </w:rPr>
        <w:t>sa</w:t>
      </w:r>
      <w:proofErr w:type="spellEnd"/>
      <w:r w:rsidRPr="00126E2B">
        <w:rPr>
          <w:lang w:val="es-ES"/>
        </w:rPr>
        <w:t>), UIT-T Y.4814 (ex</w:t>
      </w:r>
      <w:r w:rsidR="00AF32B2">
        <w:rPr>
          <w:lang w:val="es-ES"/>
        </w:rPr>
        <w:t> </w:t>
      </w:r>
      <w:proofErr w:type="spellStart"/>
      <w:proofErr w:type="gramStart"/>
      <w:r w:rsidRPr="00126E2B">
        <w:rPr>
          <w:lang w:val="es-ES"/>
        </w:rPr>
        <w:t>Y.IoT</w:t>
      </w:r>
      <w:proofErr w:type="gramEnd"/>
      <w:r w:rsidRPr="00126E2B">
        <w:rPr>
          <w:lang w:val="es-ES"/>
        </w:rPr>
        <w:t>-acs-fra</w:t>
      </w:r>
      <w:proofErr w:type="spellEnd"/>
      <w:r w:rsidRPr="00126E2B">
        <w:rPr>
          <w:lang w:val="es-ES"/>
        </w:rPr>
        <w:t>) y UIT-T Y.4911 (ex Y.KPI-</w:t>
      </w:r>
      <w:proofErr w:type="spellStart"/>
      <w:r w:rsidRPr="00126E2B">
        <w:rPr>
          <w:lang w:val="es-ES"/>
        </w:rPr>
        <w:t>Flood</w:t>
      </w:r>
      <w:proofErr w:type="spellEnd"/>
      <w:r w:rsidRPr="00126E2B">
        <w:rPr>
          <w:lang w:val="es-ES"/>
        </w:rPr>
        <w:t>)</w:t>
      </w:r>
    </w:p>
    <w:tbl>
      <w:tblPr>
        <w:tblW w:w="10382" w:type="dxa"/>
        <w:tblInd w:w="-176" w:type="dxa"/>
        <w:tblLayout w:type="fixed"/>
        <w:tblLook w:val="04A0" w:firstRow="1" w:lastRow="0" w:firstColumn="1" w:lastColumn="0" w:noHBand="0" w:noVBand="1"/>
      </w:tblPr>
      <w:tblGrid>
        <w:gridCol w:w="1169"/>
        <w:gridCol w:w="4558"/>
        <w:gridCol w:w="1253"/>
        <w:gridCol w:w="3402"/>
      </w:tblGrid>
      <w:tr w:rsidR="00126E2B" w:rsidRPr="00126E2B" w14:paraId="2D795A06" w14:textId="77777777" w:rsidTr="001439D1">
        <w:tc>
          <w:tcPr>
            <w:tcW w:w="1169" w:type="dxa"/>
            <w:shd w:val="clear" w:color="auto" w:fill="auto"/>
          </w:tcPr>
          <w:p w14:paraId="6B68C834" w14:textId="77777777" w:rsidR="00126E2B" w:rsidRPr="00126E2B" w:rsidRDefault="00126E2B" w:rsidP="00551149">
            <w:pPr>
              <w:tabs>
                <w:tab w:val="left" w:pos="4111"/>
              </w:tabs>
              <w:spacing w:before="10"/>
              <w:ind w:left="57"/>
              <w:rPr>
                <w:sz w:val="22"/>
              </w:rPr>
            </w:pPr>
            <w:r w:rsidRPr="00126E2B">
              <w:rPr>
                <w:sz w:val="22"/>
              </w:rPr>
              <w:t>A:</w:t>
            </w:r>
          </w:p>
        </w:tc>
        <w:tc>
          <w:tcPr>
            <w:tcW w:w="4558" w:type="dxa"/>
            <w:tcBorders>
              <w:right w:val="single" w:sz="8" w:space="0" w:color="auto"/>
            </w:tcBorders>
            <w:shd w:val="clear" w:color="auto" w:fill="auto"/>
          </w:tcPr>
          <w:p w14:paraId="2DD55B1E" w14:textId="7DAD4B30" w:rsidR="00126E2B" w:rsidRPr="00126E2B" w:rsidRDefault="00126E2B" w:rsidP="00551149">
            <w:pPr>
              <w:tabs>
                <w:tab w:val="left" w:pos="4111"/>
              </w:tabs>
              <w:spacing w:before="0"/>
              <w:ind w:left="57"/>
              <w:rPr>
                <w:lang w:val="es-ES"/>
              </w:rPr>
            </w:pPr>
            <w:r w:rsidRPr="00126E2B">
              <w:rPr>
                <w:lang w:val="es-ES"/>
              </w:rPr>
              <w:t xml:space="preserve">Director de la Oficina de </w:t>
            </w:r>
            <w:r w:rsidRPr="00126E2B">
              <w:rPr>
                <w:lang w:val="es-ES"/>
              </w:rPr>
              <w:br/>
              <w:t>Normalización de las Telecomunicaciones,</w:t>
            </w:r>
          </w:p>
          <w:p w14:paraId="6D155AD9" w14:textId="77777777" w:rsidR="00126E2B" w:rsidRPr="00126E2B" w:rsidRDefault="00126E2B" w:rsidP="00551149">
            <w:pPr>
              <w:tabs>
                <w:tab w:val="left" w:pos="4111"/>
              </w:tabs>
              <w:spacing w:before="0"/>
              <w:ind w:left="57"/>
              <w:rPr>
                <w:lang w:val="es-ES"/>
              </w:rPr>
            </w:pPr>
            <w:r w:rsidRPr="00126E2B">
              <w:rPr>
                <w:lang w:val="es-ES"/>
              </w:rPr>
              <w:t>Unión Internacional de Telecomunicaciones</w:t>
            </w:r>
          </w:p>
          <w:p w14:paraId="674B2593" w14:textId="77777777" w:rsidR="00126E2B" w:rsidRPr="00126E2B" w:rsidRDefault="00126E2B" w:rsidP="00551149">
            <w:pPr>
              <w:tabs>
                <w:tab w:val="left" w:pos="4111"/>
              </w:tabs>
              <w:spacing w:before="0"/>
              <w:ind w:left="57"/>
              <w:rPr>
                <w:lang w:val="es-ES"/>
              </w:rPr>
            </w:pPr>
            <w:r w:rsidRPr="00126E2B">
              <w:rPr>
                <w:lang w:val="es-ES"/>
              </w:rPr>
              <w:t xml:space="preserve">Place des </w:t>
            </w:r>
            <w:proofErr w:type="spellStart"/>
            <w:r w:rsidRPr="00126E2B">
              <w:rPr>
                <w:lang w:val="es-ES"/>
              </w:rPr>
              <w:t>Nations</w:t>
            </w:r>
            <w:proofErr w:type="spellEnd"/>
          </w:p>
          <w:p w14:paraId="48ED6439" w14:textId="7C2A6F5D" w:rsidR="00126E2B" w:rsidRPr="00126E2B" w:rsidRDefault="00126E2B" w:rsidP="00551149">
            <w:pPr>
              <w:tabs>
                <w:tab w:val="left" w:pos="4111"/>
              </w:tabs>
              <w:spacing w:before="0"/>
              <w:ind w:left="57"/>
              <w:rPr>
                <w:lang w:val="es-ES"/>
              </w:rPr>
            </w:pPr>
            <w:r w:rsidRPr="00126E2B">
              <w:rPr>
                <w:lang w:val="es-ES"/>
              </w:rPr>
              <w:t>CH 1211 Ginebra</w:t>
            </w:r>
            <w:r w:rsidR="00AF32B2">
              <w:rPr>
                <w:lang w:val="es-ES"/>
              </w:rPr>
              <w:t xml:space="preserve"> </w:t>
            </w:r>
            <w:r w:rsidRPr="00126E2B">
              <w:rPr>
                <w:lang w:val="es-ES"/>
              </w:rPr>
              <w:t>20, Suiza</w:t>
            </w:r>
          </w:p>
        </w:tc>
        <w:tc>
          <w:tcPr>
            <w:tcW w:w="1253" w:type="dxa"/>
            <w:tcBorders>
              <w:left w:val="single" w:sz="8" w:space="0" w:color="auto"/>
            </w:tcBorders>
            <w:shd w:val="clear" w:color="auto" w:fill="auto"/>
          </w:tcPr>
          <w:p w14:paraId="562AC728" w14:textId="77777777" w:rsidR="00126E2B" w:rsidRPr="00126E2B" w:rsidRDefault="00126E2B" w:rsidP="00551149">
            <w:pPr>
              <w:tabs>
                <w:tab w:val="left" w:pos="4111"/>
              </w:tabs>
              <w:spacing w:before="10"/>
              <w:ind w:left="57"/>
              <w:rPr>
                <w:sz w:val="22"/>
              </w:rPr>
            </w:pPr>
            <w:r w:rsidRPr="00126E2B">
              <w:rPr>
                <w:sz w:val="22"/>
              </w:rPr>
              <w:t>De:</w:t>
            </w:r>
          </w:p>
        </w:tc>
        <w:tc>
          <w:tcPr>
            <w:tcW w:w="3402" w:type="dxa"/>
            <w:shd w:val="clear" w:color="auto" w:fill="auto"/>
          </w:tcPr>
          <w:p w14:paraId="42272B50" w14:textId="77777777" w:rsidR="00126E2B" w:rsidRPr="00126E2B" w:rsidRDefault="00126E2B" w:rsidP="00551149">
            <w:pPr>
              <w:tabs>
                <w:tab w:val="left" w:pos="4111"/>
              </w:tabs>
              <w:spacing w:before="0"/>
              <w:ind w:left="57"/>
              <w:rPr>
                <w:lang w:val="es-ES"/>
              </w:rPr>
            </w:pPr>
            <w:r w:rsidRPr="00126E2B">
              <w:rPr>
                <w:lang w:val="es-ES"/>
              </w:rPr>
              <w:t>[Nombre]</w:t>
            </w:r>
          </w:p>
          <w:p w14:paraId="73B57779" w14:textId="02FF379A" w:rsidR="00126E2B" w:rsidRPr="00126E2B" w:rsidRDefault="00126E2B" w:rsidP="00551149">
            <w:pPr>
              <w:tabs>
                <w:tab w:val="left" w:pos="4111"/>
              </w:tabs>
              <w:spacing w:before="0"/>
              <w:ind w:left="57"/>
              <w:rPr>
                <w:lang w:val="es-ES"/>
              </w:rPr>
            </w:pPr>
            <w:r w:rsidRPr="00126E2B">
              <w:rPr>
                <w:lang w:val="es-ES"/>
              </w:rPr>
              <w:t>[Cargo oficial/título]</w:t>
            </w:r>
          </w:p>
          <w:p w14:paraId="13B54DE1" w14:textId="77777777" w:rsidR="00126E2B" w:rsidRPr="00126E2B" w:rsidRDefault="00126E2B" w:rsidP="00551149">
            <w:pPr>
              <w:tabs>
                <w:tab w:val="left" w:pos="4111"/>
              </w:tabs>
              <w:spacing w:before="0"/>
              <w:ind w:left="57"/>
              <w:rPr>
                <w:lang w:val="es-ES"/>
              </w:rPr>
            </w:pPr>
            <w:r w:rsidRPr="00126E2B">
              <w:rPr>
                <w:lang w:val="es-ES"/>
              </w:rPr>
              <w:t>[Dirección]</w:t>
            </w:r>
          </w:p>
        </w:tc>
      </w:tr>
      <w:tr w:rsidR="00126E2B" w:rsidRPr="00126E2B" w14:paraId="3A6494B9" w14:textId="77777777" w:rsidTr="001439D1">
        <w:tc>
          <w:tcPr>
            <w:tcW w:w="1169" w:type="dxa"/>
            <w:shd w:val="clear" w:color="auto" w:fill="auto"/>
          </w:tcPr>
          <w:p w14:paraId="237F753E" w14:textId="77777777" w:rsidR="00126E2B" w:rsidRPr="00126E2B" w:rsidRDefault="00126E2B" w:rsidP="00551149">
            <w:pPr>
              <w:tabs>
                <w:tab w:val="left" w:pos="4111"/>
              </w:tabs>
              <w:spacing w:before="10"/>
              <w:ind w:left="57"/>
              <w:rPr>
                <w:sz w:val="22"/>
              </w:rPr>
            </w:pPr>
            <w:r w:rsidRPr="00126E2B">
              <w:rPr>
                <w:sz w:val="22"/>
              </w:rPr>
              <w:t>Fax:</w:t>
            </w:r>
          </w:p>
        </w:tc>
        <w:tc>
          <w:tcPr>
            <w:tcW w:w="4558" w:type="dxa"/>
            <w:tcBorders>
              <w:right w:val="single" w:sz="8" w:space="0" w:color="auto"/>
            </w:tcBorders>
            <w:shd w:val="clear" w:color="auto" w:fill="auto"/>
          </w:tcPr>
          <w:p w14:paraId="6BC195ED" w14:textId="77777777" w:rsidR="00126E2B" w:rsidRPr="00126E2B" w:rsidRDefault="00126E2B" w:rsidP="00551149">
            <w:pPr>
              <w:tabs>
                <w:tab w:val="left" w:pos="4111"/>
              </w:tabs>
              <w:spacing w:before="0"/>
              <w:ind w:left="57"/>
              <w:rPr>
                <w:lang w:val="es-ES"/>
              </w:rPr>
            </w:pPr>
            <w:r w:rsidRPr="00126E2B">
              <w:rPr>
                <w:lang w:val="es-ES"/>
              </w:rPr>
              <w:t>+41-22-730-5853</w:t>
            </w:r>
          </w:p>
        </w:tc>
        <w:tc>
          <w:tcPr>
            <w:tcW w:w="1253" w:type="dxa"/>
            <w:tcBorders>
              <w:left w:val="single" w:sz="8" w:space="0" w:color="auto"/>
            </w:tcBorders>
            <w:shd w:val="clear" w:color="auto" w:fill="auto"/>
          </w:tcPr>
          <w:p w14:paraId="7CA18D18" w14:textId="77777777" w:rsidR="00126E2B" w:rsidRPr="00126E2B" w:rsidRDefault="00126E2B" w:rsidP="00551149">
            <w:pPr>
              <w:tabs>
                <w:tab w:val="left" w:pos="4111"/>
              </w:tabs>
              <w:spacing w:before="10"/>
              <w:ind w:left="57"/>
              <w:rPr>
                <w:sz w:val="22"/>
              </w:rPr>
            </w:pPr>
            <w:r w:rsidRPr="00126E2B">
              <w:rPr>
                <w:sz w:val="22"/>
              </w:rPr>
              <w:t>Fax:</w:t>
            </w:r>
          </w:p>
        </w:tc>
        <w:tc>
          <w:tcPr>
            <w:tcW w:w="3402" w:type="dxa"/>
            <w:shd w:val="clear" w:color="auto" w:fill="auto"/>
          </w:tcPr>
          <w:p w14:paraId="5CAED66A" w14:textId="77777777" w:rsidR="00126E2B" w:rsidRPr="00126E2B" w:rsidRDefault="00126E2B" w:rsidP="00551149">
            <w:pPr>
              <w:tabs>
                <w:tab w:val="left" w:pos="4111"/>
              </w:tabs>
              <w:spacing w:before="0"/>
              <w:ind w:left="57"/>
              <w:rPr>
                <w:lang w:val="es-ES"/>
              </w:rPr>
            </w:pPr>
          </w:p>
        </w:tc>
      </w:tr>
      <w:tr w:rsidR="00126E2B" w:rsidRPr="00126E2B" w14:paraId="0454AB77" w14:textId="77777777" w:rsidTr="001439D1">
        <w:tc>
          <w:tcPr>
            <w:tcW w:w="1169" w:type="dxa"/>
            <w:shd w:val="clear" w:color="auto" w:fill="auto"/>
          </w:tcPr>
          <w:p w14:paraId="3FAA4C7B" w14:textId="77777777" w:rsidR="00126E2B" w:rsidRPr="00126E2B" w:rsidRDefault="00126E2B" w:rsidP="00551149">
            <w:pPr>
              <w:tabs>
                <w:tab w:val="left" w:pos="4111"/>
              </w:tabs>
              <w:spacing w:before="10"/>
              <w:ind w:left="57"/>
              <w:rPr>
                <w:sz w:val="22"/>
              </w:rPr>
            </w:pPr>
            <w:r w:rsidRPr="00126E2B">
              <w:rPr>
                <w:sz w:val="22"/>
              </w:rPr>
              <w:t>Correo-e:</w:t>
            </w:r>
          </w:p>
        </w:tc>
        <w:tc>
          <w:tcPr>
            <w:tcW w:w="4558" w:type="dxa"/>
            <w:tcBorders>
              <w:right w:val="single" w:sz="8" w:space="0" w:color="auto"/>
            </w:tcBorders>
            <w:shd w:val="clear" w:color="auto" w:fill="auto"/>
          </w:tcPr>
          <w:p w14:paraId="0344EB45" w14:textId="4BD61048" w:rsidR="00126E2B" w:rsidRPr="00126E2B" w:rsidRDefault="00126E2B" w:rsidP="00551149">
            <w:pPr>
              <w:tabs>
                <w:tab w:val="left" w:pos="4111"/>
              </w:tabs>
              <w:spacing w:before="0"/>
              <w:ind w:left="57"/>
              <w:rPr>
                <w:color w:val="0000FF"/>
                <w:u w:val="single"/>
                <w:lang w:val="es-ES"/>
              </w:rPr>
            </w:pPr>
            <w:hyperlink r:id="rId22" w:history="1">
              <w:r w:rsidRPr="00126E2B">
                <w:rPr>
                  <w:color w:val="0000FF"/>
                  <w:u w:val="single"/>
                  <w:lang w:val="es-ES"/>
                </w:rPr>
                <w:t>tsbdir@itu.int</w:t>
              </w:r>
            </w:hyperlink>
          </w:p>
        </w:tc>
        <w:tc>
          <w:tcPr>
            <w:tcW w:w="1253" w:type="dxa"/>
            <w:tcBorders>
              <w:left w:val="single" w:sz="8" w:space="0" w:color="auto"/>
            </w:tcBorders>
            <w:shd w:val="clear" w:color="auto" w:fill="auto"/>
          </w:tcPr>
          <w:p w14:paraId="06026EB7" w14:textId="77777777" w:rsidR="00126E2B" w:rsidRPr="00126E2B" w:rsidRDefault="00126E2B" w:rsidP="00551149">
            <w:pPr>
              <w:tabs>
                <w:tab w:val="left" w:pos="4111"/>
              </w:tabs>
              <w:spacing w:before="10"/>
              <w:ind w:left="57"/>
              <w:rPr>
                <w:sz w:val="22"/>
              </w:rPr>
            </w:pPr>
            <w:r w:rsidRPr="00126E2B">
              <w:rPr>
                <w:sz w:val="22"/>
              </w:rPr>
              <w:t>Correo-e:</w:t>
            </w:r>
          </w:p>
        </w:tc>
        <w:tc>
          <w:tcPr>
            <w:tcW w:w="3402" w:type="dxa"/>
            <w:shd w:val="clear" w:color="auto" w:fill="auto"/>
          </w:tcPr>
          <w:p w14:paraId="265E2240" w14:textId="77777777" w:rsidR="00126E2B" w:rsidRPr="00126E2B" w:rsidRDefault="00126E2B" w:rsidP="00551149">
            <w:pPr>
              <w:tabs>
                <w:tab w:val="left" w:pos="4111"/>
              </w:tabs>
              <w:spacing w:before="0"/>
              <w:ind w:left="57"/>
              <w:rPr>
                <w:lang w:val="es-ES"/>
              </w:rPr>
            </w:pPr>
          </w:p>
        </w:tc>
      </w:tr>
      <w:tr w:rsidR="00126E2B" w:rsidRPr="00126E2B" w14:paraId="2DBA7036" w14:textId="77777777" w:rsidTr="001439D1">
        <w:tc>
          <w:tcPr>
            <w:tcW w:w="1169" w:type="dxa"/>
            <w:shd w:val="clear" w:color="auto" w:fill="auto"/>
          </w:tcPr>
          <w:p w14:paraId="3F429DA1" w14:textId="77777777" w:rsidR="00126E2B" w:rsidRPr="00126E2B" w:rsidRDefault="00126E2B" w:rsidP="00551149">
            <w:pPr>
              <w:tabs>
                <w:tab w:val="left" w:pos="4111"/>
              </w:tabs>
              <w:spacing w:before="10"/>
              <w:ind w:left="57"/>
              <w:rPr>
                <w:sz w:val="22"/>
              </w:rPr>
            </w:pPr>
          </w:p>
        </w:tc>
        <w:tc>
          <w:tcPr>
            <w:tcW w:w="4558" w:type="dxa"/>
            <w:tcBorders>
              <w:right w:val="single" w:sz="8" w:space="0" w:color="auto"/>
            </w:tcBorders>
            <w:shd w:val="clear" w:color="auto" w:fill="auto"/>
          </w:tcPr>
          <w:p w14:paraId="79A5FDD1" w14:textId="77777777" w:rsidR="00126E2B" w:rsidRPr="00126E2B" w:rsidRDefault="00126E2B" w:rsidP="00551149">
            <w:pPr>
              <w:tabs>
                <w:tab w:val="left" w:pos="4111"/>
              </w:tabs>
              <w:spacing w:before="0"/>
              <w:ind w:left="57"/>
              <w:rPr>
                <w:lang w:val="es-ES"/>
              </w:rPr>
            </w:pPr>
          </w:p>
        </w:tc>
        <w:tc>
          <w:tcPr>
            <w:tcW w:w="1253" w:type="dxa"/>
            <w:tcBorders>
              <w:left w:val="single" w:sz="8" w:space="0" w:color="auto"/>
            </w:tcBorders>
            <w:shd w:val="clear" w:color="auto" w:fill="auto"/>
          </w:tcPr>
          <w:p w14:paraId="700738A7" w14:textId="77777777" w:rsidR="00126E2B" w:rsidRPr="00126E2B" w:rsidRDefault="00126E2B" w:rsidP="00551149">
            <w:pPr>
              <w:tabs>
                <w:tab w:val="left" w:pos="4111"/>
              </w:tabs>
              <w:spacing w:before="10"/>
              <w:ind w:left="57"/>
              <w:rPr>
                <w:sz w:val="22"/>
              </w:rPr>
            </w:pPr>
            <w:r w:rsidRPr="00126E2B">
              <w:rPr>
                <w:sz w:val="22"/>
              </w:rPr>
              <w:t>Fecha:</w:t>
            </w:r>
          </w:p>
        </w:tc>
        <w:tc>
          <w:tcPr>
            <w:tcW w:w="3402" w:type="dxa"/>
            <w:shd w:val="clear" w:color="auto" w:fill="auto"/>
          </w:tcPr>
          <w:p w14:paraId="60155713" w14:textId="77777777" w:rsidR="00126E2B" w:rsidRPr="00126E2B" w:rsidRDefault="00126E2B" w:rsidP="00551149">
            <w:pPr>
              <w:tabs>
                <w:tab w:val="left" w:pos="4111"/>
              </w:tabs>
              <w:spacing w:before="0"/>
              <w:ind w:left="57"/>
              <w:rPr>
                <w:lang w:val="es-ES"/>
              </w:rPr>
            </w:pPr>
            <w:r w:rsidRPr="00126E2B">
              <w:rPr>
                <w:lang w:val="es-ES"/>
              </w:rPr>
              <w:t>[lugar,] [fecha]</w:t>
            </w:r>
          </w:p>
        </w:tc>
      </w:tr>
    </w:tbl>
    <w:p w14:paraId="646F8834" w14:textId="77777777" w:rsidR="00126E2B" w:rsidRPr="00126E2B" w:rsidRDefault="00126E2B" w:rsidP="00AF32B2">
      <w:pPr>
        <w:pStyle w:val="Normalaftertitle"/>
        <w:rPr>
          <w:lang w:val="es-ES"/>
        </w:rPr>
      </w:pPr>
      <w:r w:rsidRPr="00126E2B">
        <w:rPr>
          <w:lang w:val="es-ES"/>
        </w:rPr>
        <w:t>Muy Señora mía/Muy Señor mío:</w:t>
      </w:r>
    </w:p>
    <w:p w14:paraId="30474D96" w14:textId="238D0E9E" w:rsidR="00126E2B" w:rsidRPr="00126E2B" w:rsidRDefault="00126E2B" w:rsidP="00551149">
      <w:pPr>
        <w:spacing w:after="240"/>
        <w:rPr>
          <w:lang w:val="es-ES"/>
        </w:rPr>
      </w:pPr>
      <w:r w:rsidRPr="00126E2B">
        <w:rPr>
          <w:lang w:val="es-ES"/>
        </w:rPr>
        <w:t>En relación con la consulta a los Estados Miembros sobre los proyectos de texto determinado que se enumeran en</w:t>
      </w:r>
      <w:r w:rsidR="00AF32B2">
        <w:rPr>
          <w:lang w:val="es-ES"/>
        </w:rPr>
        <w:t xml:space="preserve"> la</w:t>
      </w:r>
      <w:r w:rsidRPr="00126E2B">
        <w:rPr>
          <w:lang w:val="es-ES"/>
        </w:rPr>
        <w:t xml:space="preserve"> Circular TSB 3</w:t>
      </w:r>
      <w:r w:rsidR="00AF32B2">
        <w:rPr>
          <w:lang w:val="es-ES"/>
        </w:rPr>
        <w:t>9</w:t>
      </w:r>
      <w:r w:rsidRPr="00126E2B">
        <w:rPr>
          <w:lang w:val="es-ES"/>
        </w:rPr>
        <w:t>, quisiera comunicarle la opinión de esta Administración, que se presenta en el siguiente cuadro: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7729"/>
      </w:tblGrid>
      <w:tr w:rsidR="00126E2B" w:rsidRPr="00126E2B" w14:paraId="772E46D9" w14:textId="77777777" w:rsidTr="00010DDE">
        <w:trPr>
          <w:tblHeader/>
          <w:jc w:val="center"/>
        </w:trPr>
        <w:tc>
          <w:tcPr>
            <w:tcW w:w="2063" w:type="dxa"/>
            <w:shd w:val="clear" w:color="auto" w:fill="auto"/>
            <w:vAlign w:val="center"/>
          </w:tcPr>
          <w:p w14:paraId="3A78368E" w14:textId="77777777" w:rsidR="00126E2B" w:rsidRPr="00551149" w:rsidRDefault="00126E2B" w:rsidP="00551149">
            <w:pPr>
              <w:pStyle w:val="TableHead"/>
              <w:rPr>
                <w:lang w:val="es-ES"/>
              </w:rPr>
            </w:pPr>
          </w:p>
        </w:tc>
        <w:tc>
          <w:tcPr>
            <w:tcW w:w="7566" w:type="dxa"/>
            <w:shd w:val="clear" w:color="auto" w:fill="auto"/>
            <w:vAlign w:val="center"/>
          </w:tcPr>
          <w:p w14:paraId="30D1AEDE" w14:textId="75768688" w:rsidR="00126E2B" w:rsidRPr="00126E2B" w:rsidRDefault="00126E2B" w:rsidP="00551149">
            <w:pPr>
              <w:pStyle w:val="TableHead"/>
              <w:rPr>
                <w:lang w:val="es-ES"/>
              </w:rPr>
            </w:pPr>
            <w:r w:rsidRPr="00126E2B">
              <w:rPr>
                <w:lang w:val="es-ES"/>
              </w:rPr>
              <w:t>Seleccione una de las dos casillas</w:t>
            </w:r>
          </w:p>
        </w:tc>
      </w:tr>
      <w:tr w:rsidR="00126E2B" w:rsidRPr="00126E2B" w14:paraId="6A8E67C1" w14:textId="77777777" w:rsidTr="00010DDE">
        <w:trPr>
          <w:trHeight w:val="748"/>
          <w:jc w:val="center"/>
        </w:trPr>
        <w:tc>
          <w:tcPr>
            <w:tcW w:w="2063" w:type="dxa"/>
            <w:vMerge w:val="restart"/>
            <w:shd w:val="clear" w:color="auto" w:fill="auto"/>
            <w:vAlign w:val="center"/>
          </w:tcPr>
          <w:p w14:paraId="4560E89F" w14:textId="7618FF1C" w:rsidR="00126E2B" w:rsidRPr="00551149" w:rsidRDefault="00126E2B" w:rsidP="00551149">
            <w:pPr>
              <w:pStyle w:val="TableText"/>
              <w:jc w:val="center"/>
              <w:rPr>
                <w:b/>
                <w:lang w:val="es-ES"/>
              </w:rPr>
            </w:pPr>
            <w:r w:rsidRPr="00551149">
              <w:rPr>
                <w:b/>
                <w:lang w:val="es-ES"/>
              </w:rPr>
              <w:t>Proyecto de nueva Recomendación UIT-T Y.4235 (ex</w:t>
            </w:r>
            <w:r w:rsidR="007D2313">
              <w:rPr>
                <w:b/>
                <w:lang w:val="es-ES"/>
              </w:rPr>
              <w:t xml:space="preserve"> </w:t>
            </w:r>
            <w:proofErr w:type="spellStart"/>
            <w:r w:rsidRPr="00551149">
              <w:rPr>
                <w:b/>
                <w:lang w:val="es-ES"/>
              </w:rPr>
              <w:t>Y.PGComNet-Reqts</w:t>
            </w:r>
            <w:proofErr w:type="spellEnd"/>
            <w:r w:rsidRPr="00551149">
              <w:rPr>
                <w:b/>
                <w:lang w:val="es-ES"/>
              </w:rPr>
              <w:t>)</w:t>
            </w:r>
          </w:p>
        </w:tc>
        <w:tc>
          <w:tcPr>
            <w:tcW w:w="7566" w:type="dxa"/>
            <w:shd w:val="clear" w:color="auto" w:fill="auto"/>
            <w:vAlign w:val="center"/>
          </w:tcPr>
          <w:p w14:paraId="31C8E3EB" w14:textId="71FF5483" w:rsidR="00126E2B" w:rsidRPr="00126E2B" w:rsidRDefault="00126E2B" w:rsidP="00AF32B2">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r>
            <w:r w:rsidR="007D2313">
              <w:rPr>
                <w:b/>
                <w:lang w:val="es-ES"/>
              </w:rPr>
              <w:t>O</w:t>
            </w:r>
            <w:r w:rsidRPr="00AF32B2">
              <w:rPr>
                <w:b/>
                <w:bCs/>
                <w:lang w:val="es-ES"/>
              </w:rPr>
              <w:t>torga autoridad</w:t>
            </w:r>
            <w:r w:rsidRPr="00126E2B">
              <w:rPr>
                <w:lang w:val="es-ES"/>
              </w:rPr>
              <w:t xml:space="preserve"> a la Comisión de Estudio 20 para examinar este texto para aprobación (en cuyo caso, seleccione una de las dos opciones ⃝):</w:t>
            </w:r>
          </w:p>
          <w:p w14:paraId="02DC8524" w14:textId="78ED3551" w:rsidR="00126E2B" w:rsidRPr="00126E2B" w:rsidRDefault="00126E2B" w:rsidP="00AF32B2">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Sin comentarios o cambios sugeridos</w:t>
            </w:r>
          </w:p>
          <w:p w14:paraId="60EC7697" w14:textId="3F23581E" w:rsidR="00126E2B" w:rsidRPr="00126E2B" w:rsidRDefault="00126E2B" w:rsidP="00AF32B2">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Se adjuntan los comentarios o cambios sugeridos</w:t>
            </w:r>
          </w:p>
        </w:tc>
      </w:tr>
      <w:tr w:rsidR="00126E2B" w:rsidRPr="00126E2B" w14:paraId="6851FC57" w14:textId="77777777" w:rsidTr="00010DDE">
        <w:trPr>
          <w:trHeight w:val="747"/>
          <w:jc w:val="center"/>
        </w:trPr>
        <w:tc>
          <w:tcPr>
            <w:tcW w:w="2063" w:type="dxa"/>
            <w:vMerge/>
            <w:shd w:val="clear" w:color="auto" w:fill="auto"/>
            <w:vAlign w:val="center"/>
          </w:tcPr>
          <w:p w14:paraId="742F5357" w14:textId="77777777" w:rsidR="00126E2B" w:rsidRPr="00551149" w:rsidRDefault="00126E2B" w:rsidP="00551149">
            <w:pPr>
              <w:pStyle w:val="TableText"/>
              <w:jc w:val="center"/>
              <w:rPr>
                <w:b/>
                <w:lang w:val="es-ES"/>
              </w:rPr>
            </w:pPr>
          </w:p>
        </w:tc>
        <w:tc>
          <w:tcPr>
            <w:tcW w:w="7566" w:type="dxa"/>
            <w:shd w:val="clear" w:color="auto" w:fill="auto"/>
            <w:vAlign w:val="center"/>
          </w:tcPr>
          <w:p w14:paraId="569D36F3" w14:textId="3931F918"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r>
            <w:r w:rsidR="00AF32B2">
              <w:rPr>
                <w:lang w:val="es-ES"/>
              </w:rPr>
              <w:tab/>
            </w:r>
            <w:r w:rsidRPr="00AF32B2">
              <w:rPr>
                <w:b/>
                <w:bCs/>
                <w:lang w:val="es-ES"/>
              </w:rPr>
              <w:t>No otorga autoridad</w:t>
            </w:r>
            <w:r w:rsidRPr="00126E2B">
              <w:rPr>
                <w:lang w:val="es-ES"/>
              </w:rPr>
              <w:t xml:space="preserve"> a la Comisión de Estudio 20 a fin de examinar este texto para aprobación (se adjuntan los motivos de esta decisión y las posibles modificaciones que permitirían que prosiguieran los trabajos)</w:t>
            </w:r>
            <w:r w:rsidR="007D2313">
              <w:rPr>
                <w:lang w:val="es-ES"/>
              </w:rPr>
              <w:t>.</w:t>
            </w:r>
          </w:p>
        </w:tc>
      </w:tr>
      <w:tr w:rsidR="00126E2B" w:rsidRPr="00126E2B" w14:paraId="5D6BCC08" w14:textId="77777777" w:rsidTr="00010DDE">
        <w:trPr>
          <w:trHeight w:val="748"/>
          <w:jc w:val="center"/>
        </w:trPr>
        <w:tc>
          <w:tcPr>
            <w:tcW w:w="2063" w:type="dxa"/>
            <w:vMerge w:val="restart"/>
            <w:shd w:val="clear" w:color="auto" w:fill="auto"/>
            <w:vAlign w:val="center"/>
          </w:tcPr>
          <w:p w14:paraId="2C4A7D4F" w14:textId="7C62F54B" w:rsidR="00126E2B" w:rsidRPr="00551149" w:rsidRDefault="00126E2B" w:rsidP="00551149">
            <w:pPr>
              <w:pStyle w:val="TableText"/>
              <w:jc w:val="center"/>
              <w:rPr>
                <w:b/>
                <w:lang w:val="es-ES"/>
              </w:rPr>
            </w:pPr>
            <w:r w:rsidRPr="00551149">
              <w:rPr>
                <w:b/>
                <w:lang w:val="es-ES"/>
              </w:rPr>
              <w:t xml:space="preserve">Proyecto de nueva Recomendación UIT-T Y.4236 </w:t>
            </w:r>
            <w:r w:rsidR="00A41F11">
              <w:rPr>
                <w:b/>
                <w:lang w:val="es-ES"/>
              </w:rPr>
              <w:br/>
            </w:r>
            <w:r w:rsidRPr="00551149">
              <w:rPr>
                <w:b/>
                <w:lang w:val="es-ES"/>
              </w:rPr>
              <w:t>(ex Y.EMM-</w:t>
            </w:r>
            <w:proofErr w:type="spellStart"/>
            <w:r w:rsidRPr="00551149">
              <w:rPr>
                <w:b/>
                <w:lang w:val="es-ES"/>
              </w:rPr>
              <w:t>Reqts</w:t>
            </w:r>
            <w:proofErr w:type="spellEnd"/>
            <w:r w:rsidRPr="00551149">
              <w:rPr>
                <w:b/>
                <w:lang w:val="es-ES"/>
              </w:rPr>
              <w:t>)</w:t>
            </w:r>
          </w:p>
        </w:tc>
        <w:tc>
          <w:tcPr>
            <w:tcW w:w="7566" w:type="dxa"/>
            <w:shd w:val="clear" w:color="auto" w:fill="auto"/>
            <w:vAlign w:val="center"/>
          </w:tcPr>
          <w:p w14:paraId="40B60229" w14:textId="10B3CBD8"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r>
            <w:r w:rsidR="00AF32B2">
              <w:rPr>
                <w:lang w:val="es-ES"/>
              </w:rPr>
              <w:tab/>
            </w:r>
            <w:r w:rsidR="007D2313" w:rsidRPr="00A41F11">
              <w:rPr>
                <w:b/>
                <w:bCs/>
                <w:lang w:val="es-ES"/>
              </w:rPr>
              <w:t>O</w:t>
            </w:r>
            <w:r w:rsidRPr="007D2313">
              <w:rPr>
                <w:b/>
                <w:bCs/>
                <w:lang w:val="es-ES"/>
              </w:rPr>
              <w:t>torga autoridad</w:t>
            </w:r>
            <w:r w:rsidRPr="00126E2B">
              <w:rPr>
                <w:lang w:val="es-ES"/>
              </w:rPr>
              <w:t xml:space="preserve"> a la Comisión de Estudio 20 para examinar este texto para aprobación (en cuyo caso, seleccione una de las dos opciones ⃝):</w:t>
            </w:r>
          </w:p>
          <w:p w14:paraId="217DBD28" w14:textId="37FFBF6C" w:rsidR="00126E2B" w:rsidRPr="00126E2B" w:rsidRDefault="00126E2B" w:rsidP="00C720E8">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Sin comentarios o cambios sugeridos</w:t>
            </w:r>
          </w:p>
          <w:p w14:paraId="6FCE6E56" w14:textId="695F5B96" w:rsidR="00126E2B" w:rsidRPr="00126E2B" w:rsidRDefault="00126E2B" w:rsidP="00C720E8">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Se adjuntan los comentarios o cambios sugeridos</w:t>
            </w:r>
          </w:p>
        </w:tc>
      </w:tr>
      <w:tr w:rsidR="00126E2B" w:rsidRPr="00126E2B" w14:paraId="2DC37688" w14:textId="77777777" w:rsidTr="00010DDE">
        <w:trPr>
          <w:trHeight w:val="747"/>
          <w:jc w:val="center"/>
        </w:trPr>
        <w:tc>
          <w:tcPr>
            <w:tcW w:w="2063" w:type="dxa"/>
            <w:vMerge/>
            <w:shd w:val="clear" w:color="auto" w:fill="auto"/>
            <w:vAlign w:val="center"/>
          </w:tcPr>
          <w:p w14:paraId="0B7F333D" w14:textId="77777777" w:rsidR="00126E2B" w:rsidRPr="00551149" w:rsidRDefault="00126E2B" w:rsidP="00551149">
            <w:pPr>
              <w:pStyle w:val="TableText"/>
              <w:jc w:val="center"/>
              <w:rPr>
                <w:b/>
                <w:lang w:val="es-ES"/>
              </w:rPr>
            </w:pPr>
          </w:p>
        </w:tc>
        <w:tc>
          <w:tcPr>
            <w:tcW w:w="7566" w:type="dxa"/>
            <w:shd w:val="clear" w:color="auto" w:fill="auto"/>
            <w:vAlign w:val="center"/>
          </w:tcPr>
          <w:p w14:paraId="29DD66F4" w14:textId="670EC05B"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00AF32B2">
              <w:rPr>
                <w:lang w:val="es-ES"/>
              </w:rPr>
              <w:tab/>
            </w:r>
            <w:r w:rsidRPr="00126E2B">
              <w:rPr>
                <w:lang w:val="es-ES"/>
              </w:rPr>
              <w:tab/>
            </w:r>
            <w:r w:rsidRPr="007D2313">
              <w:rPr>
                <w:b/>
                <w:bCs/>
                <w:lang w:val="es-ES"/>
              </w:rPr>
              <w:t>No otorga autoridad</w:t>
            </w:r>
            <w:r w:rsidRPr="00126E2B">
              <w:rPr>
                <w:lang w:val="es-ES"/>
              </w:rPr>
              <w:t xml:space="preserve"> a la Comisión de Estudio 20 a fin de examinar este texto para aprobación (se adjuntan los motivos de esta decisión y las posibles modificaciones que permitirían que prosiguieran los trabajos)</w:t>
            </w:r>
            <w:r w:rsidR="007D2313">
              <w:rPr>
                <w:lang w:val="es-ES"/>
              </w:rPr>
              <w:t>.</w:t>
            </w:r>
          </w:p>
        </w:tc>
      </w:tr>
      <w:tr w:rsidR="00126E2B" w:rsidRPr="00126E2B" w14:paraId="0C040750" w14:textId="77777777" w:rsidTr="00010DDE">
        <w:trPr>
          <w:trHeight w:val="748"/>
          <w:jc w:val="center"/>
        </w:trPr>
        <w:tc>
          <w:tcPr>
            <w:tcW w:w="2063" w:type="dxa"/>
            <w:vMerge w:val="restart"/>
            <w:shd w:val="clear" w:color="auto" w:fill="auto"/>
            <w:vAlign w:val="center"/>
          </w:tcPr>
          <w:p w14:paraId="3EA71BB8" w14:textId="7B693C92" w:rsidR="00126E2B" w:rsidRPr="00551149" w:rsidRDefault="00126E2B" w:rsidP="00551149">
            <w:pPr>
              <w:pStyle w:val="TableText"/>
              <w:jc w:val="center"/>
              <w:rPr>
                <w:b/>
                <w:lang w:val="es-ES"/>
              </w:rPr>
            </w:pPr>
            <w:r w:rsidRPr="00551149">
              <w:rPr>
                <w:b/>
                <w:lang w:val="es-ES"/>
              </w:rPr>
              <w:t xml:space="preserve">Proyecto de nueva Recomendación UIT-T Y.4237 </w:t>
            </w:r>
            <w:r w:rsidR="00A41F11">
              <w:rPr>
                <w:b/>
                <w:lang w:val="es-ES"/>
              </w:rPr>
              <w:br/>
            </w:r>
            <w:r w:rsidRPr="00551149">
              <w:rPr>
                <w:b/>
                <w:lang w:val="es-ES"/>
              </w:rPr>
              <w:t xml:space="preserve">(ex </w:t>
            </w:r>
            <w:proofErr w:type="spellStart"/>
            <w:r w:rsidRPr="00551149">
              <w:rPr>
                <w:b/>
                <w:lang w:val="es-ES"/>
              </w:rPr>
              <w:t>Y.dt</w:t>
            </w:r>
            <w:proofErr w:type="spellEnd"/>
            <w:r w:rsidRPr="00551149">
              <w:rPr>
                <w:b/>
                <w:lang w:val="es-ES"/>
              </w:rPr>
              <w:t>-IWCS)</w:t>
            </w:r>
          </w:p>
        </w:tc>
        <w:tc>
          <w:tcPr>
            <w:tcW w:w="7566" w:type="dxa"/>
            <w:shd w:val="clear" w:color="auto" w:fill="auto"/>
            <w:vAlign w:val="center"/>
          </w:tcPr>
          <w:p w14:paraId="2BDF334B" w14:textId="791A115A"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r>
            <w:r w:rsidR="00AF32B2">
              <w:rPr>
                <w:lang w:val="es-ES"/>
              </w:rPr>
              <w:tab/>
            </w:r>
            <w:r w:rsidR="007D2313">
              <w:rPr>
                <w:b/>
                <w:lang w:val="es-ES"/>
              </w:rPr>
              <w:t>O</w:t>
            </w:r>
            <w:r w:rsidRPr="007D2313">
              <w:rPr>
                <w:b/>
                <w:bCs/>
                <w:lang w:val="es-ES"/>
              </w:rPr>
              <w:t>torga autoridad</w:t>
            </w:r>
            <w:r w:rsidRPr="00126E2B">
              <w:rPr>
                <w:lang w:val="es-ES"/>
              </w:rPr>
              <w:t xml:space="preserve"> a la Comisión de Estudio 20 para examinar este texto para aprobación (en cuyo caso, seleccione una de las dos opciones ⃝):</w:t>
            </w:r>
          </w:p>
          <w:p w14:paraId="2CBF88BB" w14:textId="7FC64B8D" w:rsidR="00126E2B" w:rsidRPr="00126E2B" w:rsidRDefault="00126E2B" w:rsidP="00C720E8">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Sin comentarios o cambios sugeridos</w:t>
            </w:r>
          </w:p>
          <w:p w14:paraId="4AED4886" w14:textId="754D4FA3" w:rsidR="00126E2B" w:rsidRPr="00126E2B" w:rsidRDefault="00126E2B" w:rsidP="00C720E8">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Se adjuntan los comentarios o cambios sugeridos</w:t>
            </w:r>
          </w:p>
        </w:tc>
      </w:tr>
      <w:tr w:rsidR="00126E2B" w:rsidRPr="00126E2B" w14:paraId="71F4FB09" w14:textId="77777777" w:rsidTr="00010DDE">
        <w:trPr>
          <w:trHeight w:val="747"/>
          <w:jc w:val="center"/>
        </w:trPr>
        <w:tc>
          <w:tcPr>
            <w:tcW w:w="2063" w:type="dxa"/>
            <w:vMerge/>
            <w:shd w:val="clear" w:color="auto" w:fill="auto"/>
            <w:vAlign w:val="center"/>
          </w:tcPr>
          <w:p w14:paraId="1199383F" w14:textId="77777777" w:rsidR="00126E2B" w:rsidRPr="00551149" w:rsidRDefault="00126E2B" w:rsidP="00551149">
            <w:pPr>
              <w:pStyle w:val="TableText"/>
              <w:jc w:val="center"/>
              <w:rPr>
                <w:b/>
                <w:lang w:val="es-ES"/>
              </w:rPr>
            </w:pPr>
          </w:p>
        </w:tc>
        <w:tc>
          <w:tcPr>
            <w:tcW w:w="7566" w:type="dxa"/>
            <w:shd w:val="clear" w:color="auto" w:fill="auto"/>
            <w:vAlign w:val="center"/>
          </w:tcPr>
          <w:p w14:paraId="3E0F747F" w14:textId="31F52451"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r>
            <w:r w:rsidR="00AF32B2">
              <w:rPr>
                <w:lang w:val="es-ES"/>
              </w:rPr>
              <w:tab/>
            </w:r>
            <w:r w:rsidRPr="007D2313">
              <w:rPr>
                <w:b/>
                <w:bCs/>
                <w:lang w:val="es-ES"/>
              </w:rPr>
              <w:t>No otorga autoridad</w:t>
            </w:r>
            <w:r w:rsidRPr="00126E2B">
              <w:rPr>
                <w:lang w:val="es-ES"/>
              </w:rPr>
              <w:t xml:space="preserve"> a la Comisión de Estudio 20 a fin de examinar este texto para aprobación (se adjuntan los motivos de esta decisión y las posibles modificaciones que permitirían que prosiguieran los trabajos d)</w:t>
            </w:r>
            <w:r w:rsidR="007D2313">
              <w:rPr>
                <w:lang w:val="es-ES"/>
              </w:rPr>
              <w:t>.</w:t>
            </w:r>
          </w:p>
        </w:tc>
      </w:tr>
      <w:tr w:rsidR="00126E2B" w:rsidRPr="00126E2B" w14:paraId="0D2FED1D" w14:textId="77777777" w:rsidTr="00010DDE">
        <w:trPr>
          <w:trHeight w:val="748"/>
          <w:jc w:val="center"/>
        </w:trPr>
        <w:tc>
          <w:tcPr>
            <w:tcW w:w="2063" w:type="dxa"/>
            <w:vMerge w:val="restart"/>
            <w:shd w:val="clear" w:color="auto" w:fill="auto"/>
            <w:vAlign w:val="center"/>
          </w:tcPr>
          <w:p w14:paraId="5E4F6C5F" w14:textId="78714795" w:rsidR="00126E2B" w:rsidRPr="00551149" w:rsidRDefault="00126E2B" w:rsidP="007D2313">
            <w:pPr>
              <w:pStyle w:val="TableText"/>
              <w:keepNext/>
              <w:jc w:val="center"/>
              <w:rPr>
                <w:b/>
                <w:lang w:val="es-ES"/>
              </w:rPr>
            </w:pPr>
            <w:r w:rsidRPr="00551149">
              <w:rPr>
                <w:b/>
                <w:lang w:val="es-ES"/>
              </w:rPr>
              <w:lastRenderedPageBreak/>
              <w:t xml:space="preserve">Proyecto de nueva Recomendación UIT-T Y.4496 </w:t>
            </w:r>
            <w:r w:rsidR="00A41F11">
              <w:rPr>
                <w:b/>
                <w:lang w:val="es-ES"/>
              </w:rPr>
              <w:br/>
            </w:r>
            <w:r w:rsidRPr="00551149">
              <w:rPr>
                <w:b/>
                <w:lang w:val="es-ES"/>
              </w:rPr>
              <w:t>(ex Y.RA-PHE)</w:t>
            </w:r>
          </w:p>
        </w:tc>
        <w:tc>
          <w:tcPr>
            <w:tcW w:w="7566" w:type="dxa"/>
            <w:shd w:val="clear" w:color="auto" w:fill="auto"/>
            <w:vAlign w:val="center"/>
          </w:tcPr>
          <w:p w14:paraId="27FD6C21" w14:textId="3F10A43C" w:rsidR="00126E2B" w:rsidRPr="00126E2B" w:rsidRDefault="00126E2B" w:rsidP="007D2313">
            <w:pPr>
              <w:pStyle w:val="TableText"/>
              <w:keepN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r>
            <w:r w:rsidR="00AF32B2">
              <w:rPr>
                <w:lang w:val="es-ES"/>
              </w:rPr>
              <w:tab/>
            </w:r>
            <w:r w:rsidR="007D2313" w:rsidRPr="007D2313">
              <w:rPr>
                <w:b/>
                <w:bCs/>
                <w:lang w:val="es-ES"/>
              </w:rPr>
              <w:t>O</w:t>
            </w:r>
            <w:r w:rsidRPr="007D2313">
              <w:rPr>
                <w:b/>
                <w:bCs/>
                <w:lang w:val="es-ES"/>
              </w:rPr>
              <w:t>torga autoridad</w:t>
            </w:r>
            <w:r w:rsidRPr="00126E2B">
              <w:rPr>
                <w:lang w:val="es-ES"/>
              </w:rPr>
              <w:t xml:space="preserve"> a la Comisión de Estudio 20 para examinar este texto para aprobación (en cuyo caso, seleccione una de las dos opciones ⃝):</w:t>
            </w:r>
          </w:p>
          <w:p w14:paraId="4029EBE1" w14:textId="75B012A7" w:rsidR="00126E2B" w:rsidRPr="00126E2B" w:rsidRDefault="00126E2B" w:rsidP="007D2313">
            <w:pPr>
              <w:pStyle w:val="TableText"/>
              <w:keepN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00AF32B2">
              <w:rPr>
                <w:lang w:val="es-ES"/>
              </w:rPr>
              <w:tab/>
            </w:r>
            <w:r w:rsidRPr="00126E2B">
              <w:rPr>
                <w:lang w:val="es-ES"/>
              </w:rPr>
              <w:t>Sin comentarios o cambios sugeridos</w:t>
            </w:r>
          </w:p>
          <w:p w14:paraId="234AF1EE" w14:textId="7C795F58" w:rsidR="00126E2B" w:rsidRPr="00126E2B" w:rsidRDefault="00126E2B" w:rsidP="007D2313">
            <w:pPr>
              <w:pStyle w:val="TableText"/>
              <w:keepN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Se adjuntan los comentarios o cambios sugeridos</w:t>
            </w:r>
          </w:p>
        </w:tc>
      </w:tr>
      <w:tr w:rsidR="00126E2B" w:rsidRPr="00126E2B" w14:paraId="4B1D682B" w14:textId="77777777" w:rsidTr="00010DDE">
        <w:trPr>
          <w:trHeight w:val="747"/>
          <w:jc w:val="center"/>
        </w:trPr>
        <w:tc>
          <w:tcPr>
            <w:tcW w:w="2063" w:type="dxa"/>
            <w:vMerge/>
            <w:shd w:val="clear" w:color="auto" w:fill="auto"/>
            <w:vAlign w:val="center"/>
          </w:tcPr>
          <w:p w14:paraId="02A8271D" w14:textId="77777777" w:rsidR="00126E2B" w:rsidRPr="00551149" w:rsidRDefault="00126E2B" w:rsidP="00551149">
            <w:pPr>
              <w:pStyle w:val="TableText"/>
              <w:jc w:val="center"/>
              <w:rPr>
                <w:b/>
                <w:lang w:val="es-ES"/>
              </w:rPr>
            </w:pPr>
          </w:p>
        </w:tc>
        <w:tc>
          <w:tcPr>
            <w:tcW w:w="7566" w:type="dxa"/>
            <w:shd w:val="clear" w:color="auto" w:fill="auto"/>
            <w:vAlign w:val="center"/>
          </w:tcPr>
          <w:p w14:paraId="07F13225" w14:textId="7EC89091"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00AF32B2">
              <w:rPr>
                <w:lang w:val="es-ES"/>
              </w:rPr>
              <w:tab/>
            </w:r>
            <w:r w:rsidRPr="007D2313">
              <w:rPr>
                <w:b/>
                <w:bCs/>
                <w:lang w:val="es-ES"/>
              </w:rPr>
              <w:tab/>
              <w:t>No otorga autoridad</w:t>
            </w:r>
            <w:r w:rsidRPr="00126E2B">
              <w:rPr>
                <w:lang w:val="es-ES"/>
              </w:rPr>
              <w:t xml:space="preserve"> a la Comisión de Estudio 20 a fin de examinar este texto para aprobación (se adjuntan los motivos de esta decisión y las posibles modificaciones que permitirían que prosiguieran los trabajos)</w:t>
            </w:r>
            <w:r w:rsidR="007D2313">
              <w:rPr>
                <w:lang w:val="es-ES"/>
              </w:rPr>
              <w:t>.</w:t>
            </w:r>
          </w:p>
        </w:tc>
      </w:tr>
      <w:tr w:rsidR="00126E2B" w:rsidRPr="00126E2B" w14:paraId="482F9AC8" w14:textId="77777777" w:rsidTr="00010DDE">
        <w:trPr>
          <w:trHeight w:val="748"/>
          <w:jc w:val="center"/>
        </w:trPr>
        <w:tc>
          <w:tcPr>
            <w:tcW w:w="2063" w:type="dxa"/>
            <w:vMerge w:val="restart"/>
            <w:shd w:val="clear" w:color="auto" w:fill="auto"/>
            <w:vAlign w:val="center"/>
          </w:tcPr>
          <w:p w14:paraId="42322954" w14:textId="77777777" w:rsidR="00126E2B" w:rsidRPr="00551149" w:rsidRDefault="00126E2B" w:rsidP="00551149">
            <w:pPr>
              <w:pStyle w:val="TableText"/>
              <w:jc w:val="center"/>
              <w:rPr>
                <w:b/>
                <w:lang w:val="es-ES"/>
              </w:rPr>
            </w:pPr>
            <w:r w:rsidRPr="00551149">
              <w:rPr>
                <w:b/>
                <w:lang w:val="es-ES"/>
              </w:rPr>
              <w:t xml:space="preserve">Proyecto de nueva Recomendación UIT-T Y.4708 (ex </w:t>
            </w:r>
            <w:proofErr w:type="spellStart"/>
            <w:r w:rsidRPr="00551149">
              <w:rPr>
                <w:b/>
                <w:lang w:val="es-ES"/>
              </w:rPr>
              <w:t>Y.IoT</w:t>
            </w:r>
            <w:proofErr w:type="spellEnd"/>
            <w:r w:rsidRPr="00551149">
              <w:rPr>
                <w:b/>
                <w:lang w:val="es-ES"/>
              </w:rPr>
              <w:t>-DPE)</w:t>
            </w:r>
          </w:p>
        </w:tc>
        <w:tc>
          <w:tcPr>
            <w:tcW w:w="7566" w:type="dxa"/>
            <w:shd w:val="clear" w:color="auto" w:fill="auto"/>
            <w:vAlign w:val="center"/>
          </w:tcPr>
          <w:p w14:paraId="196865C4" w14:textId="15ADA5AD"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00AF32B2">
              <w:rPr>
                <w:lang w:val="es-ES"/>
              </w:rPr>
              <w:tab/>
            </w:r>
            <w:r w:rsidRPr="00126E2B">
              <w:rPr>
                <w:lang w:val="es-ES"/>
              </w:rPr>
              <w:tab/>
            </w:r>
            <w:r w:rsidR="007D2313" w:rsidRPr="007D2313">
              <w:rPr>
                <w:b/>
                <w:bCs/>
                <w:lang w:val="es-ES"/>
              </w:rPr>
              <w:t>O</w:t>
            </w:r>
            <w:r w:rsidRPr="007D2313">
              <w:rPr>
                <w:b/>
                <w:bCs/>
                <w:lang w:val="es-ES"/>
              </w:rPr>
              <w:t>torga autoridad</w:t>
            </w:r>
            <w:r w:rsidRPr="00126E2B">
              <w:rPr>
                <w:lang w:val="es-ES"/>
              </w:rPr>
              <w:t xml:space="preserve"> a la Comisión de Estudio 20 para examinar este texto para aprobación (en cuyo caso, seleccione una de las dos opciones ⃝):</w:t>
            </w:r>
          </w:p>
          <w:p w14:paraId="5514D968" w14:textId="41B9A3D5" w:rsidR="00126E2B" w:rsidRPr="00126E2B" w:rsidRDefault="00126E2B" w:rsidP="00C720E8">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Sin comentarios o cambios sugeridos</w:t>
            </w:r>
          </w:p>
          <w:p w14:paraId="1BE55661" w14:textId="09CEEEE2" w:rsidR="00126E2B" w:rsidRPr="00126E2B" w:rsidRDefault="00126E2B" w:rsidP="00C720E8">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Se adjuntan los comentarios o cambios sugeridos</w:t>
            </w:r>
          </w:p>
        </w:tc>
      </w:tr>
      <w:tr w:rsidR="00126E2B" w:rsidRPr="00126E2B" w14:paraId="1364AFF6" w14:textId="77777777" w:rsidTr="00010DDE">
        <w:trPr>
          <w:trHeight w:val="747"/>
          <w:jc w:val="center"/>
        </w:trPr>
        <w:tc>
          <w:tcPr>
            <w:tcW w:w="2063" w:type="dxa"/>
            <w:vMerge/>
            <w:shd w:val="clear" w:color="auto" w:fill="auto"/>
            <w:vAlign w:val="center"/>
          </w:tcPr>
          <w:p w14:paraId="6551D8CD" w14:textId="77777777" w:rsidR="00126E2B" w:rsidRPr="00551149" w:rsidRDefault="00126E2B" w:rsidP="00551149">
            <w:pPr>
              <w:pStyle w:val="TableText"/>
              <w:jc w:val="center"/>
              <w:rPr>
                <w:b/>
                <w:lang w:val="es-ES"/>
              </w:rPr>
            </w:pPr>
          </w:p>
        </w:tc>
        <w:tc>
          <w:tcPr>
            <w:tcW w:w="7566" w:type="dxa"/>
            <w:shd w:val="clear" w:color="auto" w:fill="auto"/>
            <w:vAlign w:val="center"/>
          </w:tcPr>
          <w:p w14:paraId="0FF70AC4" w14:textId="62AF1909"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00AF32B2">
              <w:rPr>
                <w:lang w:val="es-ES"/>
              </w:rPr>
              <w:tab/>
            </w:r>
            <w:r w:rsidRPr="00126E2B">
              <w:rPr>
                <w:lang w:val="es-ES"/>
              </w:rPr>
              <w:tab/>
            </w:r>
            <w:r w:rsidRPr="007D2313">
              <w:rPr>
                <w:b/>
                <w:bCs/>
                <w:lang w:val="es-ES"/>
              </w:rPr>
              <w:t>No otorga autoridad</w:t>
            </w:r>
            <w:r w:rsidRPr="00126E2B">
              <w:rPr>
                <w:lang w:val="es-ES"/>
              </w:rPr>
              <w:t xml:space="preserve"> a la Comisión de Estudio 20 a fin de examinar este texto para aprobación (se adjuntan los motivos de esta decisión y las posibles modificaciones que permitirían que prosiguieran los trabajos)</w:t>
            </w:r>
            <w:r w:rsidR="007D2313">
              <w:rPr>
                <w:lang w:val="es-ES"/>
              </w:rPr>
              <w:t>.</w:t>
            </w:r>
          </w:p>
        </w:tc>
      </w:tr>
      <w:tr w:rsidR="00126E2B" w:rsidRPr="00126E2B" w14:paraId="71636ADA" w14:textId="77777777" w:rsidTr="00010DDE">
        <w:trPr>
          <w:trHeight w:val="748"/>
          <w:jc w:val="center"/>
        </w:trPr>
        <w:tc>
          <w:tcPr>
            <w:tcW w:w="2063" w:type="dxa"/>
            <w:vMerge w:val="restart"/>
            <w:shd w:val="clear" w:color="auto" w:fill="auto"/>
            <w:vAlign w:val="center"/>
          </w:tcPr>
          <w:p w14:paraId="18BF3108" w14:textId="77777777" w:rsidR="00126E2B" w:rsidRPr="00551149" w:rsidRDefault="00126E2B" w:rsidP="00551149">
            <w:pPr>
              <w:pStyle w:val="TableText"/>
              <w:jc w:val="center"/>
              <w:rPr>
                <w:b/>
                <w:lang w:val="es-ES"/>
              </w:rPr>
            </w:pPr>
            <w:r w:rsidRPr="00551149">
              <w:rPr>
                <w:b/>
                <w:lang w:val="es-ES"/>
              </w:rPr>
              <w:t xml:space="preserve">Proyecto de nueva Recomendación UIT-T Y.4609 (ex </w:t>
            </w:r>
            <w:proofErr w:type="spellStart"/>
            <w:r w:rsidRPr="00551149">
              <w:rPr>
                <w:b/>
                <w:lang w:val="es-ES"/>
              </w:rPr>
              <w:t>Y.metadata</w:t>
            </w:r>
            <w:proofErr w:type="spellEnd"/>
            <w:r w:rsidRPr="00551149">
              <w:rPr>
                <w:b/>
                <w:lang w:val="es-ES"/>
              </w:rPr>
              <w:t>-EPI)</w:t>
            </w:r>
          </w:p>
        </w:tc>
        <w:tc>
          <w:tcPr>
            <w:tcW w:w="7566" w:type="dxa"/>
            <w:shd w:val="clear" w:color="auto" w:fill="auto"/>
            <w:vAlign w:val="center"/>
          </w:tcPr>
          <w:p w14:paraId="79C8D060" w14:textId="735C2499"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r>
            <w:r w:rsidR="00AF32B2">
              <w:rPr>
                <w:lang w:val="es-ES"/>
              </w:rPr>
              <w:tab/>
            </w:r>
            <w:r w:rsidR="007D2313" w:rsidRPr="007D2313">
              <w:rPr>
                <w:b/>
                <w:bCs/>
                <w:lang w:val="es-ES"/>
              </w:rPr>
              <w:t>O</w:t>
            </w:r>
            <w:r w:rsidRPr="007D2313">
              <w:rPr>
                <w:b/>
                <w:bCs/>
                <w:lang w:val="es-ES"/>
              </w:rPr>
              <w:t>torga autoridad</w:t>
            </w:r>
            <w:r w:rsidRPr="00126E2B">
              <w:rPr>
                <w:lang w:val="es-ES"/>
              </w:rPr>
              <w:t xml:space="preserve"> a la Comisión de Estudio 20 para examinar este texto para aprobación (en cuyo caso, seleccione una de las dos opciones ⃝):</w:t>
            </w:r>
          </w:p>
          <w:p w14:paraId="27EEF63A" w14:textId="30F500E3" w:rsidR="00126E2B" w:rsidRPr="00126E2B" w:rsidRDefault="00126E2B" w:rsidP="00C720E8">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Sin comentarios o cambios sugeridos</w:t>
            </w:r>
          </w:p>
          <w:p w14:paraId="1568D295" w14:textId="422FCF52" w:rsidR="00126E2B" w:rsidRPr="00126E2B" w:rsidRDefault="00126E2B" w:rsidP="00C720E8">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00AF32B2">
              <w:rPr>
                <w:lang w:val="es-ES"/>
              </w:rPr>
              <w:tab/>
            </w:r>
            <w:r w:rsidRPr="00126E2B">
              <w:rPr>
                <w:lang w:val="es-ES"/>
              </w:rPr>
              <w:t>Se adjuntan los comentarios o cambios sugeridos</w:t>
            </w:r>
          </w:p>
        </w:tc>
      </w:tr>
      <w:tr w:rsidR="00126E2B" w:rsidRPr="00126E2B" w14:paraId="03185FD6" w14:textId="77777777" w:rsidTr="007D2313">
        <w:trPr>
          <w:trHeight w:val="1061"/>
          <w:jc w:val="center"/>
        </w:trPr>
        <w:tc>
          <w:tcPr>
            <w:tcW w:w="2063" w:type="dxa"/>
            <w:vMerge/>
            <w:shd w:val="clear" w:color="auto" w:fill="auto"/>
            <w:vAlign w:val="center"/>
          </w:tcPr>
          <w:p w14:paraId="0E072D67" w14:textId="77777777" w:rsidR="00126E2B" w:rsidRPr="00551149" w:rsidRDefault="00126E2B" w:rsidP="00551149">
            <w:pPr>
              <w:pStyle w:val="TableText"/>
              <w:jc w:val="center"/>
              <w:rPr>
                <w:b/>
                <w:lang w:val="es-ES"/>
              </w:rPr>
            </w:pPr>
          </w:p>
        </w:tc>
        <w:tc>
          <w:tcPr>
            <w:tcW w:w="7566" w:type="dxa"/>
            <w:shd w:val="clear" w:color="auto" w:fill="auto"/>
            <w:vAlign w:val="center"/>
          </w:tcPr>
          <w:p w14:paraId="446573CD" w14:textId="3F3141E0"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00AF32B2">
              <w:rPr>
                <w:lang w:val="es-ES"/>
              </w:rPr>
              <w:tab/>
            </w:r>
            <w:r w:rsidRPr="00126E2B">
              <w:rPr>
                <w:lang w:val="es-ES"/>
              </w:rPr>
              <w:tab/>
            </w:r>
            <w:r w:rsidRPr="007D2313">
              <w:rPr>
                <w:b/>
                <w:bCs/>
                <w:lang w:val="es-ES"/>
              </w:rPr>
              <w:t>No otorga autoridad</w:t>
            </w:r>
            <w:r w:rsidRPr="00126E2B">
              <w:rPr>
                <w:lang w:val="es-ES"/>
              </w:rPr>
              <w:t xml:space="preserve"> a la Comisión de Estudio 20 a fin de examinar este texto para aprobación (se adjuntan los motivos de esta decisión y las posibles modificaciones que permitirían que prosiguieran los trabajos)</w:t>
            </w:r>
            <w:r w:rsidR="007D2313">
              <w:rPr>
                <w:lang w:val="es-ES"/>
              </w:rPr>
              <w:t>.</w:t>
            </w:r>
          </w:p>
        </w:tc>
      </w:tr>
      <w:tr w:rsidR="00126E2B" w:rsidRPr="00126E2B" w14:paraId="7A0F1D5C" w14:textId="77777777" w:rsidTr="00010DDE">
        <w:trPr>
          <w:trHeight w:val="748"/>
          <w:jc w:val="center"/>
        </w:trPr>
        <w:tc>
          <w:tcPr>
            <w:tcW w:w="2063" w:type="dxa"/>
            <w:vMerge w:val="restart"/>
            <w:shd w:val="clear" w:color="auto" w:fill="auto"/>
            <w:vAlign w:val="center"/>
          </w:tcPr>
          <w:p w14:paraId="5921387B" w14:textId="77777777" w:rsidR="00126E2B" w:rsidRPr="00551149" w:rsidRDefault="00126E2B" w:rsidP="00551149">
            <w:pPr>
              <w:pStyle w:val="TableText"/>
              <w:jc w:val="center"/>
              <w:rPr>
                <w:b/>
                <w:lang w:val="es-ES"/>
              </w:rPr>
            </w:pPr>
            <w:r w:rsidRPr="00551149">
              <w:rPr>
                <w:b/>
                <w:lang w:val="es-ES"/>
              </w:rPr>
              <w:t xml:space="preserve">Proyecto de nueva Recomendación UIT-T Y.4813 (ex </w:t>
            </w:r>
            <w:proofErr w:type="spellStart"/>
            <w:r w:rsidRPr="00551149">
              <w:rPr>
                <w:b/>
                <w:lang w:val="es-ES"/>
              </w:rPr>
              <w:t>Y.iepi</w:t>
            </w:r>
            <w:proofErr w:type="spellEnd"/>
            <w:r w:rsidRPr="00551149">
              <w:rPr>
                <w:b/>
                <w:lang w:val="es-ES"/>
              </w:rPr>
              <w:t>-dm-</w:t>
            </w:r>
            <w:proofErr w:type="spellStart"/>
            <w:r w:rsidRPr="00551149">
              <w:rPr>
                <w:b/>
                <w:lang w:val="es-ES"/>
              </w:rPr>
              <w:t>sa</w:t>
            </w:r>
            <w:proofErr w:type="spellEnd"/>
            <w:r w:rsidRPr="00551149">
              <w:rPr>
                <w:b/>
                <w:lang w:val="es-ES"/>
              </w:rPr>
              <w:t>)</w:t>
            </w:r>
          </w:p>
        </w:tc>
        <w:tc>
          <w:tcPr>
            <w:tcW w:w="7566" w:type="dxa"/>
            <w:shd w:val="clear" w:color="auto" w:fill="auto"/>
            <w:vAlign w:val="center"/>
          </w:tcPr>
          <w:p w14:paraId="6A80B92D" w14:textId="49F6677D"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00AF32B2">
              <w:rPr>
                <w:lang w:val="es-ES"/>
              </w:rPr>
              <w:tab/>
            </w:r>
            <w:r w:rsidRPr="007D2313">
              <w:rPr>
                <w:b/>
                <w:bCs/>
                <w:lang w:val="es-ES"/>
              </w:rPr>
              <w:tab/>
            </w:r>
            <w:r w:rsidR="007D2313" w:rsidRPr="007D2313">
              <w:rPr>
                <w:b/>
                <w:bCs/>
                <w:lang w:val="es-ES"/>
              </w:rPr>
              <w:t>O</w:t>
            </w:r>
            <w:r w:rsidRPr="007D2313">
              <w:rPr>
                <w:b/>
                <w:bCs/>
                <w:lang w:val="es-ES"/>
              </w:rPr>
              <w:t>torga autoridad</w:t>
            </w:r>
            <w:r w:rsidRPr="00126E2B">
              <w:rPr>
                <w:lang w:val="es-ES"/>
              </w:rPr>
              <w:t xml:space="preserve"> a la Comisión de Estudio 20 para examinar este texto para aprobación (en cuyo caso, seleccione una de las dos opciones ⃝):</w:t>
            </w:r>
          </w:p>
          <w:p w14:paraId="674CD2CE" w14:textId="2AB1C00B" w:rsidR="00126E2B" w:rsidRPr="00126E2B" w:rsidRDefault="00126E2B" w:rsidP="00C720E8">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Sin comentarios o cambios sugeridos</w:t>
            </w:r>
          </w:p>
          <w:p w14:paraId="0940126A" w14:textId="00212EAE" w:rsidR="00126E2B" w:rsidRPr="00126E2B" w:rsidRDefault="00126E2B" w:rsidP="00C720E8">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Se adjuntan los comentarios o cambios sugeridos</w:t>
            </w:r>
          </w:p>
        </w:tc>
      </w:tr>
      <w:tr w:rsidR="00126E2B" w:rsidRPr="00126E2B" w14:paraId="42BDA44C" w14:textId="77777777" w:rsidTr="00010DDE">
        <w:trPr>
          <w:trHeight w:val="747"/>
          <w:jc w:val="center"/>
        </w:trPr>
        <w:tc>
          <w:tcPr>
            <w:tcW w:w="2063" w:type="dxa"/>
            <w:vMerge/>
            <w:shd w:val="clear" w:color="auto" w:fill="auto"/>
            <w:vAlign w:val="center"/>
          </w:tcPr>
          <w:p w14:paraId="30E63CBF" w14:textId="77777777" w:rsidR="00126E2B" w:rsidRPr="00551149" w:rsidRDefault="00126E2B" w:rsidP="00551149">
            <w:pPr>
              <w:pStyle w:val="TableText"/>
              <w:jc w:val="center"/>
              <w:rPr>
                <w:b/>
                <w:lang w:val="es-ES"/>
              </w:rPr>
            </w:pPr>
          </w:p>
        </w:tc>
        <w:tc>
          <w:tcPr>
            <w:tcW w:w="7566" w:type="dxa"/>
            <w:shd w:val="clear" w:color="auto" w:fill="auto"/>
            <w:vAlign w:val="center"/>
          </w:tcPr>
          <w:p w14:paraId="0BB53BA3" w14:textId="0696A1ED"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00AF32B2">
              <w:rPr>
                <w:lang w:val="es-ES"/>
              </w:rPr>
              <w:tab/>
            </w:r>
            <w:r w:rsidRPr="00126E2B">
              <w:rPr>
                <w:lang w:val="es-ES"/>
              </w:rPr>
              <w:tab/>
            </w:r>
            <w:r w:rsidRPr="007D2313">
              <w:rPr>
                <w:b/>
                <w:bCs/>
                <w:lang w:val="es-ES"/>
              </w:rPr>
              <w:t>No otorga autoridad</w:t>
            </w:r>
            <w:r w:rsidRPr="00126E2B">
              <w:rPr>
                <w:lang w:val="es-ES"/>
              </w:rPr>
              <w:t xml:space="preserve"> a la Comisión de Estudio 20 a fin de examinar este texto para aprobación (se adjuntan los motivos de esta decisión y las posibles modificaciones que permitirían que prosiguieran los trabajos)</w:t>
            </w:r>
            <w:r w:rsidR="007D2313">
              <w:rPr>
                <w:lang w:val="es-ES"/>
              </w:rPr>
              <w:t>.</w:t>
            </w:r>
          </w:p>
        </w:tc>
      </w:tr>
      <w:tr w:rsidR="00126E2B" w:rsidRPr="00126E2B" w14:paraId="3FAFBE50" w14:textId="77777777" w:rsidTr="00010DDE">
        <w:trPr>
          <w:trHeight w:val="748"/>
          <w:jc w:val="center"/>
        </w:trPr>
        <w:tc>
          <w:tcPr>
            <w:tcW w:w="2063" w:type="dxa"/>
            <w:vMerge w:val="restart"/>
            <w:shd w:val="clear" w:color="auto" w:fill="auto"/>
            <w:vAlign w:val="center"/>
          </w:tcPr>
          <w:p w14:paraId="0054C76A" w14:textId="77777777" w:rsidR="00126E2B" w:rsidRPr="00551149" w:rsidRDefault="00126E2B" w:rsidP="00551149">
            <w:pPr>
              <w:pStyle w:val="TableText"/>
              <w:jc w:val="center"/>
              <w:rPr>
                <w:b/>
                <w:lang w:val="es-ES"/>
              </w:rPr>
            </w:pPr>
            <w:r w:rsidRPr="00551149">
              <w:rPr>
                <w:b/>
                <w:lang w:val="es-ES"/>
              </w:rPr>
              <w:t xml:space="preserve">Proyecto de nueva Recomendación UIT-T Y.4814 (ex </w:t>
            </w:r>
            <w:proofErr w:type="spellStart"/>
            <w:r w:rsidRPr="00551149">
              <w:rPr>
                <w:b/>
                <w:lang w:val="es-ES"/>
              </w:rPr>
              <w:t>Y.IoT-acs-fra</w:t>
            </w:r>
            <w:proofErr w:type="spellEnd"/>
            <w:r w:rsidRPr="00551149">
              <w:rPr>
                <w:b/>
                <w:lang w:val="es-ES"/>
              </w:rPr>
              <w:t>)</w:t>
            </w:r>
          </w:p>
        </w:tc>
        <w:tc>
          <w:tcPr>
            <w:tcW w:w="7566" w:type="dxa"/>
            <w:shd w:val="clear" w:color="auto" w:fill="auto"/>
            <w:vAlign w:val="center"/>
          </w:tcPr>
          <w:p w14:paraId="4F72CBC7" w14:textId="262F0E22"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r>
            <w:r w:rsidR="00AF32B2">
              <w:rPr>
                <w:lang w:val="es-ES"/>
              </w:rPr>
              <w:tab/>
            </w:r>
            <w:r w:rsidR="007D2313" w:rsidRPr="007D2313">
              <w:rPr>
                <w:b/>
                <w:bCs/>
                <w:lang w:val="es-ES"/>
              </w:rPr>
              <w:t>O</w:t>
            </w:r>
            <w:r w:rsidRPr="007D2313">
              <w:rPr>
                <w:b/>
                <w:bCs/>
                <w:lang w:val="es-ES"/>
              </w:rPr>
              <w:t>torga autoridad</w:t>
            </w:r>
            <w:r w:rsidRPr="00126E2B">
              <w:rPr>
                <w:lang w:val="es-ES"/>
              </w:rPr>
              <w:t xml:space="preserve"> a la Comisión de Estudio 20 para examinar este texto para aprobación (en cuyo caso, seleccione una de las dos opciones ⃝):</w:t>
            </w:r>
          </w:p>
          <w:p w14:paraId="020079D3" w14:textId="763DE50C" w:rsidR="00126E2B" w:rsidRPr="00126E2B" w:rsidRDefault="00126E2B" w:rsidP="00C720E8">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00AF32B2">
              <w:rPr>
                <w:lang w:val="es-ES"/>
              </w:rPr>
              <w:tab/>
            </w:r>
            <w:r w:rsidRPr="00126E2B">
              <w:rPr>
                <w:lang w:val="es-ES"/>
              </w:rPr>
              <w:t>Sin comentarios o cambios sugeridos</w:t>
            </w:r>
          </w:p>
          <w:p w14:paraId="674E3E0F" w14:textId="3F890521" w:rsidR="00126E2B" w:rsidRPr="00126E2B" w:rsidRDefault="00126E2B" w:rsidP="00C720E8">
            <w:pPr>
              <w:pStyle w:val="TableT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00AF32B2">
              <w:rPr>
                <w:lang w:val="es-ES"/>
              </w:rPr>
              <w:tab/>
            </w:r>
            <w:r w:rsidRPr="00126E2B">
              <w:rPr>
                <w:lang w:val="es-ES"/>
              </w:rPr>
              <w:t>Se adjuntan los comentarios o cambios sugeridos</w:t>
            </w:r>
          </w:p>
        </w:tc>
      </w:tr>
      <w:tr w:rsidR="00126E2B" w:rsidRPr="00126E2B" w14:paraId="1EE5D86D" w14:textId="77777777" w:rsidTr="00010DDE">
        <w:trPr>
          <w:trHeight w:val="747"/>
          <w:jc w:val="center"/>
        </w:trPr>
        <w:tc>
          <w:tcPr>
            <w:tcW w:w="2063" w:type="dxa"/>
            <w:vMerge/>
            <w:shd w:val="clear" w:color="auto" w:fill="auto"/>
            <w:vAlign w:val="center"/>
          </w:tcPr>
          <w:p w14:paraId="5424CD04" w14:textId="77777777" w:rsidR="00126E2B" w:rsidRPr="00551149" w:rsidRDefault="00126E2B" w:rsidP="00551149">
            <w:pPr>
              <w:pStyle w:val="TableText"/>
              <w:jc w:val="center"/>
              <w:rPr>
                <w:b/>
                <w:lang w:val="es-ES"/>
              </w:rPr>
            </w:pPr>
          </w:p>
        </w:tc>
        <w:tc>
          <w:tcPr>
            <w:tcW w:w="7566" w:type="dxa"/>
            <w:shd w:val="clear" w:color="auto" w:fill="auto"/>
            <w:vAlign w:val="center"/>
          </w:tcPr>
          <w:p w14:paraId="22D9F702" w14:textId="3BA408F5" w:rsidR="00126E2B" w:rsidRPr="00126E2B" w:rsidRDefault="00126E2B" w:rsidP="00A56958">
            <w:pPr>
              <w:pStyle w:val="TableT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r>
            <w:r w:rsidR="00AF32B2">
              <w:rPr>
                <w:lang w:val="es-ES"/>
              </w:rPr>
              <w:tab/>
            </w:r>
            <w:r w:rsidRPr="007D2313">
              <w:rPr>
                <w:b/>
                <w:bCs/>
                <w:lang w:val="es-ES"/>
              </w:rPr>
              <w:t>No otorga autoridad</w:t>
            </w:r>
            <w:r w:rsidRPr="00126E2B">
              <w:rPr>
                <w:lang w:val="es-ES"/>
              </w:rPr>
              <w:t xml:space="preserve"> a la Comisión de Estudio 20 a fin de examinar este texto para aprobación (se adjuntan los motivos de esta decisión y las posibles modificaciones que permitirían que prosiguieran los trabajos)</w:t>
            </w:r>
          </w:p>
        </w:tc>
      </w:tr>
      <w:tr w:rsidR="00126E2B" w:rsidRPr="00126E2B" w14:paraId="58ECCB8C" w14:textId="77777777" w:rsidTr="00010DDE">
        <w:trPr>
          <w:trHeight w:val="748"/>
          <w:jc w:val="center"/>
        </w:trPr>
        <w:tc>
          <w:tcPr>
            <w:tcW w:w="2063" w:type="dxa"/>
            <w:vMerge w:val="restart"/>
            <w:shd w:val="clear" w:color="auto" w:fill="auto"/>
            <w:vAlign w:val="center"/>
          </w:tcPr>
          <w:p w14:paraId="72AC991F" w14:textId="5BCEB9E4" w:rsidR="00126E2B" w:rsidRPr="00551149" w:rsidRDefault="00126E2B" w:rsidP="00A41F11">
            <w:pPr>
              <w:pStyle w:val="TableText"/>
              <w:keepNext/>
              <w:jc w:val="center"/>
              <w:rPr>
                <w:b/>
                <w:lang w:val="es-ES"/>
              </w:rPr>
            </w:pPr>
            <w:r w:rsidRPr="00551149">
              <w:rPr>
                <w:b/>
                <w:lang w:val="es-ES"/>
              </w:rPr>
              <w:lastRenderedPageBreak/>
              <w:t xml:space="preserve">Proyecto de nueva Recomendación UIT-T Y.4911 </w:t>
            </w:r>
            <w:r w:rsidR="007D2313">
              <w:rPr>
                <w:b/>
                <w:lang w:val="es-ES"/>
              </w:rPr>
              <w:br/>
            </w:r>
            <w:r w:rsidRPr="00551149">
              <w:rPr>
                <w:b/>
                <w:lang w:val="es-ES"/>
              </w:rPr>
              <w:t>(ex Y.KPI-</w:t>
            </w:r>
            <w:proofErr w:type="spellStart"/>
            <w:r w:rsidRPr="00551149">
              <w:rPr>
                <w:b/>
                <w:lang w:val="es-ES"/>
              </w:rPr>
              <w:t>Flood</w:t>
            </w:r>
            <w:proofErr w:type="spellEnd"/>
            <w:r w:rsidRPr="00551149">
              <w:rPr>
                <w:b/>
                <w:lang w:val="es-ES"/>
              </w:rPr>
              <w:t>)</w:t>
            </w:r>
          </w:p>
        </w:tc>
        <w:tc>
          <w:tcPr>
            <w:tcW w:w="7566" w:type="dxa"/>
            <w:shd w:val="clear" w:color="auto" w:fill="auto"/>
            <w:vAlign w:val="center"/>
          </w:tcPr>
          <w:p w14:paraId="627B3E0F" w14:textId="1ACA7E36" w:rsidR="00126E2B" w:rsidRPr="00126E2B" w:rsidRDefault="00126E2B" w:rsidP="00A41F11">
            <w:pPr>
              <w:pStyle w:val="TableText"/>
              <w:keepN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r>
            <w:r w:rsidR="00AF32B2">
              <w:rPr>
                <w:lang w:val="es-ES"/>
              </w:rPr>
              <w:tab/>
            </w:r>
            <w:r w:rsidR="007D2313" w:rsidRPr="007D2313">
              <w:rPr>
                <w:b/>
                <w:bCs/>
                <w:lang w:val="es-ES"/>
              </w:rPr>
              <w:t>O</w:t>
            </w:r>
            <w:r w:rsidRPr="007D2313">
              <w:rPr>
                <w:b/>
                <w:bCs/>
                <w:lang w:val="es-ES"/>
              </w:rPr>
              <w:t>torga autoridad</w:t>
            </w:r>
            <w:r w:rsidRPr="00126E2B">
              <w:rPr>
                <w:lang w:val="es-ES"/>
              </w:rPr>
              <w:t xml:space="preserve"> a la Comisión de Estudio </w:t>
            </w:r>
            <w:r w:rsidR="007D2313">
              <w:rPr>
                <w:lang w:val="es-ES"/>
              </w:rPr>
              <w:t xml:space="preserve">20 </w:t>
            </w:r>
            <w:r w:rsidRPr="00126E2B">
              <w:rPr>
                <w:lang w:val="es-ES"/>
              </w:rPr>
              <w:t>para examinar este texto para aprobación (en cuyo caso, seleccione una de las dos opciones ⃝):</w:t>
            </w:r>
          </w:p>
          <w:p w14:paraId="2D08B2C5" w14:textId="419CD8DE" w:rsidR="00126E2B" w:rsidRPr="00126E2B" w:rsidRDefault="00126E2B" w:rsidP="00A41F11">
            <w:pPr>
              <w:pStyle w:val="TableText"/>
              <w:keepN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00AF32B2">
              <w:rPr>
                <w:lang w:val="es-ES"/>
              </w:rPr>
              <w:tab/>
            </w:r>
            <w:r w:rsidRPr="00126E2B">
              <w:rPr>
                <w:lang w:val="es-ES"/>
              </w:rPr>
              <w:t>Sin comentarios o cambios sugeridos</w:t>
            </w:r>
          </w:p>
          <w:p w14:paraId="41BF09EE" w14:textId="2CDA6592" w:rsidR="00126E2B" w:rsidRPr="00126E2B" w:rsidRDefault="00126E2B" w:rsidP="00A41F11">
            <w:pPr>
              <w:pStyle w:val="TableText"/>
              <w:keepNext/>
              <w:tabs>
                <w:tab w:val="clear" w:pos="851"/>
                <w:tab w:val="clear" w:pos="1134"/>
                <w:tab w:val="left" w:pos="881"/>
              </w:tabs>
              <w:ind w:left="431"/>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t>Se adjuntan los comentarios o cambios sugeridos</w:t>
            </w:r>
          </w:p>
        </w:tc>
      </w:tr>
      <w:tr w:rsidR="00126E2B" w:rsidRPr="00126E2B" w14:paraId="7979B82F" w14:textId="77777777" w:rsidTr="00010DDE">
        <w:trPr>
          <w:trHeight w:val="747"/>
          <w:jc w:val="center"/>
        </w:trPr>
        <w:tc>
          <w:tcPr>
            <w:tcW w:w="2063" w:type="dxa"/>
            <w:vMerge/>
            <w:shd w:val="clear" w:color="auto" w:fill="auto"/>
            <w:vAlign w:val="center"/>
          </w:tcPr>
          <w:p w14:paraId="0F499CC5" w14:textId="77777777" w:rsidR="00126E2B" w:rsidRPr="00551149" w:rsidRDefault="00126E2B" w:rsidP="00A41F11">
            <w:pPr>
              <w:pStyle w:val="TableText"/>
              <w:keepNext/>
              <w:jc w:val="center"/>
              <w:rPr>
                <w:b/>
                <w:lang w:val="es-ES"/>
              </w:rPr>
            </w:pPr>
          </w:p>
        </w:tc>
        <w:tc>
          <w:tcPr>
            <w:tcW w:w="7566" w:type="dxa"/>
            <w:shd w:val="clear" w:color="auto" w:fill="auto"/>
            <w:vAlign w:val="center"/>
          </w:tcPr>
          <w:p w14:paraId="160FDC0E" w14:textId="37BB4C35" w:rsidR="00126E2B" w:rsidRPr="00126E2B" w:rsidRDefault="00126E2B" w:rsidP="00A41F11">
            <w:pPr>
              <w:pStyle w:val="TableText"/>
              <w:keepNext/>
              <w:tabs>
                <w:tab w:val="clear" w:pos="284"/>
                <w:tab w:val="left" w:pos="431"/>
              </w:tabs>
              <w:ind w:left="432" w:hanging="432"/>
              <w:rPr>
                <w:lang w:val="es-ES"/>
              </w:rPr>
            </w:pPr>
            <w:r w:rsidRPr="00126E2B">
              <w:rPr>
                <w:lang w:val="es-ES"/>
              </w:rPr>
              <w:fldChar w:fldCharType="begin">
                <w:ffData>
                  <w:name w:val="Check1"/>
                  <w:enabled/>
                  <w:calcOnExit w:val="0"/>
                  <w:checkBox>
                    <w:sizeAuto/>
                    <w:default w:val="0"/>
                  </w:checkBox>
                </w:ffData>
              </w:fldChar>
            </w:r>
            <w:r w:rsidRPr="00126E2B">
              <w:rPr>
                <w:lang w:val="es-ES"/>
              </w:rPr>
              <w:instrText xml:space="preserve"> FORMCHECKBOX </w:instrText>
            </w:r>
            <w:r w:rsidRPr="00126E2B">
              <w:rPr>
                <w:lang w:val="es-ES"/>
              </w:rPr>
            </w:r>
            <w:r w:rsidRPr="00126E2B">
              <w:rPr>
                <w:lang w:val="es-ES"/>
              </w:rPr>
              <w:fldChar w:fldCharType="separate"/>
            </w:r>
            <w:r w:rsidRPr="00126E2B">
              <w:rPr>
                <w:lang w:val="es-ES"/>
              </w:rPr>
              <w:fldChar w:fldCharType="end"/>
            </w:r>
            <w:r w:rsidRPr="00126E2B">
              <w:rPr>
                <w:lang w:val="es-ES"/>
              </w:rPr>
              <w:tab/>
            </w:r>
            <w:r w:rsidR="00AF32B2">
              <w:rPr>
                <w:lang w:val="es-ES"/>
              </w:rPr>
              <w:tab/>
            </w:r>
            <w:r w:rsidRPr="007D2313">
              <w:rPr>
                <w:b/>
                <w:bCs/>
                <w:lang w:val="es-ES"/>
              </w:rPr>
              <w:t>No otorga autoridad</w:t>
            </w:r>
            <w:r w:rsidRPr="00126E2B">
              <w:rPr>
                <w:lang w:val="es-ES"/>
              </w:rPr>
              <w:t xml:space="preserve"> a la Comisión de Estudio 20 a fin de examinar este texto para aprobación (se adjuntan los motivos de esta decisión y las posibles modificaciones que permitirían que prosiguieran los trabajos)</w:t>
            </w:r>
          </w:p>
        </w:tc>
      </w:tr>
    </w:tbl>
    <w:p w14:paraId="6FB8B48E" w14:textId="65FCA037" w:rsidR="00126E2B" w:rsidRPr="00126E2B" w:rsidRDefault="00126E2B" w:rsidP="00A41F11">
      <w:pPr>
        <w:pStyle w:val="Normalaftertitle"/>
        <w:keepNext/>
        <w:rPr>
          <w:lang w:val="es-ES"/>
        </w:rPr>
      </w:pPr>
      <w:r w:rsidRPr="00126E2B">
        <w:rPr>
          <w:lang w:val="es-ES"/>
        </w:rPr>
        <w:t>Atentamente,</w:t>
      </w:r>
    </w:p>
    <w:p w14:paraId="1BF3A546" w14:textId="77777777" w:rsidR="00126E2B" w:rsidRPr="00126E2B" w:rsidRDefault="00126E2B" w:rsidP="00A41F11">
      <w:pPr>
        <w:pStyle w:val="Normalaftertitle"/>
        <w:keepNext/>
        <w:rPr>
          <w:lang w:val="es-ES"/>
        </w:rPr>
      </w:pPr>
      <w:r w:rsidRPr="00126E2B">
        <w:rPr>
          <w:lang w:val="es-ES"/>
        </w:rPr>
        <w:t>[Nombre]</w:t>
      </w:r>
    </w:p>
    <w:p w14:paraId="6D18214E" w14:textId="77777777" w:rsidR="00126E2B" w:rsidRPr="00126E2B" w:rsidRDefault="00126E2B" w:rsidP="00A41F11">
      <w:pPr>
        <w:keepNext/>
        <w:rPr>
          <w:lang w:val="es-ES"/>
        </w:rPr>
      </w:pPr>
      <w:r w:rsidRPr="00126E2B">
        <w:rPr>
          <w:lang w:val="es-ES"/>
        </w:rPr>
        <w:t>[Cargo oficial/título]</w:t>
      </w:r>
    </w:p>
    <w:p w14:paraId="29005290" w14:textId="51C293FD" w:rsidR="00401C20" w:rsidRPr="007B6316" w:rsidRDefault="00126E2B" w:rsidP="00A41F11">
      <w:pPr>
        <w:keepNext/>
        <w:rPr>
          <w:lang w:val="es-ES"/>
        </w:rPr>
      </w:pPr>
      <w:r w:rsidRPr="00126E2B">
        <w:rPr>
          <w:lang w:val="es-ES"/>
        </w:rPr>
        <w:t>Administración de [Estado Miembro]</w:t>
      </w:r>
    </w:p>
    <w:sectPr w:rsidR="00401C20" w:rsidRPr="007B6316" w:rsidSect="004654B9">
      <w:headerReference w:type="default" r:id="rId23"/>
      <w:footerReference w:type="first" r:id="rId24"/>
      <w:pgSz w:w="11907" w:h="16840" w:code="9"/>
      <w:pgMar w:top="1134" w:right="927" w:bottom="990"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8183" w14:textId="77777777" w:rsidR="00126E2B" w:rsidRDefault="00126E2B">
      <w:r>
        <w:separator/>
      </w:r>
    </w:p>
  </w:endnote>
  <w:endnote w:type="continuationSeparator" w:id="0">
    <w:p w14:paraId="138488F1" w14:textId="77777777" w:rsidR="00126E2B" w:rsidRDefault="0012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8A72"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 xml:space="preserve">Unión Internacional de Telecomunicaciones • Place des </w:t>
    </w:r>
    <w:proofErr w:type="spellStart"/>
    <w:r w:rsidRPr="00D834E7">
      <w:rPr>
        <w:color w:val="0070C0"/>
        <w:szCs w:val="18"/>
        <w:lang w:val="es-ES"/>
      </w:rPr>
      <w:t>Nations</w:t>
    </w:r>
    <w:proofErr w:type="spellEnd"/>
    <w:r w:rsidRPr="00D834E7">
      <w:rPr>
        <w:color w:val="0070C0"/>
        <w:szCs w:val="18"/>
        <w:lang w:val="es-ES"/>
      </w:rPr>
      <w:t>,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F7DB" w14:textId="77777777" w:rsidR="00126E2B" w:rsidRDefault="00126E2B">
      <w:r>
        <w:t>____________________</w:t>
      </w:r>
    </w:p>
  </w:footnote>
  <w:footnote w:type="continuationSeparator" w:id="0">
    <w:p w14:paraId="600EB08A" w14:textId="77777777" w:rsidR="00126E2B" w:rsidRDefault="00126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4161" w14:textId="77777777"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69581913">
    <w:abstractNumId w:val="0"/>
  </w:num>
  <w:num w:numId="2" w16cid:durableId="1493136545">
    <w:abstractNumId w:val="3"/>
  </w:num>
  <w:num w:numId="3" w16cid:durableId="781727585">
    <w:abstractNumId w:val="2"/>
  </w:num>
  <w:num w:numId="4" w16cid:durableId="1189759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2B"/>
    <w:rsid w:val="00002529"/>
    <w:rsid w:val="00010DDE"/>
    <w:rsid w:val="00010F34"/>
    <w:rsid w:val="0001213C"/>
    <w:rsid w:val="00085662"/>
    <w:rsid w:val="000C382F"/>
    <w:rsid w:val="001173CC"/>
    <w:rsid w:val="00126E2B"/>
    <w:rsid w:val="001350B9"/>
    <w:rsid w:val="0014464D"/>
    <w:rsid w:val="001A54CC"/>
    <w:rsid w:val="00257FB4"/>
    <w:rsid w:val="0026306F"/>
    <w:rsid w:val="002E496E"/>
    <w:rsid w:val="00303D62"/>
    <w:rsid w:val="00335367"/>
    <w:rsid w:val="00370C2D"/>
    <w:rsid w:val="003D1E8D"/>
    <w:rsid w:val="003D673B"/>
    <w:rsid w:val="003F2855"/>
    <w:rsid w:val="00401C20"/>
    <w:rsid w:val="004654B9"/>
    <w:rsid w:val="004A7957"/>
    <w:rsid w:val="004C4144"/>
    <w:rsid w:val="00551149"/>
    <w:rsid w:val="0055719E"/>
    <w:rsid w:val="00613642"/>
    <w:rsid w:val="006969B4"/>
    <w:rsid w:val="006E4F7B"/>
    <w:rsid w:val="006F125B"/>
    <w:rsid w:val="00781E2A"/>
    <w:rsid w:val="007933A2"/>
    <w:rsid w:val="007B6316"/>
    <w:rsid w:val="007D2313"/>
    <w:rsid w:val="00814503"/>
    <w:rsid w:val="008258C2"/>
    <w:rsid w:val="008505BD"/>
    <w:rsid w:val="00850C78"/>
    <w:rsid w:val="00876165"/>
    <w:rsid w:val="00882BAF"/>
    <w:rsid w:val="00884D12"/>
    <w:rsid w:val="008C17AD"/>
    <w:rsid w:val="008D02CD"/>
    <w:rsid w:val="008D580F"/>
    <w:rsid w:val="0090298E"/>
    <w:rsid w:val="0091370C"/>
    <w:rsid w:val="0095172A"/>
    <w:rsid w:val="00982867"/>
    <w:rsid w:val="009A0BA0"/>
    <w:rsid w:val="00A41F11"/>
    <w:rsid w:val="00A54E47"/>
    <w:rsid w:val="00A56958"/>
    <w:rsid w:val="00AB6E3A"/>
    <w:rsid w:val="00AE7093"/>
    <w:rsid w:val="00AF32B2"/>
    <w:rsid w:val="00B17DA6"/>
    <w:rsid w:val="00B422BC"/>
    <w:rsid w:val="00B43F77"/>
    <w:rsid w:val="00B55A3E"/>
    <w:rsid w:val="00B87E9E"/>
    <w:rsid w:val="00B95F0A"/>
    <w:rsid w:val="00B96180"/>
    <w:rsid w:val="00C116FE"/>
    <w:rsid w:val="00C17AC0"/>
    <w:rsid w:val="00C34772"/>
    <w:rsid w:val="00C5465A"/>
    <w:rsid w:val="00C720E8"/>
    <w:rsid w:val="00D54642"/>
    <w:rsid w:val="00D834E7"/>
    <w:rsid w:val="00DD77C9"/>
    <w:rsid w:val="00DF3538"/>
    <w:rsid w:val="00E839B0"/>
    <w:rsid w:val="00E92C09"/>
    <w:rsid w:val="00ED690F"/>
    <w:rsid w:val="00F00773"/>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C6220A"/>
  <w15:docId w15:val="{18F399A6-95F8-4B79-A18C-1D11D76B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126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20-R-0002/es" TargetMode="External"/><Relationship Id="rId18" Type="http://schemas.openxmlformats.org/officeDocument/2006/relationships/hyperlink" Target="https://www.itu.int/md/T25-SG20-R-0007/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md/T25-SG20-R-0010/e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tu.int/md/T25-SG20-R-0006/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T25-SG20-R-0005/es" TargetMode="External"/><Relationship Id="rId20" Type="http://schemas.openxmlformats.org/officeDocument/2006/relationships/hyperlink" Target="https://www.itu.int/md/T25-SG20-R-0009/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s/ITU-T/ipr/Pages/default.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md/T25-SG20-R-0004/es" TargetMode="External"/><Relationship Id="rId23" Type="http://schemas.openxmlformats.org/officeDocument/2006/relationships/header" Target="header1.xml"/><Relationship Id="rId10" Type="http://schemas.openxmlformats.org/officeDocument/2006/relationships/hyperlink" Target="https://www.itu.int/md/T25-SG20-COL-0002/es" TargetMode="External"/><Relationship Id="rId19" Type="http://schemas.openxmlformats.org/officeDocument/2006/relationships/hyperlink" Target="https://www.itu.int/md/T25-SG20-R-0008/es" TargetMode="External"/><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hyperlink" Target="https://www.itu.int/md/T25-SG20-R-0003/es" TargetMode="External"/><Relationship Id="rId22" Type="http://schemas.openxmlformats.org/officeDocument/2006/relationships/hyperlink" Target="mailto:tsbdir@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84</TotalTime>
  <Pages>8</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19401</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TSB (RC)</dc:creator>
  <cp:lastModifiedBy>Braud, Olivia</cp:lastModifiedBy>
  <cp:revision>13</cp:revision>
  <cp:lastPrinted>2025-05-09T11:17:00Z</cp:lastPrinted>
  <dcterms:created xsi:type="dcterms:W3CDTF">2025-04-17T07:14:00Z</dcterms:created>
  <dcterms:modified xsi:type="dcterms:W3CDTF">2025-05-09T11:17:00Z</dcterms:modified>
</cp:coreProperties>
</file>