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0" w:type="dxa"/>
        <w:tblCellMar>
          <w:left w:w="0" w:type="dxa"/>
          <w:right w:w="0" w:type="dxa"/>
        </w:tblCellMar>
        <w:tblLook w:val="0000" w:firstRow="0" w:lastRow="0" w:firstColumn="0" w:lastColumn="0" w:noHBand="0" w:noVBand="0"/>
      </w:tblPr>
      <w:tblGrid>
        <w:gridCol w:w="1294"/>
        <w:gridCol w:w="3276"/>
        <w:gridCol w:w="5249"/>
      </w:tblGrid>
      <w:tr w:rsidR="00EF6A23" w:rsidRPr="00B60868" w14:paraId="3FDAE1F3" w14:textId="77777777" w:rsidTr="0062725C">
        <w:trPr>
          <w:cantSplit/>
        </w:trPr>
        <w:tc>
          <w:tcPr>
            <w:tcW w:w="1369" w:type="dxa"/>
            <w:vAlign w:val="center"/>
          </w:tcPr>
          <w:p w14:paraId="3DE42CAA"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1F6317" w14:paraId="18B25741" w14:textId="77777777" w:rsidTr="0062725C">
        <w:trPr>
          <w:cantSplit/>
        </w:trPr>
        <w:tc>
          <w:tcPr>
            <w:tcW w:w="1369" w:type="dxa"/>
          </w:tcPr>
          <w:p w14:paraId="4B1AFD72" w14:textId="77777777" w:rsidR="00036F4F" w:rsidRPr="001F6317" w:rsidRDefault="00036F4F" w:rsidP="00A5280F">
            <w:pPr>
              <w:tabs>
                <w:tab w:val="left" w:pos="4111"/>
              </w:tabs>
              <w:spacing w:before="10"/>
              <w:ind w:left="57"/>
              <w:rPr>
                <w:sz w:val="22"/>
                <w:szCs w:val="18"/>
              </w:rPr>
            </w:pPr>
          </w:p>
        </w:tc>
        <w:tc>
          <w:tcPr>
            <w:tcW w:w="3251" w:type="dxa"/>
          </w:tcPr>
          <w:p w14:paraId="6579D3E8" w14:textId="77777777" w:rsidR="00036F4F" w:rsidRPr="001F6317" w:rsidRDefault="00036F4F" w:rsidP="00A5280F">
            <w:pPr>
              <w:tabs>
                <w:tab w:val="left" w:pos="4111"/>
              </w:tabs>
              <w:spacing w:before="10"/>
              <w:ind w:left="57"/>
              <w:rPr>
                <w:b/>
                <w:sz w:val="22"/>
                <w:szCs w:val="18"/>
              </w:rPr>
            </w:pPr>
          </w:p>
        </w:tc>
        <w:tc>
          <w:tcPr>
            <w:tcW w:w="5199" w:type="dxa"/>
          </w:tcPr>
          <w:p w14:paraId="0DC34ECA" w14:textId="5F945F6D" w:rsidR="00036F4F" w:rsidRPr="001F6317" w:rsidRDefault="00036F4F" w:rsidP="00A5645A">
            <w:pPr>
              <w:tabs>
                <w:tab w:val="clear" w:pos="794"/>
                <w:tab w:val="clear" w:pos="1191"/>
                <w:tab w:val="clear" w:pos="1588"/>
                <w:tab w:val="clear" w:pos="1985"/>
                <w:tab w:val="left" w:pos="284"/>
              </w:tabs>
              <w:spacing w:after="120"/>
              <w:ind w:left="284" w:hanging="227"/>
              <w:rPr>
                <w:sz w:val="22"/>
                <w:szCs w:val="18"/>
              </w:rPr>
            </w:pPr>
            <w:r w:rsidRPr="001F6317">
              <w:rPr>
                <w:sz w:val="22"/>
                <w:szCs w:val="18"/>
              </w:rPr>
              <w:t>Genève, le</w:t>
            </w:r>
            <w:r w:rsidR="004419E9" w:rsidRPr="001F6317">
              <w:rPr>
                <w:sz w:val="22"/>
                <w:szCs w:val="18"/>
              </w:rPr>
              <w:t xml:space="preserve"> </w:t>
            </w:r>
            <w:r w:rsidR="00456473" w:rsidRPr="001F6317">
              <w:rPr>
                <w:sz w:val="22"/>
                <w:szCs w:val="18"/>
              </w:rPr>
              <w:t>14 avril 2025</w:t>
            </w:r>
          </w:p>
        </w:tc>
      </w:tr>
      <w:tr w:rsidR="00445B68" w:rsidRPr="001F6317" w14:paraId="16CDDFEF" w14:textId="77777777" w:rsidTr="0062725C">
        <w:trPr>
          <w:cantSplit/>
          <w:trHeight w:val="340"/>
        </w:trPr>
        <w:tc>
          <w:tcPr>
            <w:tcW w:w="1369" w:type="dxa"/>
          </w:tcPr>
          <w:p w14:paraId="3EFF375D" w14:textId="58556577" w:rsidR="00445B68" w:rsidRPr="001F6317" w:rsidRDefault="00445B68" w:rsidP="00307FB4">
            <w:pPr>
              <w:tabs>
                <w:tab w:val="left" w:pos="4111"/>
              </w:tabs>
              <w:spacing w:before="10"/>
              <w:ind w:left="57"/>
              <w:rPr>
                <w:b/>
                <w:bCs/>
                <w:sz w:val="22"/>
                <w:szCs w:val="18"/>
              </w:rPr>
            </w:pPr>
            <w:proofErr w:type="gramStart"/>
            <w:r w:rsidRPr="001F6317">
              <w:rPr>
                <w:b/>
                <w:bCs/>
                <w:sz w:val="22"/>
                <w:szCs w:val="18"/>
              </w:rPr>
              <w:t>Réf.:</w:t>
            </w:r>
            <w:proofErr w:type="gramEnd"/>
          </w:p>
        </w:tc>
        <w:tc>
          <w:tcPr>
            <w:tcW w:w="3251" w:type="dxa"/>
          </w:tcPr>
          <w:p w14:paraId="5FFBBC9B" w14:textId="0B1B6E19" w:rsidR="00445B68" w:rsidRPr="001F6317" w:rsidRDefault="00445B68" w:rsidP="00A5280F">
            <w:pPr>
              <w:tabs>
                <w:tab w:val="left" w:pos="4111"/>
              </w:tabs>
              <w:spacing w:before="10"/>
              <w:ind w:left="57"/>
              <w:rPr>
                <w:b/>
                <w:sz w:val="22"/>
                <w:szCs w:val="18"/>
              </w:rPr>
            </w:pPr>
            <w:r w:rsidRPr="001F6317">
              <w:rPr>
                <w:b/>
                <w:sz w:val="22"/>
                <w:szCs w:val="18"/>
              </w:rPr>
              <w:t xml:space="preserve">Circulaire TSB </w:t>
            </w:r>
            <w:r w:rsidR="00456473" w:rsidRPr="001F6317">
              <w:rPr>
                <w:b/>
                <w:sz w:val="22"/>
                <w:szCs w:val="18"/>
              </w:rPr>
              <w:t>39</w:t>
            </w:r>
          </w:p>
          <w:p w14:paraId="577F6DA2" w14:textId="2191A0E2" w:rsidR="00445B68" w:rsidRPr="001F6317" w:rsidRDefault="00B46F2D" w:rsidP="00307FB4">
            <w:pPr>
              <w:tabs>
                <w:tab w:val="left" w:pos="4111"/>
              </w:tabs>
              <w:spacing w:before="10"/>
              <w:ind w:left="57"/>
              <w:rPr>
                <w:sz w:val="22"/>
                <w:szCs w:val="18"/>
              </w:rPr>
            </w:pPr>
            <w:r w:rsidRPr="001F6317">
              <w:rPr>
                <w:sz w:val="22"/>
                <w:szCs w:val="18"/>
              </w:rPr>
              <w:t>C</w:t>
            </w:r>
            <w:r w:rsidR="00456473" w:rsidRPr="001F6317">
              <w:rPr>
                <w:sz w:val="22"/>
                <w:szCs w:val="18"/>
              </w:rPr>
              <w:t>E 20/CB</w:t>
            </w:r>
          </w:p>
        </w:tc>
        <w:tc>
          <w:tcPr>
            <w:tcW w:w="5199" w:type="dxa"/>
            <w:vMerge w:val="restart"/>
          </w:tcPr>
          <w:p w14:paraId="56FFB697" w14:textId="77777777" w:rsidR="00307FB4" w:rsidRPr="001F6317" w:rsidRDefault="00307FB4" w:rsidP="00307FB4">
            <w:pPr>
              <w:tabs>
                <w:tab w:val="left" w:pos="226"/>
                <w:tab w:val="left" w:pos="4111"/>
              </w:tabs>
              <w:spacing w:before="0"/>
              <w:ind w:left="226" w:hanging="226"/>
              <w:rPr>
                <w:b/>
                <w:bCs/>
                <w:sz w:val="22"/>
                <w:szCs w:val="18"/>
              </w:rPr>
            </w:pPr>
            <w:bookmarkStart w:id="0" w:name="Addressee_F"/>
            <w:bookmarkEnd w:id="0"/>
            <w:proofErr w:type="gramStart"/>
            <w:r w:rsidRPr="001F6317">
              <w:rPr>
                <w:b/>
                <w:bCs/>
                <w:sz w:val="22"/>
                <w:szCs w:val="18"/>
              </w:rPr>
              <w:t>Aux:</w:t>
            </w:r>
            <w:proofErr w:type="gramEnd"/>
          </w:p>
          <w:p w14:paraId="35271D8E" w14:textId="6B050DEC" w:rsidR="00307FB4" w:rsidRPr="001F6317" w:rsidRDefault="00307FB4" w:rsidP="00307FB4">
            <w:pPr>
              <w:tabs>
                <w:tab w:val="left" w:pos="4111"/>
              </w:tabs>
              <w:spacing w:before="0"/>
              <w:ind w:left="426" w:hanging="426"/>
              <w:rPr>
                <w:sz w:val="22"/>
                <w:szCs w:val="18"/>
              </w:rPr>
            </w:pPr>
            <w:r w:rsidRPr="001F6317">
              <w:rPr>
                <w:sz w:val="22"/>
                <w:szCs w:val="18"/>
              </w:rPr>
              <w:t>–</w:t>
            </w:r>
            <w:r w:rsidRPr="001F6317">
              <w:rPr>
                <w:sz w:val="22"/>
                <w:szCs w:val="18"/>
              </w:rPr>
              <w:tab/>
            </w:r>
            <w:r w:rsidR="00456473" w:rsidRPr="001F6317">
              <w:rPr>
                <w:sz w:val="22"/>
                <w:szCs w:val="18"/>
              </w:rPr>
              <w:t xml:space="preserve">Aux </w:t>
            </w:r>
            <w:r w:rsidRPr="001F6317">
              <w:rPr>
                <w:sz w:val="22"/>
                <w:szCs w:val="18"/>
              </w:rPr>
              <w:t xml:space="preserve">Administrations des États Membres de </w:t>
            </w:r>
            <w:proofErr w:type="gramStart"/>
            <w:r w:rsidRPr="001F6317">
              <w:rPr>
                <w:sz w:val="22"/>
                <w:szCs w:val="18"/>
              </w:rPr>
              <w:t>l'Union;</w:t>
            </w:r>
            <w:proofErr w:type="gramEnd"/>
          </w:p>
          <w:p w14:paraId="461460AE" w14:textId="6EA3D72A" w:rsidR="00445B68" w:rsidRPr="001F6317" w:rsidRDefault="00456473" w:rsidP="00531550">
            <w:pPr>
              <w:tabs>
                <w:tab w:val="left" w:pos="4111"/>
              </w:tabs>
              <w:spacing w:before="0"/>
              <w:ind w:left="426" w:hanging="426"/>
              <w:rPr>
                <w:sz w:val="22"/>
                <w:szCs w:val="18"/>
              </w:rPr>
            </w:pPr>
            <w:r w:rsidRPr="001F6317">
              <w:rPr>
                <w:sz w:val="22"/>
                <w:szCs w:val="18"/>
              </w:rPr>
              <w:t>–</w:t>
            </w:r>
            <w:r w:rsidRPr="001F6317">
              <w:rPr>
                <w:sz w:val="22"/>
                <w:szCs w:val="18"/>
              </w:rPr>
              <w:tab/>
              <w:t>À l'État de Palestine (</w:t>
            </w:r>
            <w:proofErr w:type="spellStart"/>
            <w:r w:rsidRPr="001F6317">
              <w:rPr>
                <w:sz w:val="22"/>
                <w:szCs w:val="18"/>
              </w:rPr>
              <w:t>Rés</w:t>
            </w:r>
            <w:proofErr w:type="spellEnd"/>
            <w:r w:rsidR="00531550" w:rsidRPr="001F6317">
              <w:rPr>
                <w:sz w:val="22"/>
                <w:szCs w:val="18"/>
              </w:rPr>
              <w:t>.</w:t>
            </w:r>
            <w:r w:rsidRPr="001F6317">
              <w:rPr>
                <w:sz w:val="22"/>
                <w:szCs w:val="18"/>
              </w:rPr>
              <w:t xml:space="preserve"> 99 (Rév. Dubaï, 2018))</w:t>
            </w:r>
          </w:p>
        </w:tc>
      </w:tr>
      <w:tr w:rsidR="00445B68" w:rsidRPr="001F6317" w14:paraId="724FD23E" w14:textId="77777777" w:rsidTr="0062725C">
        <w:trPr>
          <w:cantSplit/>
        </w:trPr>
        <w:tc>
          <w:tcPr>
            <w:tcW w:w="1369" w:type="dxa"/>
          </w:tcPr>
          <w:p w14:paraId="73149CCD" w14:textId="77777777" w:rsidR="00445B68" w:rsidRPr="001F6317" w:rsidRDefault="00445B68" w:rsidP="00A5280F">
            <w:pPr>
              <w:tabs>
                <w:tab w:val="left" w:pos="4111"/>
              </w:tabs>
              <w:spacing w:before="10"/>
              <w:ind w:left="57"/>
              <w:rPr>
                <w:sz w:val="18"/>
                <w:szCs w:val="18"/>
              </w:rPr>
            </w:pPr>
            <w:proofErr w:type="gramStart"/>
            <w:r w:rsidRPr="001F6317">
              <w:rPr>
                <w:sz w:val="22"/>
                <w:szCs w:val="18"/>
              </w:rPr>
              <w:t>Tél.:</w:t>
            </w:r>
            <w:proofErr w:type="gramEnd"/>
          </w:p>
        </w:tc>
        <w:tc>
          <w:tcPr>
            <w:tcW w:w="3251" w:type="dxa"/>
          </w:tcPr>
          <w:p w14:paraId="78D06186" w14:textId="4C260C1D" w:rsidR="00445B68" w:rsidRPr="001F6317" w:rsidRDefault="00445B68" w:rsidP="00A5280F">
            <w:pPr>
              <w:tabs>
                <w:tab w:val="left" w:pos="4111"/>
              </w:tabs>
              <w:spacing w:before="0"/>
              <w:ind w:left="57"/>
              <w:rPr>
                <w:sz w:val="22"/>
                <w:szCs w:val="18"/>
              </w:rPr>
            </w:pPr>
            <w:r w:rsidRPr="001F6317">
              <w:rPr>
                <w:sz w:val="22"/>
                <w:szCs w:val="18"/>
              </w:rPr>
              <w:t>+41 22 730</w:t>
            </w:r>
            <w:r w:rsidR="00307FB4" w:rsidRPr="001F6317">
              <w:rPr>
                <w:sz w:val="22"/>
                <w:szCs w:val="18"/>
              </w:rPr>
              <w:t xml:space="preserve"> 6805</w:t>
            </w:r>
          </w:p>
        </w:tc>
        <w:tc>
          <w:tcPr>
            <w:tcW w:w="5199" w:type="dxa"/>
            <w:vMerge/>
          </w:tcPr>
          <w:p w14:paraId="6D3A5806" w14:textId="77777777" w:rsidR="00445B68" w:rsidRPr="001F6317" w:rsidRDefault="00445B68" w:rsidP="00A5280F">
            <w:pPr>
              <w:tabs>
                <w:tab w:val="left" w:pos="226"/>
                <w:tab w:val="left" w:pos="4111"/>
              </w:tabs>
              <w:spacing w:before="0"/>
              <w:ind w:left="226" w:hanging="226"/>
              <w:rPr>
                <w:b/>
                <w:sz w:val="22"/>
                <w:szCs w:val="18"/>
              </w:rPr>
            </w:pPr>
          </w:p>
        </w:tc>
      </w:tr>
      <w:tr w:rsidR="00307FB4" w:rsidRPr="001F6317" w14:paraId="030F9AE5" w14:textId="77777777" w:rsidTr="0062725C">
        <w:trPr>
          <w:cantSplit/>
          <w:trHeight w:val="263"/>
        </w:trPr>
        <w:tc>
          <w:tcPr>
            <w:tcW w:w="1369" w:type="dxa"/>
          </w:tcPr>
          <w:p w14:paraId="7B417C4C" w14:textId="77777777" w:rsidR="00307FB4" w:rsidRPr="001F6317" w:rsidRDefault="00307FB4" w:rsidP="00A5280F">
            <w:pPr>
              <w:tabs>
                <w:tab w:val="left" w:pos="4111"/>
              </w:tabs>
              <w:spacing w:before="10"/>
              <w:ind w:left="57"/>
              <w:rPr>
                <w:sz w:val="18"/>
                <w:szCs w:val="18"/>
              </w:rPr>
            </w:pPr>
            <w:proofErr w:type="gramStart"/>
            <w:r w:rsidRPr="001F6317">
              <w:rPr>
                <w:sz w:val="22"/>
                <w:szCs w:val="18"/>
              </w:rPr>
              <w:t>Télécopie:</w:t>
            </w:r>
            <w:proofErr w:type="gramEnd"/>
          </w:p>
        </w:tc>
        <w:tc>
          <w:tcPr>
            <w:tcW w:w="3251" w:type="dxa"/>
          </w:tcPr>
          <w:p w14:paraId="1A4A5F7B" w14:textId="77777777" w:rsidR="00307FB4" w:rsidRPr="001F6317" w:rsidRDefault="00307FB4" w:rsidP="00A5280F">
            <w:pPr>
              <w:tabs>
                <w:tab w:val="left" w:pos="4111"/>
              </w:tabs>
              <w:spacing w:before="0"/>
              <w:ind w:left="57"/>
              <w:rPr>
                <w:sz w:val="22"/>
                <w:szCs w:val="18"/>
              </w:rPr>
            </w:pPr>
            <w:r w:rsidRPr="001F6317">
              <w:rPr>
                <w:sz w:val="22"/>
                <w:szCs w:val="18"/>
              </w:rPr>
              <w:t>+41 22 730 5853</w:t>
            </w:r>
          </w:p>
        </w:tc>
        <w:tc>
          <w:tcPr>
            <w:tcW w:w="5199" w:type="dxa"/>
            <w:vMerge/>
          </w:tcPr>
          <w:p w14:paraId="323DAC81" w14:textId="77777777" w:rsidR="00307FB4" w:rsidRPr="001F6317" w:rsidRDefault="00307FB4" w:rsidP="00A5280F">
            <w:pPr>
              <w:tabs>
                <w:tab w:val="left" w:pos="226"/>
                <w:tab w:val="left" w:pos="4111"/>
              </w:tabs>
              <w:spacing w:before="0"/>
              <w:ind w:left="226" w:hanging="226"/>
              <w:rPr>
                <w:b/>
                <w:sz w:val="22"/>
                <w:szCs w:val="18"/>
              </w:rPr>
            </w:pPr>
          </w:p>
        </w:tc>
      </w:tr>
      <w:tr w:rsidR="00307FB4" w:rsidRPr="001F6317" w14:paraId="640FB6B9" w14:textId="77777777" w:rsidTr="0062725C">
        <w:trPr>
          <w:cantSplit/>
        </w:trPr>
        <w:tc>
          <w:tcPr>
            <w:tcW w:w="1369" w:type="dxa"/>
          </w:tcPr>
          <w:p w14:paraId="15527369" w14:textId="0865F49A" w:rsidR="00307FB4" w:rsidRPr="001F6317" w:rsidRDefault="00307FB4" w:rsidP="00A5280F">
            <w:pPr>
              <w:tabs>
                <w:tab w:val="left" w:pos="4111"/>
              </w:tabs>
              <w:spacing w:before="10"/>
              <w:ind w:left="57"/>
              <w:rPr>
                <w:sz w:val="22"/>
                <w:szCs w:val="18"/>
              </w:rPr>
            </w:pPr>
            <w:proofErr w:type="gramStart"/>
            <w:r w:rsidRPr="001F6317">
              <w:rPr>
                <w:sz w:val="22"/>
                <w:szCs w:val="18"/>
              </w:rPr>
              <w:t>Courriel:</w:t>
            </w:r>
            <w:proofErr w:type="gramEnd"/>
          </w:p>
        </w:tc>
        <w:tc>
          <w:tcPr>
            <w:tcW w:w="3251" w:type="dxa"/>
          </w:tcPr>
          <w:p w14:paraId="172249CE" w14:textId="7AD5C1F4" w:rsidR="00307FB4" w:rsidRPr="001F6317" w:rsidRDefault="00456473" w:rsidP="00A5280F">
            <w:pPr>
              <w:tabs>
                <w:tab w:val="left" w:pos="4111"/>
              </w:tabs>
              <w:spacing w:before="0"/>
              <w:ind w:left="57"/>
              <w:rPr>
                <w:sz w:val="22"/>
                <w:szCs w:val="18"/>
              </w:rPr>
            </w:pPr>
            <w:hyperlink r:id="rId9" w:history="1">
              <w:r w:rsidRPr="001F6317">
                <w:rPr>
                  <w:rStyle w:val="Hyperlink"/>
                  <w:sz w:val="22"/>
                  <w:szCs w:val="18"/>
                </w:rPr>
                <w:t>tsbsg20@itu.int</w:t>
              </w:r>
            </w:hyperlink>
          </w:p>
        </w:tc>
        <w:tc>
          <w:tcPr>
            <w:tcW w:w="5199" w:type="dxa"/>
          </w:tcPr>
          <w:p w14:paraId="55E5D357" w14:textId="77777777" w:rsidR="00307FB4" w:rsidRPr="001F6317" w:rsidRDefault="00307FB4" w:rsidP="00307FB4">
            <w:pPr>
              <w:tabs>
                <w:tab w:val="clear" w:pos="794"/>
                <w:tab w:val="left" w:pos="226"/>
                <w:tab w:val="left" w:pos="4111"/>
              </w:tabs>
              <w:spacing w:before="0"/>
              <w:ind w:left="226" w:hanging="226"/>
              <w:rPr>
                <w:b/>
                <w:bCs/>
                <w:sz w:val="22"/>
                <w:szCs w:val="18"/>
              </w:rPr>
            </w:pPr>
            <w:proofErr w:type="gramStart"/>
            <w:r w:rsidRPr="001F6317">
              <w:rPr>
                <w:b/>
                <w:bCs/>
                <w:sz w:val="22"/>
                <w:szCs w:val="18"/>
              </w:rPr>
              <w:t>Copie:</w:t>
            </w:r>
            <w:proofErr w:type="gramEnd"/>
          </w:p>
          <w:p w14:paraId="2E480D7C" w14:textId="7C709CB6" w:rsidR="00456473" w:rsidRPr="001F6317" w:rsidRDefault="00456473" w:rsidP="00456473">
            <w:pPr>
              <w:tabs>
                <w:tab w:val="left" w:pos="4111"/>
              </w:tabs>
              <w:spacing w:before="0"/>
              <w:ind w:left="426" w:hanging="426"/>
              <w:rPr>
                <w:sz w:val="22"/>
                <w:szCs w:val="18"/>
              </w:rPr>
            </w:pPr>
            <w:r w:rsidRPr="001F6317">
              <w:rPr>
                <w:sz w:val="22"/>
                <w:szCs w:val="18"/>
              </w:rPr>
              <w:t>–</w:t>
            </w:r>
            <w:r w:rsidRPr="001F6317">
              <w:rPr>
                <w:sz w:val="22"/>
                <w:szCs w:val="18"/>
              </w:rPr>
              <w:tab/>
              <w:t>Aux Membres du Secteur de l'UIT-</w:t>
            </w:r>
            <w:proofErr w:type="gramStart"/>
            <w:r w:rsidRPr="001F6317">
              <w:rPr>
                <w:sz w:val="22"/>
                <w:szCs w:val="18"/>
              </w:rPr>
              <w:t>T;</w:t>
            </w:r>
            <w:proofErr w:type="gramEnd"/>
          </w:p>
          <w:p w14:paraId="1D3A2784" w14:textId="3F32FAE2" w:rsidR="00456473" w:rsidRPr="001F6317" w:rsidRDefault="00456473" w:rsidP="00456473">
            <w:pPr>
              <w:tabs>
                <w:tab w:val="left" w:pos="4111"/>
              </w:tabs>
              <w:spacing w:before="0"/>
              <w:ind w:left="426" w:hanging="426"/>
              <w:rPr>
                <w:sz w:val="22"/>
                <w:szCs w:val="18"/>
              </w:rPr>
            </w:pPr>
            <w:r w:rsidRPr="001F6317">
              <w:rPr>
                <w:sz w:val="22"/>
                <w:szCs w:val="18"/>
              </w:rPr>
              <w:t>–</w:t>
            </w:r>
            <w:r w:rsidRPr="001F6317">
              <w:rPr>
                <w:sz w:val="22"/>
                <w:szCs w:val="18"/>
              </w:rPr>
              <w:tab/>
              <w:t>Aux Associés de la Commission d'études 20 de l'UIT-</w:t>
            </w:r>
            <w:proofErr w:type="gramStart"/>
            <w:r w:rsidRPr="001F6317">
              <w:rPr>
                <w:sz w:val="22"/>
                <w:szCs w:val="18"/>
              </w:rPr>
              <w:t>T;</w:t>
            </w:r>
            <w:proofErr w:type="gramEnd"/>
          </w:p>
          <w:p w14:paraId="30A92F09" w14:textId="2B06D6DB" w:rsidR="00456473" w:rsidRPr="001F6317" w:rsidRDefault="00456473" w:rsidP="00307FB4">
            <w:pPr>
              <w:tabs>
                <w:tab w:val="clear" w:pos="794"/>
                <w:tab w:val="left" w:pos="4111"/>
              </w:tabs>
              <w:spacing w:before="0"/>
              <w:ind w:left="426" w:hanging="426"/>
              <w:rPr>
                <w:sz w:val="22"/>
                <w:szCs w:val="18"/>
              </w:rPr>
            </w:pPr>
            <w:r w:rsidRPr="001F6317">
              <w:rPr>
                <w:sz w:val="22"/>
                <w:szCs w:val="18"/>
              </w:rPr>
              <w:t>–</w:t>
            </w:r>
            <w:r w:rsidRPr="001F6317">
              <w:rPr>
                <w:sz w:val="22"/>
                <w:szCs w:val="18"/>
              </w:rPr>
              <w:tab/>
              <w:t xml:space="preserve">Aux établissements universitaires participant aux travaux de </w:t>
            </w:r>
            <w:proofErr w:type="gramStart"/>
            <w:r w:rsidRPr="001F6317">
              <w:rPr>
                <w:sz w:val="22"/>
                <w:szCs w:val="18"/>
              </w:rPr>
              <w:t>l'UIT;</w:t>
            </w:r>
            <w:proofErr w:type="gramEnd"/>
          </w:p>
          <w:p w14:paraId="6CE98CB1" w14:textId="59E81941" w:rsidR="00307FB4" w:rsidRPr="001F6317" w:rsidRDefault="00307FB4" w:rsidP="00307FB4">
            <w:pPr>
              <w:tabs>
                <w:tab w:val="clear" w:pos="794"/>
                <w:tab w:val="left" w:pos="4111"/>
              </w:tabs>
              <w:spacing w:before="0"/>
              <w:ind w:left="426" w:hanging="426"/>
              <w:rPr>
                <w:sz w:val="22"/>
                <w:szCs w:val="18"/>
              </w:rPr>
            </w:pPr>
            <w:r w:rsidRPr="001F6317">
              <w:rPr>
                <w:sz w:val="22"/>
                <w:szCs w:val="18"/>
              </w:rPr>
              <w:t>–</w:t>
            </w:r>
            <w:r w:rsidRPr="001F6317">
              <w:rPr>
                <w:sz w:val="22"/>
                <w:szCs w:val="18"/>
              </w:rPr>
              <w:tab/>
              <w:t xml:space="preserve">Aux Président et Vice-Présidents de </w:t>
            </w:r>
            <w:r w:rsidR="00456473" w:rsidRPr="001F6317">
              <w:rPr>
                <w:sz w:val="22"/>
                <w:szCs w:val="18"/>
              </w:rPr>
              <w:t xml:space="preserve">la </w:t>
            </w:r>
            <w:r w:rsidRPr="001F6317">
              <w:rPr>
                <w:sz w:val="22"/>
                <w:szCs w:val="18"/>
              </w:rPr>
              <w:t>Commission d'études</w:t>
            </w:r>
            <w:r w:rsidR="00456473" w:rsidRPr="001F6317">
              <w:rPr>
                <w:sz w:val="22"/>
                <w:szCs w:val="18"/>
              </w:rPr>
              <w:t xml:space="preserve"> 20 de l'UIT-</w:t>
            </w:r>
            <w:proofErr w:type="gramStart"/>
            <w:r w:rsidR="00456473" w:rsidRPr="001F6317">
              <w:rPr>
                <w:sz w:val="22"/>
                <w:szCs w:val="18"/>
              </w:rPr>
              <w:t>T</w:t>
            </w:r>
            <w:r w:rsidRPr="001F6317">
              <w:rPr>
                <w:sz w:val="22"/>
                <w:szCs w:val="18"/>
              </w:rPr>
              <w:t>;</w:t>
            </w:r>
            <w:proofErr w:type="gramEnd"/>
          </w:p>
          <w:p w14:paraId="56C75C35" w14:textId="1A09D40C" w:rsidR="00307FB4" w:rsidRPr="001F6317" w:rsidRDefault="00307FB4" w:rsidP="00307FB4">
            <w:pPr>
              <w:tabs>
                <w:tab w:val="clear" w:pos="794"/>
                <w:tab w:val="left" w:pos="4111"/>
              </w:tabs>
              <w:spacing w:before="0"/>
              <w:ind w:left="426" w:hanging="426"/>
              <w:rPr>
                <w:sz w:val="22"/>
                <w:szCs w:val="18"/>
              </w:rPr>
            </w:pPr>
            <w:r w:rsidRPr="001F6317">
              <w:rPr>
                <w:sz w:val="22"/>
                <w:szCs w:val="18"/>
              </w:rPr>
              <w:t>–</w:t>
            </w:r>
            <w:r w:rsidRPr="001F6317">
              <w:rPr>
                <w:sz w:val="22"/>
                <w:szCs w:val="18"/>
              </w:rPr>
              <w:tab/>
              <w:t xml:space="preserve">Au Directeur du Bureau de développement des </w:t>
            </w:r>
            <w:proofErr w:type="gramStart"/>
            <w:r w:rsidRPr="001F6317">
              <w:rPr>
                <w:sz w:val="22"/>
                <w:szCs w:val="18"/>
              </w:rPr>
              <w:t>télécommunications;</w:t>
            </w:r>
            <w:proofErr w:type="gramEnd"/>
          </w:p>
          <w:p w14:paraId="19762254" w14:textId="061893F3" w:rsidR="00307FB4" w:rsidRPr="001F6317" w:rsidRDefault="00307FB4" w:rsidP="00307FB4">
            <w:pPr>
              <w:tabs>
                <w:tab w:val="clear" w:pos="794"/>
                <w:tab w:val="left" w:pos="4111"/>
              </w:tabs>
              <w:spacing w:before="0"/>
              <w:ind w:left="426" w:hanging="426"/>
              <w:rPr>
                <w:sz w:val="22"/>
                <w:szCs w:val="18"/>
              </w:rPr>
            </w:pPr>
            <w:r w:rsidRPr="001F6317">
              <w:rPr>
                <w:sz w:val="22"/>
                <w:szCs w:val="18"/>
              </w:rPr>
              <w:t>–</w:t>
            </w:r>
            <w:r w:rsidRPr="001F6317">
              <w:rPr>
                <w:sz w:val="22"/>
                <w:szCs w:val="18"/>
              </w:rPr>
              <w:tab/>
              <w:t>Au Directeur du Bureau des radiocommunications</w:t>
            </w:r>
          </w:p>
        </w:tc>
      </w:tr>
      <w:tr w:rsidR="00517A03" w:rsidRPr="001F6317" w14:paraId="5435C04A" w14:textId="77777777" w:rsidTr="0062725C">
        <w:trPr>
          <w:cantSplit/>
          <w:trHeight w:val="397"/>
        </w:trPr>
        <w:tc>
          <w:tcPr>
            <w:tcW w:w="1369" w:type="dxa"/>
          </w:tcPr>
          <w:p w14:paraId="2A0B9B4F" w14:textId="77777777" w:rsidR="00517A03" w:rsidRPr="001F6317" w:rsidRDefault="00517A03" w:rsidP="00307FB4">
            <w:pPr>
              <w:tabs>
                <w:tab w:val="left" w:pos="4111"/>
              </w:tabs>
              <w:ind w:left="57"/>
              <w:rPr>
                <w:b/>
                <w:bCs/>
                <w:sz w:val="22"/>
              </w:rPr>
            </w:pPr>
            <w:proofErr w:type="gramStart"/>
            <w:r w:rsidRPr="001F6317">
              <w:rPr>
                <w:b/>
                <w:bCs/>
                <w:sz w:val="22"/>
              </w:rPr>
              <w:t>Objet:</w:t>
            </w:r>
            <w:proofErr w:type="gramEnd"/>
          </w:p>
        </w:tc>
        <w:tc>
          <w:tcPr>
            <w:tcW w:w="0" w:type="auto"/>
            <w:gridSpan w:val="2"/>
          </w:tcPr>
          <w:p w14:paraId="1A51EE75" w14:textId="68F2D19F" w:rsidR="00517A03" w:rsidRPr="001F6317" w:rsidRDefault="00456473" w:rsidP="0048088B">
            <w:pPr>
              <w:tabs>
                <w:tab w:val="left" w:pos="4111"/>
              </w:tabs>
              <w:spacing w:after="120"/>
              <w:ind w:left="57"/>
              <w:rPr>
                <w:b/>
                <w:bCs/>
                <w:sz w:val="22"/>
              </w:rPr>
            </w:pPr>
            <w:r w:rsidRPr="001F6317">
              <w:rPr>
                <w:b/>
                <w:bCs/>
                <w:sz w:val="22"/>
              </w:rPr>
              <w:t xml:space="preserve">Consultation des États Membres au sujet du texte déterminé des projets de nouvelles Recommandations UIT-T Y.4235 (ex </w:t>
            </w:r>
            <w:proofErr w:type="spellStart"/>
            <w:r w:rsidRPr="001F6317">
              <w:rPr>
                <w:b/>
                <w:bCs/>
                <w:sz w:val="22"/>
              </w:rPr>
              <w:t>Y.PGComNet-Reqts</w:t>
            </w:r>
            <w:proofErr w:type="spellEnd"/>
            <w:r w:rsidRPr="001F6317">
              <w:rPr>
                <w:b/>
                <w:bCs/>
                <w:sz w:val="22"/>
              </w:rPr>
              <w:t>), UIT-T Y.4236 (ex</w:t>
            </w:r>
            <w:r w:rsidR="00D72144" w:rsidRPr="001F6317">
              <w:rPr>
                <w:b/>
                <w:bCs/>
                <w:sz w:val="22"/>
              </w:rPr>
              <w:t> </w:t>
            </w:r>
            <w:r w:rsidRPr="001F6317">
              <w:rPr>
                <w:b/>
                <w:bCs/>
                <w:sz w:val="22"/>
              </w:rPr>
              <w:t>Y.EMM-</w:t>
            </w:r>
            <w:proofErr w:type="spellStart"/>
            <w:r w:rsidRPr="001F6317">
              <w:rPr>
                <w:b/>
                <w:bCs/>
                <w:sz w:val="22"/>
              </w:rPr>
              <w:t>Reqts</w:t>
            </w:r>
            <w:proofErr w:type="spellEnd"/>
            <w:r w:rsidRPr="001F6317">
              <w:rPr>
                <w:b/>
                <w:bCs/>
                <w:sz w:val="22"/>
              </w:rPr>
              <w:t xml:space="preserve">), UIT-T Y.4237 (ex </w:t>
            </w:r>
            <w:proofErr w:type="spellStart"/>
            <w:r w:rsidRPr="001F6317">
              <w:rPr>
                <w:b/>
                <w:bCs/>
                <w:sz w:val="22"/>
              </w:rPr>
              <w:t>Y.dt</w:t>
            </w:r>
            <w:proofErr w:type="spellEnd"/>
            <w:r w:rsidRPr="001F6317">
              <w:rPr>
                <w:b/>
                <w:bCs/>
                <w:sz w:val="22"/>
              </w:rPr>
              <w:t>-IWCS), UIT-T Y.4496 (ex Y.RA-PHE), UIT</w:t>
            </w:r>
            <w:r w:rsidR="00D72144" w:rsidRPr="001F6317">
              <w:rPr>
                <w:b/>
                <w:bCs/>
                <w:sz w:val="22"/>
              </w:rPr>
              <w:noBreakHyphen/>
            </w:r>
            <w:r w:rsidRPr="001F6317">
              <w:rPr>
                <w:b/>
                <w:bCs/>
                <w:sz w:val="22"/>
              </w:rPr>
              <w:t>T</w:t>
            </w:r>
            <w:r w:rsidR="00D72144" w:rsidRPr="001F6317">
              <w:rPr>
                <w:b/>
                <w:bCs/>
                <w:sz w:val="22"/>
              </w:rPr>
              <w:t> </w:t>
            </w:r>
            <w:r w:rsidRPr="001F6317">
              <w:rPr>
                <w:b/>
                <w:bCs/>
                <w:sz w:val="22"/>
              </w:rPr>
              <w:t xml:space="preserve">Y.4708 (ex </w:t>
            </w:r>
            <w:proofErr w:type="spellStart"/>
            <w:r w:rsidRPr="001F6317">
              <w:rPr>
                <w:b/>
                <w:bCs/>
                <w:sz w:val="22"/>
              </w:rPr>
              <w:t>Y.IoT</w:t>
            </w:r>
            <w:proofErr w:type="spellEnd"/>
            <w:r w:rsidRPr="001F6317">
              <w:rPr>
                <w:b/>
                <w:bCs/>
                <w:sz w:val="22"/>
              </w:rPr>
              <w:t xml:space="preserve">-DPE), UIT-T Y.4609 (ex </w:t>
            </w:r>
            <w:proofErr w:type="spellStart"/>
            <w:r w:rsidRPr="001F6317">
              <w:rPr>
                <w:b/>
                <w:bCs/>
                <w:sz w:val="22"/>
              </w:rPr>
              <w:t>Y.metadata</w:t>
            </w:r>
            <w:proofErr w:type="spellEnd"/>
            <w:r w:rsidRPr="001F6317">
              <w:rPr>
                <w:b/>
                <w:bCs/>
                <w:sz w:val="22"/>
              </w:rPr>
              <w:t>-EPI), UIT-T Y.4813 (ex</w:t>
            </w:r>
            <w:r w:rsidR="00D72144" w:rsidRPr="001F6317">
              <w:rPr>
                <w:b/>
                <w:bCs/>
                <w:sz w:val="22"/>
              </w:rPr>
              <w:t> </w:t>
            </w:r>
            <w:proofErr w:type="spellStart"/>
            <w:r w:rsidRPr="001F6317">
              <w:rPr>
                <w:b/>
                <w:bCs/>
                <w:sz w:val="22"/>
              </w:rPr>
              <w:t>Y.iepi</w:t>
            </w:r>
            <w:proofErr w:type="spellEnd"/>
            <w:r w:rsidRPr="001F6317">
              <w:rPr>
                <w:b/>
                <w:bCs/>
                <w:sz w:val="22"/>
              </w:rPr>
              <w:t>-dm-sa), U</w:t>
            </w:r>
            <w:r w:rsidR="00D72144" w:rsidRPr="001F6317">
              <w:rPr>
                <w:b/>
                <w:bCs/>
                <w:sz w:val="22"/>
              </w:rPr>
              <w:t>IT</w:t>
            </w:r>
            <w:r w:rsidRPr="001F6317">
              <w:rPr>
                <w:b/>
                <w:bCs/>
                <w:sz w:val="22"/>
              </w:rPr>
              <w:t xml:space="preserve">-T Y.4814 (ex </w:t>
            </w:r>
            <w:proofErr w:type="spellStart"/>
            <w:r w:rsidRPr="001F6317">
              <w:rPr>
                <w:b/>
                <w:bCs/>
                <w:sz w:val="22"/>
              </w:rPr>
              <w:t>Y.IoT</w:t>
            </w:r>
            <w:proofErr w:type="spellEnd"/>
            <w:r w:rsidRPr="001F6317">
              <w:rPr>
                <w:b/>
                <w:bCs/>
                <w:sz w:val="22"/>
              </w:rPr>
              <w:t>-</w:t>
            </w:r>
            <w:proofErr w:type="spellStart"/>
            <w:r w:rsidRPr="001F6317">
              <w:rPr>
                <w:b/>
                <w:bCs/>
                <w:sz w:val="22"/>
              </w:rPr>
              <w:t>acs</w:t>
            </w:r>
            <w:proofErr w:type="spellEnd"/>
            <w:r w:rsidRPr="001F6317">
              <w:rPr>
                <w:b/>
                <w:bCs/>
                <w:sz w:val="22"/>
              </w:rPr>
              <w:t>-fra) et UIT-T Y.4911 (ex Y.KPI-Flood), qu'il est proposé d'approuver à la réunion de la CE 20 de l'UIT-T</w:t>
            </w:r>
            <w:r w:rsidR="0062725C">
              <w:rPr>
                <w:b/>
                <w:bCs/>
                <w:sz w:val="22"/>
              </w:rPr>
              <w:t xml:space="preserve"> </w:t>
            </w:r>
            <w:r w:rsidRPr="001F6317">
              <w:rPr>
                <w:b/>
                <w:bCs/>
                <w:sz w:val="22"/>
              </w:rPr>
              <w:t>(Genève, 15-25 septembre 2025)</w:t>
            </w:r>
          </w:p>
        </w:tc>
      </w:tr>
    </w:tbl>
    <w:p w14:paraId="2D1EC328" w14:textId="77777777" w:rsidR="00517A03" w:rsidRPr="001F6317" w:rsidRDefault="00517A03" w:rsidP="001F6317">
      <w:pPr>
        <w:spacing w:before="0"/>
        <w:rPr>
          <w:sz w:val="22"/>
          <w:szCs w:val="18"/>
        </w:rPr>
      </w:pPr>
      <w:r w:rsidRPr="001F6317">
        <w:rPr>
          <w:sz w:val="22"/>
          <w:szCs w:val="18"/>
        </w:rPr>
        <w:t>Madame, Monsieur,</w:t>
      </w:r>
    </w:p>
    <w:p w14:paraId="7F745310" w14:textId="08733446" w:rsidR="00D72144" w:rsidRPr="001F6317" w:rsidRDefault="00D72144" w:rsidP="00D72144">
      <w:pPr>
        <w:rPr>
          <w:bCs/>
          <w:sz w:val="22"/>
          <w:szCs w:val="18"/>
        </w:rPr>
      </w:pPr>
      <w:r w:rsidRPr="001F6317">
        <w:rPr>
          <w:bCs/>
          <w:sz w:val="22"/>
          <w:szCs w:val="18"/>
        </w:rPr>
        <w:t>1</w:t>
      </w:r>
      <w:r w:rsidRPr="001F6317">
        <w:rPr>
          <w:bCs/>
          <w:sz w:val="22"/>
          <w:szCs w:val="18"/>
        </w:rPr>
        <w:tab/>
        <w:t>La Commission d'études 20 de l'UIT-T (</w:t>
      </w:r>
      <w:r w:rsidR="00531550" w:rsidRPr="001F6317">
        <w:rPr>
          <w:bCs/>
          <w:sz w:val="22"/>
          <w:szCs w:val="18"/>
        </w:rPr>
        <w:t>Internet des objets, jumeaux numériques et villes et communautés intelligentes et durables</w:t>
      </w:r>
      <w:r w:rsidRPr="001F6317">
        <w:rPr>
          <w:bCs/>
          <w:sz w:val="22"/>
          <w:szCs w:val="18"/>
        </w:rPr>
        <w:t xml:space="preserve">) a l'intention d'appliquer la procédure d'approbation traditionnelle énoncée à la section 9 de la Résolution 1 (Rév. Genève, 2022) de l'AMNT pour l'approbation des projets de nouvelles Recommandations UIT-T Y.4235 (ex </w:t>
      </w:r>
      <w:proofErr w:type="spellStart"/>
      <w:r w:rsidRPr="001F6317">
        <w:rPr>
          <w:bCs/>
          <w:sz w:val="22"/>
          <w:szCs w:val="18"/>
        </w:rPr>
        <w:t>Y.PGComNet-Reqts</w:t>
      </w:r>
      <w:proofErr w:type="spellEnd"/>
      <w:r w:rsidRPr="001F6317">
        <w:rPr>
          <w:bCs/>
          <w:sz w:val="22"/>
          <w:szCs w:val="18"/>
        </w:rPr>
        <w:t>), UIT</w:t>
      </w:r>
      <w:r w:rsidRPr="001F6317">
        <w:rPr>
          <w:bCs/>
          <w:sz w:val="22"/>
          <w:szCs w:val="18"/>
        </w:rPr>
        <w:noBreakHyphen/>
        <w:t>T Y.4236 (ex Y.EMM-</w:t>
      </w:r>
      <w:proofErr w:type="spellStart"/>
      <w:r w:rsidRPr="001F6317">
        <w:rPr>
          <w:bCs/>
          <w:sz w:val="22"/>
          <w:szCs w:val="18"/>
        </w:rPr>
        <w:t>Reqts</w:t>
      </w:r>
      <w:proofErr w:type="spellEnd"/>
      <w:r w:rsidRPr="001F6317">
        <w:rPr>
          <w:bCs/>
          <w:sz w:val="22"/>
          <w:szCs w:val="18"/>
        </w:rPr>
        <w:t xml:space="preserve">), UIT-T Y.4237 (ex </w:t>
      </w:r>
      <w:proofErr w:type="spellStart"/>
      <w:r w:rsidRPr="001F6317">
        <w:rPr>
          <w:bCs/>
          <w:sz w:val="22"/>
          <w:szCs w:val="18"/>
        </w:rPr>
        <w:t>Y.dt</w:t>
      </w:r>
      <w:proofErr w:type="spellEnd"/>
      <w:r w:rsidRPr="001F6317">
        <w:rPr>
          <w:bCs/>
          <w:sz w:val="22"/>
          <w:szCs w:val="18"/>
        </w:rPr>
        <w:t>-IWCS), UIT-T Y.4496 (ex Y.RA-PHE), UIT</w:t>
      </w:r>
      <w:r w:rsidRPr="001F6317">
        <w:rPr>
          <w:bCs/>
          <w:sz w:val="22"/>
          <w:szCs w:val="18"/>
        </w:rPr>
        <w:noBreakHyphen/>
        <w:t xml:space="preserve">T Y.4708 (ex </w:t>
      </w:r>
      <w:proofErr w:type="spellStart"/>
      <w:r w:rsidRPr="001F6317">
        <w:rPr>
          <w:bCs/>
          <w:sz w:val="22"/>
          <w:szCs w:val="18"/>
        </w:rPr>
        <w:t>Y.IoT</w:t>
      </w:r>
      <w:proofErr w:type="spellEnd"/>
      <w:r w:rsidRPr="001F6317">
        <w:rPr>
          <w:bCs/>
          <w:sz w:val="22"/>
          <w:szCs w:val="18"/>
        </w:rPr>
        <w:t xml:space="preserve">-DPE), UIT-T Y.4609 (ex </w:t>
      </w:r>
      <w:proofErr w:type="spellStart"/>
      <w:r w:rsidRPr="001F6317">
        <w:rPr>
          <w:bCs/>
          <w:sz w:val="22"/>
          <w:szCs w:val="18"/>
        </w:rPr>
        <w:t>Y.metadata</w:t>
      </w:r>
      <w:proofErr w:type="spellEnd"/>
      <w:r w:rsidRPr="001F6317">
        <w:rPr>
          <w:bCs/>
          <w:sz w:val="22"/>
          <w:szCs w:val="18"/>
        </w:rPr>
        <w:t xml:space="preserve">-EPI), UIT-T Y.4813 (ex </w:t>
      </w:r>
      <w:proofErr w:type="spellStart"/>
      <w:r w:rsidRPr="001F6317">
        <w:rPr>
          <w:bCs/>
          <w:sz w:val="22"/>
          <w:szCs w:val="18"/>
        </w:rPr>
        <w:t>Y.iepi</w:t>
      </w:r>
      <w:proofErr w:type="spellEnd"/>
      <w:r w:rsidRPr="001F6317">
        <w:rPr>
          <w:bCs/>
          <w:sz w:val="22"/>
          <w:szCs w:val="18"/>
        </w:rPr>
        <w:t>-dm-sa), UIT</w:t>
      </w:r>
      <w:r w:rsidRPr="001F6317">
        <w:rPr>
          <w:bCs/>
          <w:sz w:val="22"/>
          <w:szCs w:val="18"/>
        </w:rPr>
        <w:noBreakHyphen/>
        <w:t xml:space="preserve">T Y.4814 (ex </w:t>
      </w:r>
      <w:proofErr w:type="spellStart"/>
      <w:r w:rsidRPr="001F6317">
        <w:rPr>
          <w:bCs/>
          <w:sz w:val="22"/>
          <w:szCs w:val="18"/>
        </w:rPr>
        <w:t>Y.IoT</w:t>
      </w:r>
      <w:proofErr w:type="spellEnd"/>
      <w:r w:rsidRPr="001F6317">
        <w:rPr>
          <w:bCs/>
          <w:sz w:val="22"/>
          <w:szCs w:val="18"/>
        </w:rPr>
        <w:t>-</w:t>
      </w:r>
      <w:proofErr w:type="spellStart"/>
      <w:r w:rsidRPr="001F6317">
        <w:rPr>
          <w:bCs/>
          <w:sz w:val="22"/>
          <w:szCs w:val="18"/>
        </w:rPr>
        <w:t>acs</w:t>
      </w:r>
      <w:proofErr w:type="spellEnd"/>
      <w:r w:rsidRPr="001F6317">
        <w:rPr>
          <w:bCs/>
          <w:sz w:val="22"/>
          <w:szCs w:val="18"/>
        </w:rPr>
        <w:t>-fra) et UIT-T Y.4911 (ex Y.KPI-Flood) mentionnés ci-dessus, à sa prochaine réunion, qui se tiendra à Genève (Suisse) du 15 au 25 septembre 2025. L'ordre du jour ainsi</w:t>
      </w:r>
      <w:r w:rsidR="00531550" w:rsidRPr="001F6317">
        <w:rPr>
          <w:bCs/>
          <w:sz w:val="22"/>
          <w:szCs w:val="18"/>
        </w:rPr>
        <w:t> </w:t>
      </w:r>
      <w:r w:rsidRPr="001F6317">
        <w:rPr>
          <w:bCs/>
          <w:sz w:val="22"/>
          <w:szCs w:val="18"/>
        </w:rPr>
        <w:t xml:space="preserve">que tous les renseignements pertinents concernant la réunion de la Commission d'études 20 de l'UIT-T seront présentés dans la </w:t>
      </w:r>
      <w:hyperlink r:id="rId10" w:history="1">
        <w:r w:rsidRPr="001F6317">
          <w:rPr>
            <w:rStyle w:val="Hyperlink"/>
            <w:bCs/>
            <w:sz w:val="22"/>
            <w:szCs w:val="18"/>
          </w:rPr>
          <w:t>Lettre collective 2/20</w:t>
        </w:r>
      </w:hyperlink>
      <w:r w:rsidRPr="001F6317">
        <w:rPr>
          <w:bCs/>
          <w:sz w:val="22"/>
          <w:szCs w:val="18"/>
        </w:rPr>
        <w:t>.</w:t>
      </w:r>
    </w:p>
    <w:p w14:paraId="2CA384ED" w14:textId="77777777" w:rsidR="00D72144" w:rsidRPr="001F6317" w:rsidRDefault="00D72144" w:rsidP="00D72144">
      <w:pPr>
        <w:rPr>
          <w:bCs/>
          <w:sz w:val="22"/>
          <w:szCs w:val="18"/>
        </w:rPr>
      </w:pPr>
      <w:r w:rsidRPr="001F6317">
        <w:rPr>
          <w:bCs/>
          <w:sz w:val="22"/>
          <w:szCs w:val="18"/>
        </w:rPr>
        <w:t>2</w:t>
      </w:r>
      <w:r w:rsidRPr="001F6317">
        <w:rPr>
          <w:bCs/>
          <w:sz w:val="22"/>
          <w:szCs w:val="18"/>
        </w:rPr>
        <w:tab/>
        <w:t>Vous trouverez dans l'Annexe 1 le titre, le résumé et la localisation des projets de nouvelles Recommandations UIT-T qu'il est proposé d'approuver.</w:t>
      </w:r>
    </w:p>
    <w:p w14:paraId="182F322B" w14:textId="7590F1D5" w:rsidR="00D72144" w:rsidRPr="001F6317" w:rsidRDefault="00D72144" w:rsidP="00D72144">
      <w:pPr>
        <w:keepLines/>
        <w:rPr>
          <w:bCs/>
          <w:sz w:val="22"/>
          <w:szCs w:val="18"/>
        </w:rPr>
      </w:pPr>
      <w:r w:rsidRPr="001F6317">
        <w:rPr>
          <w:bCs/>
          <w:sz w:val="22"/>
          <w:szCs w:val="18"/>
        </w:rPr>
        <w:t>3</w:t>
      </w:r>
      <w:r w:rsidRPr="001F6317">
        <w:rPr>
          <w:bCs/>
          <w:sz w:val="22"/>
          <w:szCs w:val="18"/>
        </w:rPr>
        <w:tab/>
        <w:t xml:space="preserve">La présente </w:t>
      </w:r>
      <w:r w:rsidR="0083639F" w:rsidRPr="001F6317">
        <w:rPr>
          <w:bCs/>
          <w:sz w:val="22"/>
          <w:szCs w:val="18"/>
        </w:rPr>
        <w:t>c</w:t>
      </w:r>
      <w:r w:rsidRPr="001F6317">
        <w:rPr>
          <w:bCs/>
          <w:sz w:val="22"/>
          <w:szCs w:val="18"/>
        </w:rPr>
        <w:t>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de l'Annexe 2 et de le renvoyer d'ici au </w:t>
      </w:r>
      <w:r w:rsidRPr="001F6317">
        <w:rPr>
          <w:b/>
          <w:sz w:val="22"/>
          <w:szCs w:val="18"/>
        </w:rPr>
        <w:t>3 septembre 2025</w:t>
      </w:r>
      <w:r w:rsidRPr="001F6317">
        <w:rPr>
          <w:bCs/>
          <w:sz w:val="22"/>
          <w:szCs w:val="18"/>
        </w:rPr>
        <w:t xml:space="preserve"> à 23 h 59 UTC.</w:t>
      </w:r>
    </w:p>
    <w:p w14:paraId="65A46CB1" w14:textId="77777777" w:rsidR="00D72144" w:rsidRPr="001F6317" w:rsidRDefault="00D72144" w:rsidP="00D72144">
      <w:pPr>
        <w:rPr>
          <w:bCs/>
          <w:sz w:val="22"/>
          <w:szCs w:val="18"/>
        </w:rPr>
      </w:pPr>
      <w:r w:rsidRPr="001F6317">
        <w:rPr>
          <w:bCs/>
          <w:sz w:val="22"/>
          <w:szCs w:val="18"/>
        </w:rPr>
        <w:t>4</w:t>
      </w:r>
      <w:r w:rsidRPr="001F6317">
        <w:rPr>
          <w:bCs/>
          <w:sz w:val="22"/>
          <w:szCs w:val="18"/>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46F2C3C2" w14:textId="43DA4BD8" w:rsidR="00307FB4" w:rsidRPr="001F6317" w:rsidRDefault="00D72144" w:rsidP="00D72144">
      <w:pPr>
        <w:rPr>
          <w:bCs/>
          <w:sz w:val="22"/>
          <w:szCs w:val="18"/>
        </w:rPr>
      </w:pPr>
      <w:r w:rsidRPr="001F6317">
        <w:rPr>
          <w:bCs/>
          <w:sz w:val="22"/>
          <w:szCs w:val="18"/>
        </w:rPr>
        <w:t xml:space="preserve">Note du TSB – À la date de la présente </w:t>
      </w:r>
      <w:r w:rsidR="0083639F" w:rsidRPr="001F6317">
        <w:rPr>
          <w:bCs/>
          <w:sz w:val="22"/>
          <w:szCs w:val="18"/>
        </w:rPr>
        <w:t>c</w:t>
      </w:r>
      <w:r w:rsidRPr="001F6317">
        <w:rPr>
          <w:bCs/>
          <w:sz w:val="22"/>
          <w:szCs w:val="18"/>
        </w:rPr>
        <w:t xml:space="preserve">irculaire, le TSB n'avait reçu aucune déclaration concernant les droits de propriété intellectuelle relative à ces projets de textes. Pour obtenir des renseignements actualisés, les </w:t>
      </w:r>
      <w:r w:rsidRPr="001F6317">
        <w:rPr>
          <w:bCs/>
          <w:sz w:val="22"/>
          <w:szCs w:val="18"/>
        </w:rPr>
        <w:lastRenderedPageBreak/>
        <w:t xml:space="preserve">membres sont invités à consulter la base de données relative aux droits de propriété intellectuelle à </w:t>
      </w:r>
      <w:proofErr w:type="gramStart"/>
      <w:r w:rsidRPr="001F6317">
        <w:rPr>
          <w:bCs/>
          <w:sz w:val="22"/>
          <w:szCs w:val="18"/>
        </w:rPr>
        <w:t>l'adresse:</w:t>
      </w:r>
      <w:proofErr w:type="gramEnd"/>
      <w:r w:rsidRPr="001F6317">
        <w:rPr>
          <w:bCs/>
          <w:sz w:val="22"/>
          <w:szCs w:val="18"/>
        </w:rPr>
        <w:t xml:space="preserve"> </w:t>
      </w:r>
      <w:hyperlink r:id="rId11" w:history="1">
        <w:r w:rsidRPr="001F6317">
          <w:rPr>
            <w:rStyle w:val="Hyperlink"/>
            <w:bCs/>
            <w:sz w:val="22"/>
            <w:szCs w:val="18"/>
          </w:rPr>
          <w:t>www.itu.int/ipr/</w:t>
        </w:r>
      </w:hyperlink>
      <w:r w:rsidRPr="001F6317">
        <w:rPr>
          <w:bCs/>
          <w:sz w:val="22"/>
          <w:szCs w:val="18"/>
        </w:rPr>
        <w:t>.</w:t>
      </w:r>
    </w:p>
    <w:p w14:paraId="6A4CD67F" w14:textId="77777777" w:rsidR="00307FB4" w:rsidRPr="001F6317" w:rsidRDefault="00307FB4" w:rsidP="00307FB4">
      <w:pPr>
        <w:rPr>
          <w:bCs/>
          <w:sz w:val="22"/>
          <w:szCs w:val="18"/>
        </w:rPr>
      </w:pPr>
      <w:r w:rsidRPr="001F6317">
        <w:rPr>
          <w:bCs/>
          <w:sz w:val="22"/>
          <w:szCs w:val="18"/>
        </w:rPr>
        <w:t>Veuillez agréer, Madame, Monsieur, l'assurance de ma considération distinguée.</w:t>
      </w:r>
    </w:p>
    <w:p w14:paraId="558FB742" w14:textId="6E8DFF52" w:rsidR="002937DB" w:rsidRPr="001F6317" w:rsidRDefault="00FD5609" w:rsidP="001F6317">
      <w:pPr>
        <w:spacing w:before="840"/>
        <w:rPr>
          <w:bCs/>
          <w:sz w:val="22"/>
          <w:szCs w:val="18"/>
        </w:rPr>
      </w:pPr>
      <w:r>
        <w:rPr>
          <w:bCs/>
          <w:noProof/>
          <w:sz w:val="22"/>
          <w:szCs w:val="18"/>
        </w:rPr>
        <w:drawing>
          <wp:anchor distT="0" distB="0" distL="114300" distR="114300" simplePos="0" relativeHeight="251658240" behindDoc="1" locked="0" layoutInCell="1" allowOverlap="1" wp14:anchorId="5888D084" wp14:editId="44A54EB1">
            <wp:simplePos x="0" y="0"/>
            <wp:positionH relativeFrom="margin">
              <wp:align>left</wp:align>
            </wp:positionH>
            <wp:positionV relativeFrom="paragraph">
              <wp:posOffset>101600</wp:posOffset>
            </wp:positionV>
            <wp:extent cx="692186" cy="330217"/>
            <wp:effectExtent l="0" t="0" r="0" b="0"/>
            <wp:wrapNone/>
            <wp:docPr id="151936925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69258" name="Picture 1"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1F6317">
        <w:rPr>
          <w:bCs/>
          <w:sz w:val="22"/>
          <w:szCs w:val="18"/>
        </w:rPr>
        <w:t>Seizo Onoe</w:t>
      </w:r>
      <w:r w:rsidR="00B60868" w:rsidRPr="001F6317">
        <w:rPr>
          <w:bCs/>
          <w:sz w:val="22"/>
          <w:szCs w:val="18"/>
        </w:rPr>
        <w:br/>
      </w:r>
      <w:r w:rsidR="00307FB4" w:rsidRPr="001F6317">
        <w:rPr>
          <w:bCs/>
          <w:sz w:val="22"/>
          <w:szCs w:val="18"/>
        </w:rPr>
        <w:t>Directeur du Bureau de la normalisation</w:t>
      </w:r>
      <w:r w:rsidR="00B60868" w:rsidRPr="001F6317">
        <w:rPr>
          <w:bCs/>
          <w:sz w:val="22"/>
          <w:szCs w:val="18"/>
        </w:rPr>
        <w:br/>
      </w:r>
      <w:r w:rsidR="00307FB4" w:rsidRPr="001F6317">
        <w:rPr>
          <w:bCs/>
          <w:sz w:val="22"/>
          <w:szCs w:val="18"/>
        </w:rPr>
        <w:t>des télécommunications</w:t>
      </w:r>
    </w:p>
    <w:p w14:paraId="745105A0" w14:textId="583B03C5" w:rsidR="00531550" w:rsidRPr="001F6317" w:rsidRDefault="00531550" w:rsidP="001F6317">
      <w:pPr>
        <w:spacing w:before="240"/>
        <w:rPr>
          <w:bCs/>
          <w:sz w:val="22"/>
          <w:szCs w:val="18"/>
        </w:rPr>
      </w:pPr>
      <w:proofErr w:type="gramStart"/>
      <w:r w:rsidRPr="001F6317">
        <w:rPr>
          <w:b/>
          <w:sz w:val="22"/>
          <w:szCs w:val="18"/>
        </w:rPr>
        <w:t>Annexes</w:t>
      </w:r>
      <w:r w:rsidRPr="001F6317">
        <w:rPr>
          <w:bCs/>
          <w:sz w:val="22"/>
          <w:szCs w:val="18"/>
        </w:rPr>
        <w:t>:</w:t>
      </w:r>
      <w:proofErr w:type="gramEnd"/>
      <w:r w:rsidRPr="001F6317">
        <w:rPr>
          <w:bCs/>
          <w:sz w:val="22"/>
          <w:szCs w:val="18"/>
        </w:rPr>
        <w:tab/>
        <w:t>2</w:t>
      </w:r>
    </w:p>
    <w:p w14:paraId="601A1E45" w14:textId="77777777" w:rsidR="002937DB" w:rsidRDefault="002937DB">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5647BF8A" w14:textId="132EBB06" w:rsidR="00531550" w:rsidRPr="00531550" w:rsidRDefault="00531550" w:rsidP="00531550">
      <w:pPr>
        <w:pStyle w:val="AnnexTitle"/>
      </w:pPr>
      <w:r w:rsidRPr="00531550">
        <w:lastRenderedPageBreak/>
        <w:t>ANNEXE 1</w:t>
      </w:r>
      <w:r>
        <w:br/>
      </w:r>
      <w:r>
        <w:br/>
      </w:r>
      <w:r w:rsidRPr="00531550">
        <w:t>Résumé et localisation du texte déterminé des projets de nouvelles Recommandations UIT</w:t>
      </w:r>
      <w:r>
        <w:noBreakHyphen/>
      </w:r>
      <w:r w:rsidRPr="00531550">
        <w:t>T</w:t>
      </w:r>
      <w:r>
        <w:t> </w:t>
      </w:r>
      <w:r w:rsidRPr="00531550">
        <w:t xml:space="preserve">Y.4235 (ex </w:t>
      </w:r>
      <w:proofErr w:type="gramStart"/>
      <w:r w:rsidRPr="00531550">
        <w:t>Y.PGComNet</w:t>
      </w:r>
      <w:proofErr w:type="gramEnd"/>
      <w:r w:rsidRPr="00531550">
        <w:t>-Reqts), UIT-T Y.4236 (ex Y.EMM-Reqts), UIT-T Y.4237 (ex</w:t>
      </w:r>
      <w:r>
        <w:t> </w:t>
      </w:r>
      <w:proofErr w:type="gramStart"/>
      <w:r w:rsidRPr="00531550">
        <w:t>Y.dt</w:t>
      </w:r>
      <w:proofErr w:type="gramEnd"/>
      <w:r>
        <w:noBreakHyphen/>
      </w:r>
      <w:r w:rsidRPr="00531550">
        <w:t>IWCS), UIT</w:t>
      </w:r>
      <w:r>
        <w:noBreakHyphen/>
      </w:r>
      <w:r w:rsidRPr="00531550">
        <w:t xml:space="preserve">T Y.4496 (ex Y.RA-PHE), UIT-T Y.4708 (ex </w:t>
      </w:r>
      <w:proofErr w:type="gramStart"/>
      <w:r w:rsidRPr="00531550">
        <w:t>Y.IoT</w:t>
      </w:r>
      <w:proofErr w:type="gramEnd"/>
      <w:r w:rsidRPr="00531550">
        <w:t>-DPE),</w:t>
      </w:r>
      <w:r>
        <w:br/>
      </w:r>
      <w:r w:rsidRPr="00531550">
        <w:t>UIT-T Y.4609 (ex</w:t>
      </w:r>
      <w:r>
        <w:t> </w:t>
      </w:r>
      <w:proofErr w:type="gramStart"/>
      <w:r w:rsidRPr="00531550">
        <w:t>Y.metadata</w:t>
      </w:r>
      <w:proofErr w:type="gramEnd"/>
      <w:r w:rsidRPr="00531550">
        <w:t>-EPI), UIT</w:t>
      </w:r>
      <w:r>
        <w:noBreakHyphen/>
      </w:r>
      <w:r w:rsidRPr="00531550">
        <w:t>T</w:t>
      </w:r>
      <w:r>
        <w:t> </w:t>
      </w:r>
      <w:r w:rsidRPr="00531550">
        <w:t xml:space="preserve">Y.4813 (ex </w:t>
      </w:r>
      <w:proofErr w:type="gramStart"/>
      <w:r w:rsidRPr="00531550">
        <w:t>Y.iepi</w:t>
      </w:r>
      <w:proofErr w:type="gramEnd"/>
      <w:r w:rsidRPr="00531550">
        <w:t>-dm-sa),</w:t>
      </w:r>
      <w:r>
        <w:br/>
      </w:r>
      <w:r w:rsidRPr="00531550">
        <w:t xml:space="preserve">UIT-T Y.4814 (ex </w:t>
      </w:r>
      <w:proofErr w:type="gramStart"/>
      <w:r w:rsidRPr="00531550">
        <w:t>Y.IoT</w:t>
      </w:r>
      <w:proofErr w:type="gramEnd"/>
      <w:r w:rsidRPr="00531550">
        <w:t>-acs-fra)</w:t>
      </w:r>
      <w:r>
        <w:t xml:space="preserve"> </w:t>
      </w:r>
      <w:r w:rsidRPr="00531550">
        <w:t>et UIT-T Y.4911 (ex Y.KPI-Flood)</w:t>
      </w:r>
    </w:p>
    <w:p w14:paraId="198BEB0D" w14:textId="61BBB0DE" w:rsidR="00531550" w:rsidRPr="00531550" w:rsidRDefault="00531550" w:rsidP="00531550">
      <w:pPr>
        <w:pStyle w:val="Heading1"/>
      </w:pPr>
      <w:r w:rsidRPr="00531550">
        <w:t>1</w:t>
      </w:r>
      <w:r w:rsidRPr="00531550">
        <w:tab/>
        <w:t>Projet de nouvelle Recommandation UIT-T Y.4235 (ex Y.PGComNet-Reqts) [</w:t>
      </w:r>
      <w:r w:rsidR="00255476">
        <w:t>Document </w:t>
      </w:r>
      <w:hyperlink r:id="rId13" w:history="1">
        <w:r w:rsidRPr="00531550">
          <w:rPr>
            <w:rStyle w:val="Hyperlink"/>
          </w:rPr>
          <w:t>SG20-R2</w:t>
        </w:r>
      </w:hyperlink>
      <w:r w:rsidRPr="00531550">
        <w:t>]</w:t>
      </w:r>
    </w:p>
    <w:p w14:paraId="27C50400" w14:textId="77777777" w:rsidR="00531550" w:rsidRPr="00531550" w:rsidRDefault="00531550" w:rsidP="0083639F">
      <w:pPr>
        <w:pStyle w:val="headingb"/>
      </w:pPr>
      <w:r w:rsidRPr="00531550">
        <w:t>Exigences relatives au réseau de communication du réseau électrique fondé sur l'IoT</w:t>
      </w:r>
    </w:p>
    <w:p w14:paraId="4C374945" w14:textId="77777777" w:rsidR="00531550" w:rsidRPr="00531550" w:rsidRDefault="00531550" w:rsidP="0083639F">
      <w:pPr>
        <w:pStyle w:val="headingb"/>
      </w:pPr>
      <w:r w:rsidRPr="00531550">
        <w:t>Résumé</w:t>
      </w:r>
    </w:p>
    <w:p w14:paraId="0002AAAC" w14:textId="77777777" w:rsidR="00531550" w:rsidRPr="00531550" w:rsidRDefault="00531550" w:rsidP="00531550">
      <w:pPr>
        <w:rPr>
          <w:bCs/>
        </w:rPr>
      </w:pPr>
      <w:r w:rsidRPr="00531550">
        <w:rPr>
          <w:bCs/>
        </w:rPr>
        <w:t>Cette Recommandation définit les exigences applicables au réseau de communication du réseau électrique fondé sur l'Internet des objets (IoT).</w:t>
      </w:r>
    </w:p>
    <w:p w14:paraId="015A2A5B" w14:textId="6C1EB866" w:rsidR="00531550" w:rsidRPr="00531550" w:rsidRDefault="00531550" w:rsidP="00531550">
      <w:pPr>
        <w:rPr>
          <w:bCs/>
        </w:rPr>
      </w:pPr>
      <w:r w:rsidRPr="00531550">
        <w:rPr>
          <w:bCs/>
        </w:rPr>
        <w:t>Le réseau de communication du réseau électrique fondé sur l'IoT assure les interactions bidirectionnelles des données à toutes les phases de l'exploitation d'un réseau électrique, notamment la production, le transport, la distribution et la consommation d'électricité. Il permet de disposer efficacement d'informations complètes concernant l'état du réseau électrique, de rendre possible l'interaction humain-ordinateur et de d'accéder, en tout lieu, aux dispositifs IoT du réseau électrique.</w:t>
      </w:r>
    </w:p>
    <w:p w14:paraId="7B179C6E" w14:textId="47265495" w:rsidR="00531550" w:rsidRPr="00531550" w:rsidRDefault="00531550" w:rsidP="0083639F">
      <w:pPr>
        <w:pStyle w:val="Heading1"/>
      </w:pPr>
      <w:r w:rsidRPr="00531550">
        <w:t>2</w:t>
      </w:r>
      <w:r w:rsidRPr="00531550">
        <w:tab/>
        <w:t>Projet de nouvelle Recommandation UIT-T Y.4236 (ex Y.EMM-Reqts) [</w:t>
      </w:r>
      <w:r w:rsidR="00255476">
        <w:t>Document </w:t>
      </w:r>
      <w:hyperlink r:id="rId14" w:history="1">
        <w:r w:rsidRPr="0083639F">
          <w:rPr>
            <w:rStyle w:val="Hyperlink"/>
          </w:rPr>
          <w:t>SG20</w:t>
        </w:r>
        <w:r w:rsidR="00255476">
          <w:rPr>
            <w:rStyle w:val="Hyperlink"/>
          </w:rPr>
          <w:noBreakHyphen/>
        </w:r>
        <w:r w:rsidRPr="0083639F">
          <w:rPr>
            <w:rStyle w:val="Hyperlink"/>
          </w:rPr>
          <w:t>R3</w:t>
        </w:r>
      </w:hyperlink>
      <w:r w:rsidRPr="00531550">
        <w:t>]</w:t>
      </w:r>
    </w:p>
    <w:p w14:paraId="53D9188D" w14:textId="25E502CD" w:rsidR="00531550" w:rsidRPr="00531550" w:rsidRDefault="00255476" w:rsidP="0083639F">
      <w:pPr>
        <w:pStyle w:val="headingb"/>
      </w:pPr>
      <w:r w:rsidRPr="00255476">
        <w:t>Exigences relatives au suivi des événements en temps réel et à la gestion intégrée dans les plates</w:t>
      </w:r>
      <w:r>
        <w:noBreakHyphen/>
      </w:r>
      <w:r w:rsidRPr="00255476">
        <w:t>formes des villes intelligentes</w:t>
      </w:r>
    </w:p>
    <w:p w14:paraId="4A8FB768" w14:textId="77777777" w:rsidR="00531550" w:rsidRPr="00531550" w:rsidRDefault="00531550" w:rsidP="0083639F">
      <w:pPr>
        <w:pStyle w:val="headingb"/>
      </w:pPr>
      <w:r w:rsidRPr="00531550">
        <w:t>Résumé</w:t>
      </w:r>
    </w:p>
    <w:p w14:paraId="067BF6FD" w14:textId="5DA93229" w:rsidR="00531550" w:rsidRPr="00531550" w:rsidRDefault="00531550" w:rsidP="00531550">
      <w:pPr>
        <w:rPr>
          <w:bCs/>
        </w:rPr>
      </w:pPr>
      <w:r w:rsidRPr="00531550">
        <w:rPr>
          <w:bCs/>
        </w:rPr>
        <w:t>Cette Recommandation a pour objet de présenter les plates-formes de suivi des événements en temps réel et de gestion intégrée (EMM) et les exigences qui s'y rapportent. Une plate-forme EMM est un type de plate-forme de ville intelligente (SCP) (voir la Recommandation UIT-T Y.4201), qui vise en particulier à permettre aux autorités internes et externes de la ville de prendre des décisions éclairées et de réagir rapidement aux événements susceptibles de se produire dans la ville grâce à une surveillance en temps réel, afin d'améliorer l'efficacité des services municipaux rendus aux citoyens.</w:t>
      </w:r>
    </w:p>
    <w:p w14:paraId="5CBEF218" w14:textId="64ED0336" w:rsidR="00531550" w:rsidRPr="00531550" w:rsidRDefault="00531550" w:rsidP="00255476">
      <w:pPr>
        <w:pStyle w:val="Heading1"/>
      </w:pPr>
      <w:r w:rsidRPr="00531550">
        <w:t>3</w:t>
      </w:r>
      <w:r w:rsidRPr="00531550">
        <w:tab/>
        <w:t>Projet de nouvelle Recommandation UIT-T Y.4237 (ex Y.dt-IWCS) [</w:t>
      </w:r>
      <w:r w:rsidR="00255476">
        <w:t>Document </w:t>
      </w:r>
      <w:hyperlink r:id="rId15" w:history="1">
        <w:r w:rsidRPr="00255476">
          <w:rPr>
            <w:rStyle w:val="Hyperlink"/>
          </w:rPr>
          <w:t>SG20</w:t>
        </w:r>
        <w:r w:rsidR="00255476">
          <w:rPr>
            <w:rStyle w:val="Hyperlink"/>
          </w:rPr>
          <w:noBreakHyphen/>
        </w:r>
        <w:r w:rsidRPr="00255476">
          <w:rPr>
            <w:rStyle w:val="Hyperlink"/>
          </w:rPr>
          <w:t>R4</w:t>
        </w:r>
      </w:hyperlink>
      <w:r w:rsidRPr="00531550">
        <w:t>]</w:t>
      </w:r>
    </w:p>
    <w:p w14:paraId="245A66AD" w14:textId="77777777" w:rsidR="00531550" w:rsidRPr="00531550" w:rsidRDefault="00531550" w:rsidP="00255476">
      <w:pPr>
        <w:pStyle w:val="headingb"/>
      </w:pPr>
      <w:r w:rsidRPr="00531550">
        <w:t>Exigences et cadre des capacités pour les jumeaux numériques utilisés pour le système intelligent de conservation des eaux</w:t>
      </w:r>
    </w:p>
    <w:p w14:paraId="3B21BA2A" w14:textId="77777777" w:rsidR="00531550" w:rsidRPr="00531550" w:rsidRDefault="00531550" w:rsidP="00255476">
      <w:pPr>
        <w:pStyle w:val="headingb"/>
      </w:pPr>
      <w:r w:rsidRPr="00531550">
        <w:t>Résumé</w:t>
      </w:r>
    </w:p>
    <w:p w14:paraId="17EFA365" w14:textId="5A746E53" w:rsidR="00531550" w:rsidRPr="00531550" w:rsidRDefault="00531550" w:rsidP="00531550">
      <w:pPr>
        <w:rPr>
          <w:bCs/>
        </w:rPr>
      </w:pPr>
      <w:r w:rsidRPr="00531550">
        <w:rPr>
          <w:bCs/>
        </w:rPr>
        <w:t>Cette Recommandation définit les exigences et le cadre des capacités du jumeau numérique du système intelligent de conservation des eaux (DT-IWCS).</w:t>
      </w:r>
    </w:p>
    <w:p w14:paraId="5F5C0DC4" w14:textId="77777777" w:rsidR="00531550" w:rsidRPr="00531550" w:rsidRDefault="00531550" w:rsidP="00255476">
      <w:pPr>
        <w:keepLines/>
        <w:rPr>
          <w:bCs/>
        </w:rPr>
      </w:pPr>
      <w:r w:rsidRPr="00531550">
        <w:rPr>
          <w:bCs/>
        </w:rPr>
        <w:lastRenderedPageBreak/>
        <w:t>La conservation des eaux s'impose comme un facteur important de la planification de l'utilisation des ressources hydriques. Un système intelligent de conservation des eaux reposant sur un jumeau numérique permet de surveiller, commander et gérer de manière intelligente le recours à la conservation des eaux en s'appuyant sur les interactions, dans le jumeau numérique, entre les objets numériques et les objets physiques du système intelligent de conservation des eaux.</w:t>
      </w:r>
    </w:p>
    <w:p w14:paraId="6988FB42" w14:textId="703849B0" w:rsidR="00531550" w:rsidRPr="00531550" w:rsidRDefault="00531550" w:rsidP="007D6625">
      <w:pPr>
        <w:pStyle w:val="Heading1"/>
        <w:spacing w:before="360"/>
      </w:pPr>
      <w:r w:rsidRPr="00531550">
        <w:t>4</w:t>
      </w:r>
      <w:r w:rsidRPr="00531550">
        <w:tab/>
        <w:t>Projet de nouvelle Recommandation UIT-T Y.4496 (ex Y.RA-PHE) [</w:t>
      </w:r>
      <w:r w:rsidR="00255476">
        <w:t xml:space="preserve">Document </w:t>
      </w:r>
      <w:hyperlink r:id="rId16" w:history="1">
        <w:r w:rsidRPr="00255476">
          <w:rPr>
            <w:rStyle w:val="Hyperlink"/>
          </w:rPr>
          <w:t>SG20-R5</w:t>
        </w:r>
      </w:hyperlink>
      <w:r w:rsidRPr="00531550">
        <w:t>]</w:t>
      </w:r>
    </w:p>
    <w:p w14:paraId="471BF1C3" w14:textId="77777777" w:rsidR="00531550" w:rsidRPr="00531550" w:rsidRDefault="00531550" w:rsidP="00255476">
      <w:pPr>
        <w:pStyle w:val="headingb"/>
      </w:pPr>
      <w:r w:rsidRPr="00531550">
        <w:t>Exigences et architecture de référence d'un service intelligent destiné au système de gestion des urgences de santé publique</w:t>
      </w:r>
    </w:p>
    <w:p w14:paraId="16169711" w14:textId="77777777" w:rsidR="00531550" w:rsidRPr="00531550" w:rsidRDefault="00531550" w:rsidP="00255476">
      <w:pPr>
        <w:pStyle w:val="headingb"/>
      </w:pPr>
      <w:r w:rsidRPr="00531550">
        <w:t>Résumé</w:t>
      </w:r>
    </w:p>
    <w:p w14:paraId="7BAE16C0" w14:textId="77777777" w:rsidR="00531550" w:rsidRPr="00531550" w:rsidRDefault="00531550" w:rsidP="00531550">
      <w:pPr>
        <w:rPr>
          <w:bCs/>
        </w:rPr>
      </w:pPr>
      <w:r w:rsidRPr="00531550">
        <w:rPr>
          <w:bCs/>
        </w:rPr>
        <w:t>Cette Recommandation donne les exigences et l'architecture de référence applicables à un système informatique intelligent pour la gestion des urgences de santé publique, qui peut être mis en place afin de parer aux risques présents et futurs dans le domaine de la santé publique.</w:t>
      </w:r>
    </w:p>
    <w:p w14:paraId="60ABD110" w14:textId="2D57D2E9" w:rsidR="00531550" w:rsidRPr="00531550" w:rsidRDefault="00531550" w:rsidP="007D6625">
      <w:pPr>
        <w:pStyle w:val="Heading1"/>
        <w:spacing w:before="360"/>
      </w:pPr>
      <w:r w:rsidRPr="00531550">
        <w:t>5</w:t>
      </w:r>
      <w:r w:rsidRPr="00531550">
        <w:tab/>
        <w:t>Projet de nouvelle Recommandation UIT-T Y.4708 (ex Y.IoT-DPE) [</w:t>
      </w:r>
      <w:r w:rsidR="00255476">
        <w:t xml:space="preserve">Document </w:t>
      </w:r>
      <w:hyperlink r:id="rId17" w:history="1">
        <w:r w:rsidRPr="00255476">
          <w:rPr>
            <w:rStyle w:val="Hyperlink"/>
          </w:rPr>
          <w:t>SG20-R6</w:t>
        </w:r>
      </w:hyperlink>
      <w:r w:rsidRPr="00531550">
        <w:t>]</w:t>
      </w:r>
    </w:p>
    <w:p w14:paraId="3A8042D5" w14:textId="77777777" w:rsidR="00531550" w:rsidRPr="00531550" w:rsidRDefault="00531550" w:rsidP="00255476">
      <w:pPr>
        <w:pStyle w:val="headingb"/>
      </w:pPr>
      <w:r w:rsidRPr="00531550">
        <w:t>Cadre de gestion pour les équipements électriques répartis fondés sur l'IoT</w:t>
      </w:r>
    </w:p>
    <w:p w14:paraId="6590AE0F" w14:textId="77777777" w:rsidR="00531550" w:rsidRPr="00531550" w:rsidRDefault="00531550" w:rsidP="00255476">
      <w:pPr>
        <w:pStyle w:val="headingb"/>
      </w:pPr>
      <w:r w:rsidRPr="00531550">
        <w:t>Résumé</w:t>
      </w:r>
    </w:p>
    <w:p w14:paraId="7A7256A1" w14:textId="77777777" w:rsidR="00531550" w:rsidRPr="00531550" w:rsidRDefault="00531550" w:rsidP="00531550">
      <w:pPr>
        <w:rPr>
          <w:bCs/>
        </w:rPr>
      </w:pPr>
      <w:r w:rsidRPr="00531550">
        <w:rPr>
          <w:bCs/>
        </w:rPr>
        <w:t>L'adoption de technologies intelligentes dans les équipements électriques et l'intégration de ces derniers avec l'Internet des objets (IoT) est une tendance qui s'est accentuée ces dernières années. L'utilisation de capteurs répartis et des systèmes IoT associés permet de bénéficier de fonctions telles que la surveillance de l'état des équipements, l'évaluation de diagnostics et l'aide à la décision pendant la maintenance. Par ailleurs, le fonctionnement sûr, stable et fiable des équipements électriques dépend également de la collaboration efficace de nombreux dispositifs de détection et de commande IoT. Il devient ainsi de plus en plus urgent de disposer de systèmes unifiés de gestion et de coordination des équipements électriques et des dispositifs de détection et de commande associés qui s'appuient sur une technologie IoT répartie.</w:t>
      </w:r>
    </w:p>
    <w:p w14:paraId="0F724EE2" w14:textId="77777777" w:rsidR="00531550" w:rsidRPr="00531550" w:rsidRDefault="00531550" w:rsidP="00531550">
      <w:pPr>
        <w:rPr>
          <w:bCs/>
        </w:rPr>
      </w:pPr>
      <w:r w:rsidRPr="00531550">
        <w:rPr>
          <w:bCs/>
        </w:rPr>
        <w:t>Cette Recommandation définit le cadre de gestion pour les équipements électriques répartis fondés sur l'IoT, y compris le cadre, les systèmes fonctionnels et les interfaces de référence.</w:t>
      </w:r>
    </w:p>
    <w:p w14:paraId="2F48F943" w14:textId="5F145C12" w:rsidR="00531550" w:rsidRPr="00531550" w:rsidRDefault="00531550" w:rsidP="007D6625">
      <w:pPr>
        <w:pStyle w:val="Heading1"/>
        <w:spacing w:before="360"/>
      </w:pPr>
      <w:r w:rsidRPr="00531550">
        <w:t>6</w:t>
      </w:r>
      <w:r w:rsidRPr="00531550">
        <w:tab/>
        <w:t>Projet de nouvelle Recommandation UIT-T Y.4609 (ex Y.metadata-EPI) [</w:t>
      </w:r>
      <w:r w:rsidR="00255476">
        <w:t>Document </w:t>
      </w:r>
      <w:hyperlink r:id="rId18" w:history="1">
        <w:r w:rsidRPr="00255476">
          <w:rPr>
            <w:rStyle w:val="Hyperlink"/>
          </w:rPr>
          <w:t>SG20</w:t>
        </w:r>
        <w:r w:rsidR="00255476">
          <w:rPr>
            <w:rStyle w:val="Hyperlink"/>
          </w:rPr>
          <w:noBreakHyphen/>
        </w:r>
        <w:r w:rsidRPr="00255476">
          <w:rPr>
            <w:rStyle w:val="Hyperlink"/>
          </w:rPr>
          <w:t>R7</w:t>
        </w:r>
      </w:hyperlink>
      <w:r w:rsidRPr="00531550">
        <w:t>]</w:t>
      </w:r>
    </w:p>
    <w:p w14:paraId="1D8F4BEB" w14:textId="77777777" w:rsidR="00531550" w:rsidRPr="00531550" w:rsidRDefault="00531550" w:rsidP="00255476">
      <w:pPr>
        <w:pStyle w:val="headingb"/>
      </w:pPr>
      <w:r w:rsidRPr="00531550">
        <w:t>Métadonnées d'inventaire pour un système de surveillance de l'infrastructure d'énergie électrique fondé sur l'Internet des objets</w:t>
      </w:r>
    </w:p>
    <w:p w14:paraId="1D604247" w14:textId="77777777" w:rsidR="00531550" w:rsidRPr="00531550" w:rsidRDefault="00531550" w:rsidP="00255476">
      <w:pPr>
        <w:pStyle w:val="headingb"/>
      </w:pPr>
      <w:r w:rsidRPr="00531550">
        <w:t>Résumé</w:t>
      </w:r>
    </w:p>
    <w:p w14:paraId="10DB5159" w14:textId="7411B3CB" w:rsidR="00531550" w:rsidRPr="00531550" w:rsidRDefault="00531550" w:rsidP="00531550">
      <w:pPr>
        <w:rPr>
          <w:bCs/>
        </w:rPr>
      </w:pPr>
      <w:r w:rsidRPr="00531550">
        <w:rPr>
          <w:bCs/>
        </w:rPr>
        <w:t>Le déploiement généralisé des systèmes de surveillance des infrastructures électriques fondés sur l'Internet des objets (IoT-EPIMS) a permis d'accroître la numérisation et l'intelligence des systèmes d'électricité. Toutefois, en raison de la variabilité des systèmes, l'adéquation et la qualité de fonctionnement varient considérablement lors de la surveillance d'un événement spécifique, ce qui complique l'utilisation efficace du système de surveillance. La création de métadonnées pour un système de surveillance de l'infrastructure électrique fondé sur l'IoT peut améliorer efficacement les capacités de gestion et d'application des données et doter les villes intelligentes de services énergétiques plus transparents, plus intelligents et plus évolués. On trouvera dans cette Recommandation une description des données d'inventaire pour le système de surveillance de l'infrastructure électrique fondé sur l'IoT.</w:t>
      </w:r>
    </w:p>
    <w:p w14:paraId="48CC759C" w14:textId="1B5CC961" w:rsidR="00531550" w:rsidRPr="00531550" w:rsidRDefault="00531550" w:rsidP="00E23217">
      <w:pPr>
        <w:pStyle w:val="Heading1"/>
      </w:pPr>
      <w:r w:rsidRPr="00531550">
        <w:lastRenderedPageBreak/>
        <w:t>7</w:t>
      </w:r>
      <w:r w:rsidRPr="00531550">
        <w:tab/>
        <w:t>Projet de nouvelle Recommandation UIT-T Y.4813 (ex Y.iepi-dm-sa) [</w:t>
      </w:r>
      <w:r w:rsidR="00E23217">
        <w:t>Document </w:t>
      </w:r>
      <w:hyperlink r:id="rId19" w:history="1">
        <w:r w:rsidRPr="00E23217">
          <w:rPr>
            <w:rStyle w:val="Hyperlink"/>
          </w:rPr>
          <w:t>SG20-R8</w:t>
        </w:r>
      </w:hyperlink>
      <w:r w:rsidRPr="00531550">
        <w:t>]</w:t>
      </w:r>
    </w:p>
    <w:p w14:paraId="66C8B6F0" w14:textId="77777777" w:rsidR="00531550" w:rsidRPr="00531550" w:rsidRDefault="00531550" w:rsidP="00E23217">
      <w:pPr>
        <w:pStyle w:val="headingb"/>
      </w:pPr>
      <w:r w:rsidRPr="00531550">
        <w:t>Cadre d'évaluation de la sécurité de la gestion des données dans les infrastructures d'énergie électrique basées sur l'Internet des objets</w:t>
      </w:r>
    </w:p>
    <w:p w14:paraId="3D1F0A27" w14:textId="77777777" w:rsidR="00531550" w:rsidRPr="00531550" w:rsidRDefault="00531550" w:rsidP="00E23217">
      <w:pPr>
        <w:pStyle w:val="headingb"/>
      </w:pPr>
      <w:r w:rsidRPr="00531550">
        <w:t>Résumé</w:t>
      </w:r>
    </w:p>
    <w:p w14:paraId="6AD54266" w14:textId="756C417A" w:rsidR="00531550" w:rsidRPr="00531550" w:rsidRDefault="00531550" w:rsidP="00531550">
      <w:pPr>
        <w:rPr>
          <w:bCs/>
        </w:rPr>
      </w:pPr>
      <w:r w:rsidRPr="00531550">
        <w:rPr>
          <w:bCs/>
        </w:rPr>
        <w:t>L'évaluation de la sécurité de la gestion des données concerne plusieurs aspects du cycle de vie des données relatives à l'infrastructure d'énergie électrique basée sur l'Internet des objets (IoT-EPI), en</w:t>
      </w:r>
      <w:r w:rsidR="00E23217">
        <w:rPr>
          <w:bCs/>
        </w:rPr>
        <w:t> </w:t>
      </w:r>
      <w:r w:rsidRPr="00531550">
        <w:rPr>
          <w:bCs/>
        </w:rPr>
        <w:t>particulier la collecte, la transmission, le stockage, le traitement et le service des données. En</w:t>
      </w:r>
      <w:r w:rsidR="00E23217">
        <w:rPr>
          <w:bCs/>
        </w:rPr>
        <w:t xml:space="preserve"> </w:t>
      </w:r>
      <w:r w:rsidRPr="00531550">
        <w:rPr>
          <w:bCs/>
        </w:rPr>
        <w:t>évaluant les capacités de sécurité à chaque étape du cycle de vie des données, l'évaluation de la sécurité vise d'une part à promouvoir l'atténuation des menaces et des risques de sécurité associés à l'infrastructure électrique basée sur l'IoT, et d'autre part à assurer la fourniture de services de données plus efficaces et mieux sécurisés dans les villes intelligentes.</w:t>
      </w:r>
    </w:p>
    <w:p w14:paraId="126120CB" w14:textId="5518D689" w:rsidR="00531550" w:rsidRPr="00531550" w:rsidRDefault="00531550" w:rsidP="00531550">
      <w:pPr>
        <w:rPr>
          <w:bCs/>
        </w:rPr>
      </w:pPr>
      <w:r w:rsidRPr="00531550">
        <w:rPr>
          <w:bCs/>
        </w:rPr>
        <w:t>Cette Recommandation décrit un cadre d'évaluation de la sécurité ainsi que les facteurs d'évaluation pertinents pour la gestion des données dans une infrastructure IoT-EPI.</w:t>
      </w:r>
    </w:p>
    <w:p w14:paraId="3333C837" w14:textId="531E3339" w:rsidR="00531550" w:rsidRPr="00531550" w:rsidRDefault="00531550" w:rsidP="00E23217">
      <w:pPr>
        <w:pStyle w:val="Heading1"/>
      </w:pPr>
      <w:r w:rsidRPr="00531550">
        <w:t>8</w:t>
      </w:r>
      <w:r w:rsidRPr="00531550">
        <w:tab/>
        <w:t>Projet de nouvelle Recommandation UIT-T Y.4814 (ex Y.IoT-acs-fra) [</w:t>
      </w:r>
      <w:r w:rsidR="00E23217">
        <w:t>Document </w:t>
      </w:r>
      <w:hyperlink r:id="rId20" w:history="1">
        <w:r w:rsidRPr="00E23217">
          <w:rPr>
            <w:rStyle w:val="Hyperlink"/>
          </w:rPr>
          <w:t>SG20</w:t>
        </w:r>
        <w:r w:rsidR="00E23217" w:rsidRPr="00E23217">
          <w:rPr>
            <w:rStyle w:val="Hyperlink"/>
          </w:rPr>
          <w:noBreakHyphen/>
        </w:r>
        <w:r w:rsidRPr="00E23217">
          <w:rPr>
            <w:rStyle w:val="Hyperlink"/>
          </w:rPr>
          <w:t>R9</w:t>
        </w:r>
      </w:hyperlink>
      <w:r w:rsidRPr="00531550">
        <w:t>]</w:t>
      </w:r>
    </w:p>
    <w:p w14:paraId="6494AFDC" w14:textId="2FDCBC13" w:rsidR="00531550" w:rsidRPr="00531550" w:rsidRDefault="00531550" w:rsidP="00E23217">
      <w:pPr>
        <w:pStyle w:val="headingb"/>
      </w:pPr>
      <w:r w:rsidRPr="00531550">
        <w:t xml:space="preserve">Exigences fonctionnelles et architecture du service de contrôle d'accès d'une plate-forme </w:t>
      </w:r>
      <w:r w:rsidR="00E23217">
        <w:t>de l'Internet des objets (</w:t>
      </w:r>
      <w:r w:rsidRPr="00531550">
        <w:t>IoT</w:t>
      </w:r>
      <w:r w:rsidR="00E23217">
        <w:t>)</w:t>
      </w:r>
      <w:r w:rsidRPr="00531550">
        <w:t xml:space="preserve"> reposant sur la technologie de confiance zéro dans des environnements décentralisés</w:t>
      </w:r>
    </w:p>
    <w:p w14:paraId="372B6882" w14:textId="77777777" w:rsidR="00531550" w:rsidRPr="00531550" w:rsidRDefault="00531550" w:rsidP="00E23217">
      <w:pPr>
        <w:pStyle w:val="headingb"/>
      </w:pPr>
      <w:r w:rsidRPr="00531550">
        <w:t>Résumé</w:t>
      </w:r>
    </w:p>
    <w:p w14:paraId="1755180C" w14:textId="0D28197A" w:rsidR="00531550" w:rsidRPr="00531550" w:rsidRDefault="00531550" w:rsidP="00531550">
      <w:pPr>
        <w:rPr>
          <w:bCs/>
        </w:rPr>
      </w:pPr>
      <w:r w:rsidRPr="00531550">
        <w:rPr>
          <w:bCs/>
        </w:rPr>
        <w:t>Les plates-formes de l'Internet des objets (IoT) exploitées dans des environnements décentralisés font face à des défis importants quand il s'agit d'établir la confiance entre des entités IoT (dispositifs, services, passerelles IoT) qui interagissent entre elles. Les solutions traditionnelles de contrôle d'accès des plates-formes IoT (telles que le contrôle périmétrique, l'authentification par mot de passe, les réseaux privés virtuels) ne permettent pas de relever pleinement ces défis, en</w:t>
      </w:r>
      <w:r w:rsidR="00E23217">
        <w:rPr>
          <w:bCs/>
        </w:rPr>
        <w:t> </w:t>
      </w:r>
      <w:r w:rsidRPr="00531550">
        <w:rPr>
          <w:bCs/>
        </w:rPr>
        <w:t>particulier lorsque les entités IoT sont déployées dans des environnements décentralisés.</w:t>
      </w:r>
    </w:p>
    <w:p w14:paraId="36884F83" w14:textId="6C88F7AD" w:rsidR="00531550" w:rsidRPr="00531550" w:rsidRDefault="00531550" w:rsidP="00531550">
      <w:pPr>
        <w:rPr>
          <w:bCs/>
        </w:rPr>
      </w:pPr>
      <w:r w:rsidRPr="00531550">
        <w:rPr>
          <w:bCs/>
        </w:rPr>
        <w:t>La confiance zéro est un principe de cybersécurité qui regroupe un ensemble de concepts et de notions conçus pour limiter l'incertitude lors de la prise de décisions d'accès précises, à la demande et fondées sur la règle du moindre privilège dans les systèmes et les services d'information, dans le contexte d'un réseau considéré comme compromis</w:t>
      </w:r>
      <w:r w:rsidR="00390EC7">
        <w:rPr>
          <w:bCs/>
        </w:rPr>
        <w:t xml:space="preserve"> </w:t>
      </w:r>
      <w:r w:rsidR="00390EC7" w:rsidRPr="00390EC7">
        <w:rPr>
          <w:bCs/>
        </w:rPr>
        <w:t>[b-NIST SP 800-207]</w:t>
      </w:r>
      <w:r w:rsidRPr="00531550">
        <w:rPr>
          <w:bCs/>
        </w:rPr>
        <w:t>. Dans les solutions de contrôle d'accès reposant sur la confiance zéro, il n'est plus obligatoire de déterminer les droits d'accès en fonction de l'emplacement et du domaine de sécurité pour permettre aux entités IoT de découvrir d'autres entités IoT sur la même plate-forme IoT ou d'autres plates-formes IoT, et d'accéder à ces entités. Il reste cependant nécessaire de déterminer les droits d'accès lors du traitement des demandes visant à découvrir les entités IoT et y accéder dans des plates-formes IoT. Les solutions de contrôle d'accès reposant sur la confiance zéro conviennent aux plates-formes IoT dans les environnements décentralisés.</w:t>
      </w:r>
    </w:p>
    <w:p w14:paraId="265F358D" w14:textId="77777777" w:rsidR="00531550" w:rsidRPr="00531550" w:rsidRDefault="00531550" w:rsidP="00531550">
      <w:pPr>
        <w:rPr>
          <w:bCs/>
        </w:rPr>
      </w:pPr>
      <w:r w:rsidRPr="00531550">
        <w:rPr>
          <w:bCs/>
        </w:rPr>
        <w:t>Cette Recommandation présente un service de contrôle d'accès pour les plates-formes IoT dans les environnements décentralisés reposant sur la confiance zéro, ainsi que les caractéristiques techniques, les exigences fonctionnelles et l'architecture d'un tel service.</w:t>
      </w:r>
    </w:p>
    <w:p w14:paraId="2D961759" w14:textId="190738C6" w:rsidR="00531550" w:rsidRPr="00531550" w:rsidRDefault="00531550" w:rsidP="00E23217">
      <w:pPr>
        <w:pStyle w:val="Heading1"/>
      </w:pPr>
      <w:r w:rsidRPr="00531550">
        <w:lastRenderedPageBreak/>
        <w:t>9</w:t>
      </w:r>
      <w:r w:rsidRPr="00531550">
        <w:tab/>
        <w:t>Projet de nouvelle Recommandation UIT-T Y.4911 (ex Y.KPI-Flood) [</w:t>
      </w:r>
      <w:r w:rsidR="00E23217">
        <w:t>Document </w:t>
      </w:r>
      <w:hyperlink r:id="rId21" w:history="1">
        <w:r w:rsidRPr="00E23217">
          <w:rPr>
            <w:rStyle w:val="Hyperlink"/>
          </w:rPr>
          <w:t>SG20</w:t>
        </w:r>
        <w:r w:rsidR="00E23217" w:rsidRPr="00E23217">
          <w:rPr>
            <w:rStyle w:val="Hyperlink"/>
          </w:rPr>
          <w:noBreakHyphen/>
        </w:r>
        <w:r w:rsidRPr="00E23217">
          <w:rPr>
            <w:rStyle w:val="Hyperlink"/>
          </w:rPr>
          <w:t>R10</w:t>
        </w:r>
      </w:hyperlink>
      <w:r w:rsidRPr="00531550">
        <w:t>]</w:t>
      </w:r>
    </w:p>
    <w:p w14:paraId="720A82DA" w14:textId="77777777" w:rsidR="00531550" w:rsidRPr="00531550" w:rsidRDefault="00531550" w:rsidP="00E23217">
      <w:pPr>
        <w:pStyle w:val="headingb"/>
      </w:pPr>
      <w:r w:rsidRPr="00531550">
        <w:t>Indicateurs fondamentaux de performance de la capacité de prévention et d'atténuation des catastrophes liées aux inondations urbaines fondée sur les TIC</w:t>
      </w:r>
    </w:p>
    <w:p w14:paraId="184AD704" w14:textId="77777777" w:rsidR="00531550" w:rsidRPr="00531550" w:rsidRDefault="00531550" w:rsidP="00E23217">
      <w:pPr>
        <w:pStyle w:val="headingb"/>
      </w:pPr>
      <w:r w:rsidRPr="00531550">
        <w:t>Résumé</w:t>
      </w:r>
    </w:p>
    <w:p w14:paraId="3B647157" w14:textId="0A2764A3" w:rsidR="00517A03" w:rsidRDefault="00531550" w:rsidP="00531550">
      <w:pPr>
        <w:rPr>
          <w:bCs/>
        </w:rPr>
      </w:pPr>
      <w:r w:rsidRPr="00531550">
        <w:rPr>
          <w:bCs/>
        </w:rPr>
        <w:t>Les inondations sont des catastrophes qui constituent un péril majeur pour la sécurité des villes. Il existe de nombreux types de soutien par les données pour la prévention et l'atténuation des inondations; toutefois, les villes auraient tout intérêt à réaliser une évaluation complète des capacités de soutien par les données. La présente Recommandation spécifie un ensemble d'indicateurs fondamentaux de performance permettant d'évaluer les capacités de soutien par les données reposant sur les TIC pour la prévention et l'atténuation des inondations en milieu urbain.</w:t>
      </w:r>
    </w:p>
    <w:p w14:paraId="54CBD16E" w14:textId="4CC558A2" w:rsidR="00E23217" w:rsidRDefault="00E23217" w:rsidP="00531550">
      <w:pPr>
        <w:rPr>
          <w:bCs/>
        </w:rPr>
      </w:pPr>
      <w:r>
        <w:rPr>
          <w:bCs/>
        </w:rPr>
        <w:br w:type="page"/>
      </w:r>
    </w:p>
    <w:p w14:paraId="7C2E09A5" w14:textId="1F148138" w:rsidR="00E23217" w:rsidRPr="002B4BAC" w:rsidRDefault="00E23217" w:rsidP="00E23217">
      <w:pPr>
        <w:pStyle w:val="AnnexTitle"/>
        <w:rPr>
          <w:spacing w:val="-4"/>
          <w:lang w:val="fr-CH"/>
        </w:rPr>
      </w:pPr>
      <w:r w:rsidRPr="00C01902">
        <w:lastRenderedPageBreak/>
        <w:t>ANNEXE 2</w:t>
      </w:r>
      <w:r>
        <w:br/>
      </w:r>
      <w:r>
        <w:br/>
      </w:r>
      <w:proofErr w:type="gramStart"/>
      <w:r w:rsidRPr="002B4BAC">
        <w:rPr>
          <w:spacing w:val="-4"/>
        </w:rPr>
        <w:t>Objet:</w:t>
      </w:r>
      <w:proofErr w:type="gramEnd"/>
      <w:r w:rsidRPr="002B4BAC">
        <w:rPr>
          <w:spacing w:val="-4"/>
        </w:rPr>
        <w:t xml:space="preserve"> Réponse des États Membres à la Circulaire TSB </w:t>
      </w:r>
      <w:proofErr w:type="gramStart"/>
      <w:r w:rsidR="002B4BAC" w:rsidRPr="002B4BAC">
        <w:rPr>
          <w:spacing w:val="-4"/>
        </w:rPr>
        <w:t>39</w:t>
      </w:r>
      <w:r w:rsidRPr="002B4BAC">
        <w:rPr>
          <w:spacing w:val="-4"/>
        </w:rPr>
        <w:t>:</w:t>
      </w:r>
      <w:proofErr w:type="gramEnd"/>
      <w:r w:rsidRPr="002B4BAC">
        <w:rPr>
          <w:spacing w:val="-4"/>
        </w:rPr>
        <w:t xml:space="preserve"> </w:t>
      </w:r>
      <w:r w:rsidR="002B4BAC" w:rsidRPr="002B4BAC">
        <w:rPr>
          <w:spacing w:val="-4"/>
        </w:rPr>
        <w:t xml:space="preserve">Consultation au sujet des textes déterminés des projets de nouvelles Recommandations UIT-T Y.4235 (ex </w:t>
      </w:r>
      <w:proofErr w:type="gramStart"/>
      <w:r w:rsidR="002B4BAC" w:rsidRPr="002B4BAC">
        <w:rPr>
          <w:spacing w:val="-4"/>
        </w:rPr>
        <w:t>Y.PGComNet</w:t>
      </w:r>
      <w:proofErr w:type="gramEnd"/>
      <w:r w:rsidR="002B4BAC" w:rsidRPr="002B4BAC">
        <w:rPr>
          <w:spacing w:val="-4"/>
        </w:rPr>
        <w:t>-Reqts), UIT-T Y.4236 (ex</w:t>
      </w:r>
      <w:r w:rsidR="002B4BAC">
        <w:rPr>
          <w:spacing w:val="-4"/>
        </w:rPr>
        <w:t> </w:t>
      </w:r>
      <w:r w:rsidR="002B4BAC" w:rsidRPr="002B4BAC">
        <w:rPr>
          <w:spacing w:val="-4"/>
        </w:rPr>
        <w:t xml:space="preserve">Y.EMM-Reqts), UIT-T Y.4237 (ex </w:t>
      </w:r>
      <w:proofErr w:type="gramStart"/>
      <w:r w:rsidR="002B4BAC" w:rsidRPr="002B4BAC">
        <w:rPr>
          <w:spacing w:val="-4"/>
        </w:rPr>
        <w:t>Y.dt</w:t>
      </w:r>
      <w:proofErr w:type="gramEnd"/>
      <w:r w:rsidR="002B4BAC" w:rsidRPr="002B4BAC">
        <w:rPr>
          <w:spacing w:val="-4"/>
        </w:rPr>
        <w:t>-IWCS), UIT-T Y.4496 (ex Y.RA-PHE), UIT-T Y.4708</w:t>
      </w:r>
      <w:r w:rsidR="002B4BAC">
        <w:rPr>
          <w:spacing w:val="-4"/>
        </w:rPr>
        <w:br/>
      </w:r>
      <w:r w:rsidR="002B4BAC" w:rsidRPr="002B4BAC">
        <w:rPr>
          <w:spacing w:val="-4"/>
        </w:rPr>
        <w:t xml:space="preserve">(ex </w:t>
      </w:r>
      <w:proofErr w:type="gramStart"/>
      <w:r w:rsidR="002B4BAC" w:rsidRPr="002B4BAC">
        <w:rPr>
          <w:spacing w:val="-4"/>
        </w:rPr>
        <w:t>Y.IoT</w:t>
      </w:r>
      <w:proofErr w:type="gramEnd"/>
      <w:r w:rsidR="002B4BAC" w:rsidRPr="002B4BAC">
        <w:rPr>
          <w:spacing w:val="-4"/>
        </w:rPr>
        <w:t xml:space="preserve">-DPE), UIT-T Y.4609 (ex </w:t>
      </w:r>
      <w:proofErr w:type="gramStart"/>
      <w:r w:rsidR="002B4BAC" w:rsidRPr="002B4BAC">
        <w:rPr>
          <w:spacing w:val="-4"/>
        </w:rPr>
        <w:t>Y.metadata</w:t>
      </w:r>
      <w:proofErr w:type="gramEnd"/>
      <w:r w:rsidR="002B4BAC" w:rsidRPr="002B4BAC">
        <w:rPr>
          <w:spacing w:val="-4"/>
        </w:rPr>
        <w:t xml:space="preserve">-EPI), UIT-T Y.4813 (ex </w:t>
      </w:r>
      <w:proofErr w:type="gramStart"/>
      <w:r w:rsidR="002B4BAC" w:rsidRPr="002B4BAC">
        <w:rPr>
          <w:spacing w:val="-4"/>
        </w:rPr>
        <w:t>Y.iepi</w:t>
      </w:r>
      <w:proofErr w:type="gramEnd"/>
      <w:r w:rsidR="002B4BAC" w:rsidRPr="002B4BAC">
        <w:rPr>
          <w:spacing w:val="-4"/>
        </w:rPr>
        <w:t>-dm-sa),</w:t>
      </w:r>
      <w:r w:rsidR="002B4BAC">
        <w:rPr>
          <w:spacing w:val="-4"/>
        </w:rPr>
        <w:br/>
      </w:r>
      <w:r w:rsidR="002B4BAC" w:rsidRPr="002B4BAC">
        <w:rPr>
          <w:spacing w:val="-4"/>
        </w:rPr>
        <w:t xml:space="preserve">UIT-T Y.4814 (ex </w:t>
      </w:r>
      <w:proofErr w:type="gramStart"/>
      <w:r w:rsidR="002B4BAC" w:rsidRPr="002B4BAC">
        <w:rPr>
          <w:spacing w:val="-4"/>
        </w:rPr>
        <w:t>Y.IoT</w:t>
      </w:r>
      <w:proofErr w:type="gramEnd"/>
      <w:r w:rsidR="002B4BAC" w:rsidRPr="002B4BAC">
        <w:rPr>
          <w:spacing w:val="-4"/>
        </w:rPr>
        <w:t>-acs-fra) et UIT-T Y.4911 (ex Y.KPI-Flood)</w:t>
      </w:r>
    </w:p>
    <w:tbl>
      <w:tblPr>
        <w:tblW w:w="9960" w:type="dxa"/>
        <w:tblInd w:w="-176" w:type="dxa"/>
        <w:tblLayout w:type="fixed"/>
        <w:tblLook w:val="04A0" w:firstRow="1" w:lastRow="0" w:firstColumn="1" w:lastColumn="0" w:noHBand="0" w:noVBand="1"/>
      </w:tblPr>
      <w:tblGrid>
        <w:gridCol w:w="1310"/>
        <w:gridCol w:w="4255"/>
        <w:gridCol w:w="1274"/>
        <w:gridCol w:w="3121"/>
      </w:tblGrid>
      <w:tr w:rsidR="00E23217" w:rsidRPr="00C01902" w14:paraId="5E01FD81" w14:textId="77777777" w:rsidTr="00E674A3">
        <w:tc>
          <w:tcPr>
            <w:tcW w:w="1310" w:type="dxa"/>
            <w:hideMark/>
          </w:tcPr>
          <w:p w14:paraId="0D34E6DF" w14:textId="77777777" w:rsidR="00E23217" w:rsidRPr="00C01902" w:rsidRDefault="00E23217" w:rsidP="00390EC7">
            <w:pPr>
              <w:jc w:val="right"/>
              <w:rPr>
                <w:b/>
                <w:bCs/>
                <w:lang w:val="en-GB"/>
              </w:rPr>
            </w:pPr>
            <w:r w:rsidRPr="00C01902">
              <w:rPr>
                <w:b/>
                <w:bCs/>
              </w:rPr>
              <w:t>Au:</w:t>
            </w:r>
          </w:p>
        </w:tc>
        <w:tc>
          <w:tcPr>
            <w:tcW w:w="4255" w:type="dxa"/>
            <w:tcBorders>
              <w:top w:val="nil"/>
              <w:left w:val="nil"/>
              <w:bottom w:val="nil"/>
              <w:right w:val="single" w:sz="8" w:space="0" w:color="auto"/>
            </w:tcBorders>
            <w:hideMark/>
          </w:tcPr>
          <w:p w14:paraId="4189AA17" w14:textId="77777777" w:rsidR="00E23217" w:rsidRPr="00C01902" w:rsidRDefault="00E23217" w:rsidP="00E674A3">
            <w:pPr>
              <w:rPr>
                <w:bCs/>
                <w:lang w:val="fr-CH"/>
              </w:rPr>
            </w:pPr>
            <w:r w:rsidRPr="00C01902">
              <w:rPr>
                <w:bCs/>
              </w:rPr>
              <w:t>Directeur du Bureau de la normalisation des télécommunications</w:t>
            </w:r>
          </w:p>
          <w:p w14:paraId="594F0D38" w14:textId="77777777" w:rsidR="00E23217" w:rsidRPr="00C01902" w:rsidRDefault="00E23217" w:rsidP="00E674A3">
            <w:pPr>
              <w:spacing w:before="0"/>
              <w:rPr>
                <w:bCs/>
                <w:lang w:val="fr-CH"/>
              </w:rPr>
            </w:pPr>
            <w:r w:rsidRPr="00C01902">
              <w:rPr>
                <w:bCs/>
              </w:rPr>
              <w:t>Union internationale des télécommunications</w:t>
            </w:r>
          </w:p>
          <w:p w14:paraId="48BB0784" w14:textId="77777777" w:rsidR="00E23217" w:rsidRPr="00C01902" w:rsidRDefault="00E23217" w:rsidP="00E674A3">
            <w:pPr>
              <w:spacing w:before="0"/>
              <w:rPr>
                <w:bCs/>
                <w:lang w:val="fr-CH"/>
              </w:rPr>
            </w:pPr>
            <w:r w:rsidRPr="00C01902">
              <w:rPr>
                <w:bCs/>
              </w:rPr>
              <w:t>Place des Nations</w:t>
            </w:r>
          </w:p>
          <w:p w14:paraId="4A1C3B8D" w14:textId="77777777" w:rsidR="00E23217" w:rsidRPr="00C01902" w:rsidRDefault="00E23217" w:rsidP="00E674A3">
            <w:pPr>
              <w:spacing w:before="0"/>
              <w:rPr>
                <w:bCs/>
                <w:lang w:val="en-GB"/>
              </w:rPr>
            </w:pPr>
            <w:r w:rsidRPr="00C01902">
              <w:rPr>
                <w:bCs/>
              </w:rPr>
              <w:t>CH-1211 Genève 20, Suisse</w:t>
            </w:r>
          </w:p>
        </w:tc>
        <w:tc>
          <w:tcPr>
            <w:tcW w:w="1274" w:type="dxa"/>
            <w:tcBorders>
              <w:top w:val="nil"/>
              <w:left w:val="single" w:sz="8" w:space="0" w:color="auto"/>
              <w:bottom w:val="nil"/>
              <w:right w:val="nil"/>
            </w:tcBorders>
            <w:hideMark/>
          </w:tcPr>
          <w:p w14:paraId="38257FF1" w14:textId="77777777" w:rsidR="00E23217" w:rsidRPr="00C01902" w:rsidRDefault="00E23217" w:rsidP="00390EC7">
            <w:pPr>
              <w:jc w:val="right"/>
              <w:rPr>
                <w:b/>
                <w:bCs/>
                <w:lang w:val="en-GB"/>
              </w:rPr>
            </w:pPr>
            <w:r w:rsidRPr="00C01902">
              <w:rPr>
                <w:b/>
                <w:bCs/>
              </w:rPr>
              <w:t>De:</w:t>
            </w:r>
          </w:p>
        </w:tc>
        <w:tc>
          <w:tcPr>
            <w:tcW w:w="3121" w:type="dxa"/>
            <w:hideMark/>
          </w:tcPr>
          <w:p w14:paraId="11AA13B9" w14:textId="77777777" w:rsidR="00E23217" w:rsidRPr="002B4BAC" w:rsidRDefault="00E23217" w:rsidP="00E674A3">
            <w:pPr>
              <w:rPr>
                <w:bCs/>
                <w:lang w:val="fr-CH"/>
              </w:rPr>
            </w:pPr>
            <w:r w:rsidRPr="002B4BAC">
              <w:rPr>
                <w:bCs/>
              </w:rPr>
              <w:t>[Nom]</w:t>
            </w:r>
          </w:p>
          <w:p w14:paraId="44C36B83" w14:textId="77777777" w:rsidR="00E23217" w:rsidRPr="002B4BAC" w:rsidRDefault="00E23217" w:rsidP="00E674A3">
            <w:pPr>
              <w:spacing w:before="0"/>
              <w:rPr>
                <w:bCs/>
                <w:lang w:val="fr-CH"/>
              </w:rPr>
            </w:pPr>
            <w:r w:rsidRPr="002B4BAC">
              <w:rPr>
                <w:bCs/>
              </w:rPr>
              <w:t>[Rôle/titre officiel]</w:t>
            </w:r>
          </w:p>
          <w:p w14:paraId="18004920" w14:textId="77777777" w:rsidR="00E23217" w:rsidRPr="002B4BAC" w:rsidRDefault="00E23217" w:rsidP="00E674A3">
            <w:pPr>
              <w:spacing w:before="0"/>
              <w:rPr>
                <w:bCs/>
                <w:lang w:val="fr-CH"/>
              </w:rPr>
            </w:pPr>
            <w:r w:rsidRPr="002B4BAC">
              <w:rPr>
                <w:bCs/>
              </w:rPr>
              <w:t>[Adresse]</w:t>
            </w:r>
          </w:p>
        </w:tc>
      </w:tr>
      <w:tr w:rsidR="00E23217" w:rsidRPr="00C01902" w14:paraId="60C1D94E" w14:textId="77777777" w:rsidTr="00E674A3">
        <w:tc>
          <w:tcPr>
            <w:tcW w:w="1310" w:type="dxa"/>
            <w:hideMark/>
          </w:tcPr>
          <w:p w14:paraId="0D673680" w14:textId="77777777" w:rsidR="00E23217" w:rsidRPr="00C01902" w:rsidRDefault="00E23217" w:rsidP="00390EC7">
            <w:pPr>
              <w:jc w:val="right"/>
              <w:rPr>
                <w:bCs/>
                <w:lang w:val="en-GB"/>
              </w:rPr>
            </w:pPr>
            <w:r w:rsidRPr="00C01902">
              <w:rPr>
                <w:b/>
                <w:bCs/>
              </w:rPr>
              <w:t>Télécopie:</w:t>
            </w:r>
          </w:p>
        </w:tc>
        <w:tc>
          <w:tcPr>
            <w:tcW w:w="4255" w:type="dxa"/>
            <w:tcBorders>
              <w:top w:val="nil"/>
              <w:left w:val="nil"/>
              <w:bottom w:val="nil"/>
              <w:right w:val="single" w:sz="8" w:space="0" w:color="auto"/>
            </w:tcBorders>
            <w:hideMark/>
          </w:tcPr>
          <w:p w14:paraId="4BA290E9" w14:textId="77777777" w:rsidR="00E23217" w:rsidRPr="00C01902" w:rsidRDefault="00E23217" w:rsidP="00E674A3">
            <w:pPr>
              <w:rPr>
                <w:bCs/>
                <w:lang w:val="en-GB"/>
              </w:rPr>
            </w:pPr>
            <w:r w:rsidRPr="00C01902">
              <w:rPr>
                <w:bCs/>
              </w:rPr>
              <w:t>+41 22 730 5853</w:t>
            </w:r>
          </w:p>
        </w:tc>
        <w:tc>
          <w:tcPr>
            <w:tcW w:w="1274" w:type="dxa"/>
            <w:tcBorders>
              <w:top w:val="nil"/>
              <w:left w:val="single" w:sz="8" w:space="0" w:color="auto"/>
              <w:bottom w:val="nil"/>
              <w:right w:val="nil"/>
            </w:tcBorders>
            <w:hideMark/>
          </w:tcPr>
          <w:p w14:paraId="369E0E44" w14:textId="77777777" w:rsidR="00E23217" w:rsidRPr="00C01902" w:rsidRDefault="00E23217" w:rsidP="00390EC7">
            <w:pPr>
              <w:jc w:val="right"/>
              <w:rPr>
                <w:b/>
                <w:bCs/>
                <w:lang w:val="en-GB"/>
              </w:rPr>
            </w:pPr>
            <w:r w:rsidRPr="00C01902">
              <w:rPr>
                <w:b/>
                <w:bCs/>
              </w:rPr>
              <w:t>Télécopie:</w:t>
            </w:r>
          </w:p>
        </w:tc>
        <w:tc>
          <w:tcPr>
            <w:tcW w:w="3121" w:type="dxa"/>
          </w:tcPr>
          <w:p w14:paraId="68961573" w14:textId="77777777" w:rsidR="00E23217" w:rsidRPr="00C01902" w:rsidRDefault="00E23217" w:rsidP="00E674A3">
            <w:pPr>
              <w:rPr>
                <w:bCs/>
                <w:lang w:val="en-GB"/>
              </w:rPr>
            </w:pPr>
          </w:p>
        </w:tc>
      </w:tr>
      <w:tr w:rsidR="00E23217" w:rsidRPr="00C01902" w14:paraId="61250F1C" w14:textId="77777777" w:rsidTr="00E674A3">
        <w:tc>
          <w:tcPr>
            <w:tcW w:w="1310" w:type="dxa"/>
            <w:hideMark/>
          </w:tcPr>
          <w:p w14:paraId="07BA8132" w14:textId="77777777" w:rsidR="00E23217" w:rsidRPr="00C01902" w:rsidRDefault="00E23217" w:rsidP="00390EC7">
            <w:pPr>
              <w:jc w:val="right"/>
              <w:rPr>
                <w:b/>
                <w:bCs/>
                <w:lang w:val="en-GB"/>
              </w:rPr>
            </w:pPr>
            <w:r w:rsidRPr="00C01902">
              <w:rPr>
                <w:b/>
                <w:bCs/>
              </w:rPr>
              <w:t>Courriel:</w:t>
            </w:r>
          </w:p>
        </w:tc>
        <w:tc>
          <w:tcPr>
            <w:tcW w:w="4255" w:type="dxa"/>
            <w:tcBorders>
              <w:top w:val="nil"/>
              <w:left w:val="nil"/>
              <w:bottom w:val="nil"/>
              <w:right w:val="single" w:sz="8" w:space="0" w:color="auto"/>
            </w:tcBorders>
            <w:hideMark/>
          </w:tcPr>
          <w:p w14:paraId="18FB184F" w14:textId="77777777" w:rsidR="00E23217" w:rsidRPr="00C01902" w:rsidRDefault="00E23217" w:rsidP="00E674A3">
            <w:pPr>
              <w:rPr>
                <w:bCs/>
                <w:lang w:val="en-GB"/>
              </w:rPr>
            </w:pPr>
            <w:hyperlink r:id="rId22" w:history="1">
              <w:r w:rsidRPr="00C01902">
                <w:rPr>
                  <w:rStyle w:val="Hyperlink"/>
                  <w:bCs/>
                  <w:lang w:val="en-GB"/>
                </w:rPr>
                <w:t xml:space="preserve">tsbdir@itu.int </w:t>
              </w:r>
            </w:hyperlink>
          </w:p>
        </w:tc>
        <w:tc>
          <w:tcPr>
            <w:tcW w:w="1274" w:type="dxa"/>
            <w:tcBorders>
              <w:top w:val="nil"/>
              <w:left w:val="single" w:sz="8" w:space="0" w:color="auto"/>
              <w:bottom w:val="nil"/>
              <w:right w:val="nil"/>
            </w:tcBorders>
            <w:hideMark/>
          </w:tcPr>
          <w:p w14:paraId="73E04A90" w14:textId="77777777" w:rsidR="00E23217" w:rsidRPr="00C01902" w:rsidRDefault="00E23217" w:rsidP="00390EC7">
            <w:pPr>
              <w:jc w:val="right"/>
              <w:rPr>
                <w:b/>
                <w:bCs/>
                <w:lang w:val="en-GB"/>
              </w:rPr>
            </w:pPr>
            <w:r w:rsidRPr="00C01902">
              <w:rPr>
                <w:b/>
                <w:bCs/>
              </w:rPr>
              <w:t>Courriel:</w:t>
            </w:r>
          </w:p>
        </w:tc>
        <w:tc>
          <w:tcPr>
            <w:tcW w:w="3121" w:type="dxa"/>
          </w:tcPr>
          <w:p w14:paraId="7E997B88" w14:textId="77777777" w:rsidR="00E23217" w:rsidRPr="00C01902" w:rsidRDefault="00E23217" w:rsidP="00E674A3">
            <w:pPr>
              <w:rPr>
                <w:bCs/>
                <w:lang w:val="en-GB"/>
              </w:rPr>
            </w:pPr>
          </w:p>
        </w:tc>
      </w:tr>
      <w:tr w:rsidR="00E23217" w:rsidRPr="00C01902" w14:paraId="498A82AB" w14:textId="77777777" w:rsidTr="00E674A3">
        <w:tc>
          <w:tcPr>
            <w:tcW w:w="1310" w:type="dxa"/>
          </w:tcPr>
          <w:p w14:paraId="65C18501" w14:textId="77777777" w:rsidR="00E23217" w:rsidRPr="00C01902" w:rsidRDefault="00E23217" w:rsidP="00E674A3">
            <w:pPr>
              <w:rPr>
                <w:bCs/>
                <w:lang w:val="en-GB"/>
              </w:rPr>
            </w:pPr>
          </w:p>
        </w:tc>
        <w:tc>
          <w:tcPr>
            <w:tcW w:w="4255" w:type="dxa"/>
            <w:tcBorders>
              <w:top w:val="nil"/>
              <w:left w:val="nil"/>
              <w:bottom w:val="nil"/>
              <w:right w:val="single" w:sz="8" w:space="0" w:color="auto"/>
            </w:tcBorders>
          </w:tcPr>
          <w:p w14:paraId="4C185D6A" w14:textId="77777777" w:rsidR="00E23217" w:rsidRPr="00C01902" w:rsidRDefault="00E23217" w:rsidP="00E674A3">
            <w:pPr>
              <w:rPr>
                <w:bCs/>
                <w:lang w:val="en-GB"/>
              </w:rPr>
            </w:pPr>
          </w:p>
        </w:tc>
        <w:tc>
          <w:tcPr>
            <w:tcW w:w="1274" w:type="dxa"/>
            <w:tcBorders>
              <w:top w:val="nil"/>
              <w:left w:val="single" w:sz="8" w:space="0" w:color="auto"/>
              <w:bottom w:val="nil"/>
              <w:right w:val="nil"/>
            </w:tcBorders>
            <w:hideMark/>
          </w:tcPr>
          <w:p w14:paraId="5DC4947B" w14:textId="77777777" w:rsidR="00E23217" w:rsidRPr="00C01902" w:rsidRDefault="00E23217" w:rsidP="00390EC7">
            <w:pPr>
              <w:jc w:val="right"/>
              <w:rPr>
                <w:b/>
                <w:bCs/>
                <w:lang w:val="en-GB"/>
              </w:rPr>
            </w:pPr>
            <w:r w:rsidRPr="00C01902">
              <w:rPr>
                <w:b/>
                <w:bCs/>
              </w:rPr>
              <w:t>Date:</w:t>
            </w:r>
          </w:p>
        </w:tc>
        <w:tc>
          <w:tcPr>
            <w:tcW w:w="3121" w:type="dxa"/>
            <w:hideMark/>
          </w:tcPr>
          <w:p w14:paraId="59811EE1" w14:textId="77777777" w:rsidR="00E23217" w:rsidRPr="00C01902" w:rsidRDefault="00E23217" w:rsidP="00E674A3">
            <w:pPr>
              <w:rPr>
                <w:bCs/>
                <w:lang w:val="en-GB"/>
              </w:rPr>
            </w:pPr>
            <w:r w:rsidRPr="002B4BAC">
              <w:rPr>
                <w:bCs/>
              </w:rPr>
              <w:t>[Lieu,] [Date]</w:t>
            </w:r>
          </w:p>
        </w:tc>
      </w:tr>
    </w:tbl>
    <w:p w14:paraId="61C3A74C" w14:textId="77777777" w:rsidR="00E23217" w:rsidRPr="00C01902" w:rsidRDefault="00E23217" w:rsidP="00E23217">
      <w:pPr>
        <w:pStyle w:val="Normalaftertitle"/>
        <w:rPr>
          <w:lang w:val="en-GB"/>
        </w:rPr>
      </w:pPr>
      <w:r w:rsidRPr="00C01902">
        <w:t>Madame, Monsieur,</w:t>
      </w:r>
    </w:p>
    <w:p w14:paraId="29F5EBE6" w14:textId="64209F93" w:rsidR="00E23217" w:rsidRPr="00C01902" w:rsidRDefault="00E23217" w:rsidP="00E23217">
      <w:pPr>
        <w:spacing w:after="120"/>
        <w:rPr>
          <w:bCs/>
          <w:lang w:val="fr-CH"/>
        </w:rPr>
      </w:pPr>
      <w:r w:rsidRPr="00C01902">
        <w:rPr>
          <w:bCs/>
        </w:rPr>
        <w:t xml:space="preserve">Dans le cadre de la consultation des États Membres au sujet des projets de texte déterminé dont il est question dans la Circulaire TSB </w:t>
      </w:r>
      <w:r w:rsidR="002B4BAC">
        <w:rPr>
          <w:bCs/>
        </w:rPr>
        <w:t>39</w:t>
      </w:r>
      <w:r w:rsidRPr="00C01902">
        <w:rPr>
          <w:bCs/>
        </w:rPr>
        <w:t xml:space="preserve">, </w:t>
      </w:r>
      <w:r w:rsidR="002B4BAC" w:rsidRPr="002B4BAC">
        <w:rPr>
          <w:bCs/>
        </w:rPr>
        <w:t>je souhaite vous faire connaître par la présente le point de vue de mon Administration, qui figure dans le tableau ci-après</w:t>
      </w:r>
      <w:r w:rsidRPr="00C01902">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E23217" w:rsidRPr="00C01902" w14:paraId="5814072C" w14:textId="77777777" w:rsidTr="00E674A3">
        <w:trPr>
          <w:tblHeader/>
        </w:trPr>
        <w:tc>
          <w:tcPr>
            <w:tcW w:w="2263" w:type="dxa"/>
            <w:tcBorders>
              <w:top w:val="single" w:sz="4" w:space="0" w:color="auto"/>
              <w:left w:val="single" w:sz="4" w:space="0" w:color="auto"/>
              <w:bottom w:val="single" w:sz="4" w:space="0" w:color="auto"/>
              <w:right w:val="single" w:sz="4" w:space="0" w:color="auto"/>
            </w:tcBorders>
            <w:vAlign w:val="center"/>
          </w:tcPr>
          <w:p w14:paraId="5A678F80" w14:textId="77777777" w:rsidR="00E23217" w:rsidRPr="00976EC8" w:rsidRDefault="00E23217" w:rsidP="00E674A3">
            <w:pPr>
              <w:pStyle w:val="TableHead"/>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51F8FD23" w14:textId="77777777" w:rsidR="00E23217" w:rsidRPr="00976EC8" w:rsidRDefault="00E23217" w:rsidP="00E674A3">
            <w:pPr>
              <w:pStyle w:val="TableHead"/>
              <w:rPr>
                <w:sz w:val="24"/>
                <w:szCs w:val="24"/>
                <w:lang w:val="fr-CH"/>
              </w:rPr>
            </w:pPr>
            <w:r w:rsidRPr="00976EC8">
              <w:rPr>
                <w:sz w:val="24"/>
                <w:szCs w:val="24"/>
              </w:rPr>
              <w:t>Cochez l'une des deux cases pour chaque texte</w:t>
            </w:r>
          </w:p>
        </w:tc>
      </w:tr>
      <w:tr w:rsidR="00E23217" w:rsidRPr="00C01902" w14:paraId="6B7F55D0" w14:textId="77777777" w:rsidTr="00E674A3">
        <w:trPr>
          <w:trHeight w:val="748"/>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3640C90" w14:textId="7CCF64D4" w:rsidR="00E23217" w:rsidRPr="00976EC8" w:rsidRDefault="002B4BAC" w:rsidP="00E674A3">
            <w:pPr>
              <w:pStyle w:val="TableText"/>
              <w:jc w:val="center"/>
              <w:rPr>
                <w:b/>
                <w:bCs/>
                <w:sz w:val="24"/>
                <w:szCs w:val="24"/>
                <w:lang w:val="fr-CH"/>
              </w:rPr>
            </w:pPr>
            <w:r w:rsidRPr="00976EC8">
              <w:rPr>
                <w:b/>
                <w:bCs/>
                <w:sz w:val="24"/>
                <w:szCs w:val="24"/>
              </w:rPr>
              <w:t>Projet de nouvelle Recommandation UIT-T Y.4235 (ex Y.PGComNet-Reqts)</w:t>
            </w:r>
          </w:p>
        </w:tc>
        <w:tc>
          <w:tcPr>
            <w:tcW w:w="7456" w:type="dxa"/>
            <w:tcBorders>
              <w:top w:val="single" w:sz="4" w:space="0" w:color="auto"/>
              <w:left w:val="single" w:sz="4" w:space="0" w:color="auto"/>
              <w:bottom w:val="single" w:sz="4" w:space="0" w:color="auto"/>
              <w:right w:val="single" w:sz="4" w:space="0" w:color="auto"/>
            </w:tcBorders>
            <w:vAlign w:val="center"/>
            <w:hideMark/>
          </w:tcPr>
          <w:p w14:paraId="0042A12C" w14:textId="789D8AE4" w:rsidR="00E23217" w:rsidRPr="00976EC8" w:rsidRDefault="00E23217" w:rsidP="00E674A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w:t>
            </w:r>
            <w:r w:rsidR="002B4BAC" w:rsidRPr="00976EC8">
              <w:rPr>
                <w:szCs w:val="24"/>
              </w:rPr>
              <w:t>0</w:t>
            </w:r>
            <w:r w:rsidRPr="00976EC8">
              <w:rPr>
                <w:szCs w:val="24"/>
              </w:rPr>
              <w:t xml:space="preserve"> à procéder à l'examen de ce document en vue de son approbation (dans ce cas, sélectionnez l'une des deux options):</w:t>
            </w:r>
          </w:p>
          <w:p w14:paraId="172DB295" w14:textId="77777777" w:rsidR="00E23217" w:rsidRPr="00976EC8" w:rsidRDefault="00E23217" w:rsidP="00E674A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4F28CE4E" w14:textId="77777777" w:rsidR="00E23217" w:rsidRPr="00976EC8" w:rsidRDefault="00E23217" w:rsidP="00E674A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Des commentaires ou propositions de modification sont joints à la présente.</w:t>
            </w:r>
          </w:p>
        </w:tc>
      </w:tr>
      <w:tr w:rsidR="00E23217" w:rsidRPr="00C01902" w14:paraId="07826ECB" w14:textId="77777777" w:rsidTr="00E674A3">
        <w:trPr>
          <w:trHeight w:val="74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F0C09EC" w14:textId="77777777" w:rsidR="00E23217" w:rsidRPr="00976EC8" w:rsidRDefault="00E23217" w:rsidP="00E674A3">
            <w:pPr>
              <w:pStyle w:val="TableText"/>
              <w:jc w:val="center"/>
              <w:rPr>
                <w:b/>
                <w:bCs/>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5BE551DD" w14:textId="66103F69" w:rsidR="00E23217" w:rsidRPr="00976EC8" w:rsidRDefault="00E23217" w:rsidP="00E674A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w:t>
            </w:r>
            <w:r w:rsidR="002B4BAC" w:rsidRPr="00976EC8">
              <w:rPr>
                <w:szCs w:val="24"/>
              </w:rPr>
              <w:t>0</w:t>
            </w:r>
            <w:r w:rsidRPr="00976EC8">
              <w:rPr>
                <w:szCs w:val="24"/>
              </w:rPr>
              <w:t xml:space="preserve">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E23217" w:rsidRPr="00C01902" w14:paraId="6A9ECA8F" w14:textId="77777777" w:rsidTr="00E674A3">
        <w:trPr>
          <w:trHeight w:val="748"/>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1E11D9D" w14:textId="42C43434" w:rsidR="00E23217" w:rsidRPr="00976EC8" w:rsidRDefault="002B4BAC" w:rsidP="00E674A3">
            <w:pPr>
              <w:pStyle w:val="TableText"/>
              <w:jc w:val="center"/>
              <w:rPr>
                <w:b/>
                <w:bCs/>
                <w:sz w:val="24"/>
                <w:szCs w:val="24"/>
                <w:lang w:val="fr-CH"/>
              </w:rPr>
            </w:pPr>
            <w:r w:rsidRPr="00976EC8">
              <w:rPr>
                <w:b/>
                <w:bCs/>
                <w:sz w:val="24"/>
                <w:szCs w:val="24"/>
              </w:rPr>
              <w:t>Projet de nouvelle Recommandation UIT-T Y.4236 (ex Y.EMM-Reqts)</w:t>
            </w:r>
          </w:p>
        </w:tc>
        <w:tc>
          <w:tcPr>
            <w:tcW w:w="7456" w:type="dxa"/>
            <w:tcBorders>
              <w:top w:val="single" w:sz="4" w:space="0" w:color="auto"/>
              <w:left w:val="single" w:sz="4" w:space="0" w:color="auto"/>
              <w:bottom w:val="single" w:sz="4" w:space="0" w:color="auto"/>
              <w:right w:val="single" w:sz="4" w:space="0" w:color="auto"/>
            </w:tcBorders>
            <w:vAlign w:val="center"/>
            <w:hideMark/>
          </w:tcPr>
          <w:p w14:paraId="2439EEE5" w14:textId="16969DB2" w:rsidR="00E23217" w:rsidRPr="00976EC8" w:rsidRDefault="00E23217" w:rsidP="00E674A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w:t>
            </w:r>
            <w:r w:rsidR="002B4BAC" w:rsidRPr="00976EC8">
              <w:rPr>
                <w:szCs w:val="24"/>
              </w:rPr>
              <w:t>0</w:t>
            </w:r>
            <w:r w:rsidRPr="00976EC8">
              <w:rPr>
                <w:szCs w:val="24"/>
              </w:rPr>
              <w:t xml:space="preserve"> à procéder à l'examen de ce document en vue de son approbation (dans ce cas, sélectionnez l'une des deux options):</w:t>
            </w:r>
          </w:p>
          <w:p w14:paraId="5D8E9F61" w14:textId="77777777" w:rsidR="00E23217" w:rsidRPr="00976EC8" w:rsidRDefault="00E23217" w:rsidP="00E674A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4385446C" w14:textId="77777777" w:rsidR="00E23217" w:rsidRPr="00976EC8" w:rsidRDefault="00E23217" w:rsidP="00E674A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E23217" w:rsidRPr="00C01902" w14:paraId="7B4F2977" w14:textId="77777777" w:rsidTr="00E674A3">
        <w:trPr>
          <w:trHeight w:val="74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8CDBC4B" w14:textId="77777777" w:rsidR="00E23217" w:rsidRPr="00976EC8" w:rsidRDefault="00E23217" w:rsidP="00E674A3">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hideMark/>
          </w:tcPr>
          <w:p w14:paraId="37BD7C1D" w14:textId="185D9A08" w:rsidR="00E23217" w:rsidRPr="00976EC8" w:rsidRDefault="00E23217" w:rsidP="00E674A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w:t>
            </w:r>
            <w:r w:rsidR="002B4BAC" w:rsidRPr="00976EC8">
              <w:rPr>
                <w:szCs w:val="24"/>
              </w:rPr>
              <w:t>0</w:t>
            </w:r>
            <w:r w:rsidRPr="00976EC8">
              <w:rPr>
                <w:szCs w:val="24"/>
              </w:rPr>
              <w:t xml:space="preserve">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2B4BAC" w:rsidRPr="00C01902" w14:paraId="6084FC35" w14:textId="77777777" w:rsidTr="00BD428B">
        <w:trPr>
          <w:trHeight w:val="747"/>
        </w:trPr>
        <w:tc>
          <w:tcPr>
            <w:tcW w:w="2263" w:type="dxa"/>
            <w:vMerge w:val="restart"/>
            <w:tcBorders>
              <w:top w:val="single" w:sz="4" w:space="0" w:color="auto"/>
              <w:left w:val="single" w:sz="4" w:space="0" w:color="auto"/>
              <w:right w:val="single" w:sz="4" w:space="0" w:color="auto"/>
            </w:tcBorders>
            <w:vAlign w:val="center"/>
          </w:tcPr>
          <w:p w14:paraId="0BE0F796" w14:textId="26D7901E" w:rsidR="002B4BAC" w:rsidRPr="00976EC8" w:rsidRDefault="002B4BAC" w:rsidP="002B4BAC">
            <w:pPr>
              <w:pStyle w:val="TableText"/>
              <w:keepLines/>
              <w:jc w:val="center"/>
              <w:rPr>
                <w:b/>
                <w:bCs/>
                <w:sz w:val="24"/>
                <w:szCs w:val="24"/>
                <w:lang w:val="fr-CH"/>
              </w:rPr>
            </w:pPr>
            <w:r w:rsidRPr="00976EC8">
              <w:rPr>
                <w:b/>
                <w:bCs/>
                <w:sz w:val="24"/>
                <w:szCs w:val="24"/>
                <w:lang w:val="fr-CH"/>
              </w:rPr>
              <w:lastRenderedPageBreak/>
              <w:t>Projet de nouvelle Recommandation UIT-T Y.423</w:t>
            </w:r>
            <w:r w:rsidR="00390EC7">
              <w:rPr>
                <w:b/>
                <w:bCs/>
                <w:sz w:val="24"/>
                <w:szCs w:val="24"/>
                <w:lang w:val="fr-CH"/>
              </w:rPr>
              <w:t>7</w:t>
            </w:r>
            <w:r w:rsidRPr="00976EC8">
              <w:rPr>
                <w:b/>
                <w:bCs/>
                <w:sz w:val="24"/>
                <w:szCs w:val="24"/>
                <w:lang w:val="fr-CH"/>
              </w:rPr>
              <w:t xml:space="preserve"> (</w:t>
            </w:r>
            <w:r w:rsidR="00390EC7" w:rsidRPr="00390EC7">
              <w:rPr>
                <w:b/>
                <w:bCs/>
                <w:sz w:val="24"/>
                <w:szCs w:val="24"/>
                <w:lang w:val="fr-CH"/>
              </w:rPr>
              <w:t>ex</w:t>
            </w:r>
            <w:r w:rsidR="00390EC7">
              <w:rPr>
                <w:b/>
                <w:bCs/>
                <w:sz w:val="24"/>
                <w:szCs w:val="24"/>
                <w:lang w:val="fr-CH"/>
              </w:rPr>
              <w:t> </w:t>
            </w:r>
            <w:proofErr w:type="spellStart"/>
            <w:r w:rsidR="00390EC7" w:rsidRPr="00390EC7">
              <w:rPr>
                <w:b/>
                <w:bCs/>
                <w:sz w:val="24"/>
                <w:szCs w:val="24"/>
                <w:lang w:val="fr-CH"/>
              </w:rPr>
              <w:t>Y.dt</w:t>
            </w:r>
            <w:proofErr w:type="spellEnd"/>
            <w:r w:rsidR="00390EC7" w:rsidRPr="00390EC7">
              <w:rPr>
                <w:b/>
                <w:bCs/>
                <w:sz w:val="24"/>
                <w:szCs w:val="24"/>
                <w:lang w:val="fr-CH"/>
              </w:rPr>
              <w:t>-IWCS</w:t>
            </w:r>
            <w:r w:rsidRPr="00976EC8">
              <w:rPr>
                <w:b/>
                <w:bCs/>
                <w:sz w:val="24"/>
                <w:szCs w:val="24"/>
                <w:lang w:val="fr-CH"/>
              </w:rPr>
              <w:t>)</w:t>
            </w:r>
          </w:p>
        </w:tc>
        <w:tc>
          <w:tcPr>
            <w:tcW w:w="7456" w:type="dxa"/>
            <w:tcBorders>
              <w:top w:val="single" w:sz="4" w:space="0" w:color="auto"/>
              <w:left w:val="single" w:sz="4" w:space="0" w:color="auto"/>
              <w:bottom w:val="single" w:sz="4" w:space="0" w:color="auto"/>
              <w:right w:val="single" w:sz="4" w:space="0" w:color="auto"/>
            </w:tcBorders>
            <w:vAlign w:val="center"/>
          </w:tcPr>
          <w:p w14:paraId="32C1BC59" w14:textId="77777777" w:rsidR="002B4BAC" w:rsidRPr="00976EC8" w:rsidRDefault="002B4BAC" w:rsidP="002B4BAC">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4D636E29" w14:textId="77777777" w:rsidR="002B4BAC" w:rsidRPr="00976EC8" w:rsidRDefault="002B4BAC" w:rsidP="002B4BAC">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5086DACE" w14:textId="7A85EDD6" w:rsidR="002B4BAC" w:rsidRPr="00976EC8" w:rsidRDefault="002B4BAC" w:rsidP="002B4BAC">
            <w:pPr>
              <w:pStyle w:val="enumlev2"/>
              <w:rPr>
                <w:rFonts w:cstheme="minorHAnsi"/>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2B4BAC" w:rsidRPr="00C01902" w14:paraId="70CF6B45" w14:textId="77777777" w:rsidTr="00BD428B">
        <w:trPr>
          <w:trHeight w:val="747"/>
        </w:trPr>
        <w:tc>
          <w:tcPr>
            <w:tcW w:w="2263" w:type="dxa"/>
            <w:vMerge/>
            <w:tcBorders>
              <w:left w:val="single" w:sz="4" w:space="0" w:color="auto"/>
              <w:bottom w:val="single" w:sz="4" w:space="0" w:color="auto"/>
              <w:right w:val="single" w:sz="4" w:space="0" w:color="auto"/>
            </w:tcBorders>
            <w:vAlign w:val="center"/>
          </w:tcPr>
          <w:p w14:paraId="1C75486E" w14:textId="77777777" w:rsidR="002B4BAC" w:rsidRPr="00976EC8" w:rsidRDefault="002B4BAC" w:rsidP="00E674A3">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5A685D48" w14:textId="59EAD42F" w:rsidR="002B4BAC" w:rsidRPr="00976EC8" w:rsidRDefault="002B4BAC" w:rsidP="00E674A3">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2A44C1" w:rsidRPr="00C01902" w14:paraId="77E32E2C" w14:textId="77777777" w:rsidTr="00911AE8">
        <w:trPr>
          <w:trHeight w:val="747"/>
        </w:trPr>
        <w:tc>
          <w:tcPr>
            <w:tcW w:w="2263" w:type="dxa"/>
            <w:vMerge w:val="restart"/>
            <w:tcBorders>
              <w:top w:val="single" w:sz="4" w:space="0" w:color="auto"/>
              <w:left w:val="single" w:sz="4" w:space="0" w:color="auto"/>
              <w:right w:val="single" w:sz="4" w:space="0" w:color="auto"/>
            </w:tcBorders>
            <w:vAlign w:val="center"/>
          </w:tcPr>
          <w:p w14:paraId="15B63FCA" w14:textId="35D50810" w:rsidR="002A44C1" w:rsidRPr="00976EC8" w:rsidRDefault="002A44C1" w:rsidP="002A44C1">
            <w:pPr>
              <w:pStyle w:val="TableText"/>
              <w:keepLines/>
              <w:jc w:val="center"/>
              <w:rPr>
                <w:b/>
                <w:bCs/>
                <w:sz w:val="24"/>
                <w:szCs w:val="24"/>
                <w:lang w:val="fr-CH"/>
              </w:rPr>
            </w:pPr>
            <w:r w:rsidRPr="00976EC8">
              <w:rPr>
                <w:b/>
                <w:bCs/>
                <w:sz w:val="24"/>
                <w:szCs w:val="24"/>
                <w:lang w:val="fr-CH"/>
              </w:rPr>
              <w:t>Projet de nouvelle Recommandation UIT-T Y.4496</w:t>
            </w:r>
            <w:r w:rsidRPr="00976EC8">
              <w:rPr>
                <w:b/>
                <w:bCs/>
                <w:sz w:val="24"/>
                <w:szCs w:val="24"/>
                <w:lang w:val="fr-CH"/>
              </w:rPr>
              <w:br/>
              <w:t>(ex Y.RA-PHE)</w:t>
            </w:r>
          </w:p>
        </w:tc>
        <w:tc>
          <w:tcPr>
            <w:tcW w:w="7456" w:type="dxa"/>
            <w:tcBorders>
              <w:top w:val="single" w:sz="4" w:space="0" w:color="auto"/>
              <w:left w:val="single" w:sz="4" w:space="0" w:color="auto"/>
              <w:bottom w:val="single" w:sz="4" w:space="0" w:color="auto"/>
              <w:right w:val="single" w:sz="4" w:space="0" w:color="auto"/>
            </w:tcBorders>
            <w:vAlign w:val="center"/>
          </w:tcPr>
          <w:p w14:paraId="124C56D3" w14:textId="77777777" w:rsidR="002A44C1" w:rsidRPr="00976EC8" w:rsidRDefault="002A44C1" w:rsidP="002A44C1">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15AB9D18" w14:textId="77777777" w:rsidR="002A44C1" w:rsidRPr="00976EC8" w:rsidRDefault="002A44C1" w:rsidP="002A44C1">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0BB9F470" w14:textId="73B65D49" w:rsidR="002A44C1" w:rsidRPr="00976EC8" w:rsidRDefault="002A44C1" w:rsidP="002A44C1">
            <w:pPr>
              <w:pStyle w:val="enumlev2"/>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2A44C1" w:rsidRPr="00C01902" w14:paraId="12CAC39A" w14:textId="77777777" w:rsidTr="00911AE8">
        <w:trPr>
          <w:trHeight w:val="747"/>
        </w:trPr>
        <w:tc>
          <w:tcPr>
            <w:tcW w:w="2263" w:type="dxa"/>
            <w:vMerge/>
            <w:tcBorders>
              <w:left w:val="single" w:sz="4" w:space="0" w:color="auto"/>
              <w:bottom w:val="single" w:sz="4" w:space="0" w:color="auto"/>
              <w:right w:val="single" w:sz="4" w:space="0" w:color="auto"/>
            </w:tcBorders>
            <w:vAlign w:val="center"/>
          </w:tcPr>
          <w:p w14:paraId="021D2236" w14:textId="77777777" w:rsidR="002A44C1" w:rsidRPr="00976EC8" w:rsidRDefault="002A44C1" w:rsidP="002A44C1">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32B632E2" w14:textId="20DB0085" w:rsidR="002A44C1" w:rsidRPr="00976EC8" w:rsidRDefault="002A44C1" w:rsidP="002A44C1">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2A44C1" w:rsidRPr="00C01902" w14:paraId="6D048A4A" w14:textId="77777777" w:rsidTr="00F907C9">
        <w:trPr>
          <w:trHeight w:val="747"/>
        </w:trPr>
        <w:tc>
          <w:tcPr>
            <w:tcW w:w="2263" w:type="dxa"/>
            <w:vMerge w:val="restart"/>
            <w:tcBorders>
              <w:top w:val="single" w:sz="4" w:space="0" w:color="auto"/>
              <w:left w:val="single" w:sz="4" w:space="0" w:color="auto"/>
              <w:right w:val="single" w:sz="4" w:space="0" w:color="auto"/>
            </w:tcBorders>
            <w:vAlign w:val="center"/>
          </w:tcPr>
          <w:p w14:paraId="4101079F" w14:textId="1BB6EE30" w:rsidR="002A44C1" w:rsidRPr="00976EC8" w:rsidRDefault="002A44C1" w:rsidP="002A44C1">
            <w:pPr>
              <w:pStyle w:val="TableText"/>
              <w:keepLines/>
              <w:jc w:val="center"/>
              <w:rPr>
                <w:sz w:val="24"/>
                <w:szCs w:val="24"/>
                <w:lang w:val="fr-CH"/>
              </w:rPr>
            </w:pPr>
            <w:r w:rsidRPr="00976EC8">
              <w:rPr>
                <w:b/>
                <w:bCs/>
                <w:sz w:val="24"/>
                <w:szCs w:val="24"/>
                <w:lang w:val="fr-CH"/>
              </w:rPr>
              <w:t>Projet de nouvelle Recommandation UIT-T Y.4708 (ex Y.IoT-DPE)</w:t>
            </w:r>
          </w:p>
        </w:tc>
        <w:tc>
          <w:tcPr>
            <w:tcW w:w="7456" w:type="dxa"/>
            <w:tcBorders>
              <w:top w:val="single" w:sz="4" w:space="0" w:color="auto"/>
              <w:left w:val="single" w:sz="4" w:space="0" w:color="auto"/>
              <w:bottom w:val="single" w:sz="4" w:space="0" w:color="auto"/>
              <w:right w:val="single" w:sz="4" w:space="0" w:color="auto"/>
            </w:tcBorders>
            <w:vAlign w:val="center"/>
          </w:tcPr>
          <w:p w14:paraId="7C628882" w14:textId="77777777" w:rsidR="002A44C1" w:rsidRPr="00976EC8" w:rsidRDefault="002A44C1" w:rsidP="002A44C1">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6B1BEFB7" w14:textId="77777777" w:rsidR="002A44C1" w:rsidRPr="00976EC8" w:rsidRDefault="002A44C1" w:rsidP="002A44C1">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5F8E3142" w14:textId="29C82F80" w:rsidR="002A44C1" w:rsidRPr="00976EC8" w:rsidRDefault="002A44C1" w:rsidP="002A44C1">
            <w:pPr>
              <w:pStyle w:val="enumlev2"/>
              <w:rPr>
                <w:rFonts w:cstheme="minorHAnsi"/>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2A44C1" w:rsidRPr="00C01902" w14:paraId="14163018" w14:textId="77777777" w:rsidTr="00F907C9">
        <w:trPr>
          <w:trHeight w:val="747"/>
        </w:trPr>
        <w:tc>
          <w:tcPr>
            <w:tcW w:w="2263" w:type="dxa"/>
            <w:vMerge/>
            <w:tcBorders>
              <w:left w:val="single" w:sz="4" w:space="0" w:color="auto"/>
              <w:bottom w:val="single" w:sz="4" w:space="0" w:color="auto"/>
              <w:right w:val="single" w:sz="4" w:space="0" w:color="auto"/>
            </w:tcBorders>
            <w:vAlign w:val="center"/>
          </w:tcPr>
          <w:p w14:paraId="22E6E823" w14:textId="77777777" w:rsidR="002A44C1" w:rsidRPr="00976EC8" w:rsidRDefault="002A44C1" w:rsidP="002A44C1">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0F6440CA" w14:textId="0CAFA1F2" w:rsidR="002A44C1" w:rsidRPr="00976EC8" w:rsidRDefault="002A44C1" w:rsidP="002A44C1">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2A44C1" w:rsidRPr="00C01902" w14:paraId="327B94A0" w14:textId="77777777" w:rsidTr="005B2461">
        <w:trPr>
          <w:trHeight w:val="747"/>
        </w:trPr>
        <w:tc>
          <w:tcPr>
            <w:tcW w:w="2263" w:type="dxa"/>
            <w:vMerge w:val="restart"/>
            <w:tcBorders>
              <w:top w:val="single" w:sz="4" w:space="0" w:color="auto"/>
              <w:left w:val="single" w:sz="4" w:space="0" w:color="auto"/>
              <w:right w:val="single" w:sz="4" w:space="0" w:color="auto"/>
            </w:tcBorders>
            <w:vAlign w:val="center"/>
          </w:tcPr>
          <w:p w14:paraId="427B902C" w14:textId="3FE76010" w:rsidR="002A44C1" w:rsidRPr="00976EC8" w:rsidRDefault="002A44C1" w:rsidP="002A44C1">
            <w:pPr>
              <w:pStyle w:val="TableText"/>
              <w:keepLines/>
              <w:jc w:val="center"/>
              <w:rPr>
                <w:sz w:val="24"/>
                <w:szCs w:val="24"/>
                <w:lang w:val="fr-CH"/>
              </w:rPr>
            </w:pPr>
            <w:r w:rsidRPr="00976EC8">
              <w:rPr>
                <w:b/>
                <w:bCs/>
                <w:sz w:val="24"/>
                <w:szCs w:val="24"/>
                <w:lang w:val="fr-CH"/>
              </w:rPr>
              <w:t>Projet de nouvelle Recommandation UIT-T Y.4609 (ex Y.metadata-EPI)</w:t>
            </w:r>
          </w:p>
        </w:tc>
        <w:tc>
          <w:tcPr>
            <w:tcW w:w="7456" w:type="dxa"/>
            <w:tcBorders>
              <w:top w:val="single" w:sz="4" w:space="0" w:color="auto"/>
              <w:left w:val="single" w:sz="4" w:space="0" w:color="auto"/>
              <w:bottom w:val="single" w:sz="4" w:space="0" w:color="auto"/>
              <w:right w:val="single" w:sz="4" w:space="0" w:color="auto"/>
            </w:tcBorders>
            <w:vAlign w:val="center"/>
          </w:tcPr>
          <w:p w14:paraId="6CF89CC6" w14:textId="77777777" w:rsidR="002A44C1" w:rsidRPr="00976EC8" w:rsidRDefault="002A44C1" w:rsidP="002A44C1">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18A34EC5" w14:textId="77777777" w:rsidR="002A44C1" w:rsidRPr="00976EC8" w:rsidRDefault="002A44C1" w:rsidP="002A44C1">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1956D023" w14:textId="4C119257" w:rsidR="002A44C1" w:rsidRPr="00976EC8" w:rsidRDefault="002A44C1" w:rsidP="002A44C1">
            <w:pPr>
              <w:pStyle w:val="enumlev2"/>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2A44C1" w:rsidRPr="00C01902" w14:paraId="4DE1C35A" w14:textId="77777777" w:rsidTr="005B2461">
        <w:trPr>
          <w:trHeight w:val="747"/>
        </w:trPr>
        <w:tc>
          <w:tcPr>
            <w:tcW w:w="2263" w:type="dxa"/>
            <w:vMerge/>
            <w:tcBorders>
              <w:left w:val="single" w:sz="4" w:space="0" w:color="auto"/>
              <w:bottom w:val="single" w:sz="4" w:space="0" w:color="auto"/>
              <w:right w:val="single" w:sz="4" w:space="0" w:color="auto"/>
            </w:tcBorders>
            <w:vAlign w:val="center"/>
          </w:tcPr>
          <w:p w14:paraId="16052071" w14:textId="77777777" w:rsidR="002A44C1" w:rsidRPr="00976EC8" w:rsidRDefault="002A44C1" w:rsidP="002A44C1">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5DBA4479" w14:textId="48E47A29" w:rsidR="002A44C1" w:rsidRPr="00976EC8" w:rsidRDefault="002A44C1" w:rsidP="002A44C1">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D64923" w:rsidRPr="00C01902" w14:paraId="4D4FBB72" w14:textId="77777777" w:rsidTr="00C551E0">
        <w:trPr>
          <w:trHeight w:val="747"/>
        </w:trPr>
        <w:tc>
          <w:tcPr>
            <w:tcW w:w="2263" w:type="dxa"/>
            <w:vMerge w:val="restart"/>
            <w:tcBorders>
              <w:top w:val="single" w:sz="4" w:space="0" w:color="auto"/>
              <w:left w:val="single" w:sz="4" w:space="0" w:color="auto"/>
              <w:right w:val="single" w:sz="4" w:space="0" w:color="auto"/>
            </w:tcBorders>
            <w:vAlign w:val="center"/>
          </w:tcPr>
          <w:p w14:paraId="7EDECF81" w14:textId="2A85D1A6" w:rsidR="00D64923" w:rsidRPr="00976EC8" w:rsidRDefault="00D64923" w:rsidP="00976724">
            <w:pPr>
              <w:pStyle w:val="TableText"/>
              <w:keepNext/>
              <w:keepLines/>
              <w:jc w:val="center"/>
              <w:rPr>
                <w:sz w:val="24"/>
                <w:szCs w:val="24"/>
                <w:lang w:val="fr-CH"/>
              </w:rPr>
            </w:pPr>
            <w:r w:rsidRPr="00976EC8">
              <w:rPr>
                <w:b/>
                <w:bCs/>
                <w:sz w:val="24"/>
                <w:szCs w:val="24"/>
                <w:lang w:val="fr-CH"/>
              </w:rPr>
              <w:lastRenderedPageBreak/>
              <w:t>Projet de nouvelle Recommandation UIT-T Y.4813 (ex Y.iepi-dm-sa)</w:t>
            </w:r>
          </w:p>
        </w:tc>
        <w:tc>
          <w:tcPr>
            <w:tcW w:w="7456" w:type="dxa"/>
            <w:tcBorders>
              <w:top w:val="single" w:sz="4" w:space="0" w:color="auto"/>
              <w:left w:val="single" w:sz="4" w:space="0" w:color="auto"/>
              <w:bottom w:val="single" w:sz="4" w:space="0" w:color="auto"/>
              <w:right w:val="single" w:sz="4" w:space="0" w:color="auto"/>
            </w:tcBorders>
            <w:vAlign w:val="center"/>
          </w:tcPr>
          <w:p w14:paraId="7CE9DD81" w14:textId="77777777" w:rsidR="00D64923" w:rsidRPr="00976EC8" w:rsidRDefault="00D64923" w:rsidP="00976724">
            <w:pPr>
              <w:pStyle w:val="enumlev1"/>
              <w:keepNext/>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32E38E7B" w14:textId="77777777" w:rsidR="00D64923" w:rsidRPr="00976EC8" w:rsidRDefault="00D64923" w:rsidP="00976724">
            <w:pPr>
              <w:pStyle w:val="enumlev2"/>
              <w:keepNext/>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44CB7B8D" w14:textId="5EDDDED2" w:rsidR="00D64923" w:rsidRPr="00976EC8" w:rsidRDefault="00D64923" w:rsidP="00976724">
            <w:pPr>
              <w:pStyle w:val="enumlev2"/>
              <w:keepNext/>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D64923" w:rsidRPr="00C01902" w14:paraId="348CC830" w14:textId="77777777" w:rsidTr="00C551E0">
        <w:trPr>
          <w:trHeight w:val="747"/>
        </w:trPr>
        <w:tc>
          <w:tcPr>
            <w:tcW w:w="2263" w:type="dxa"/>
            <w:vMerge/>
            <w:tcBorders>
              <w:left w:val="single" w:sz="4" w:space="0" w:color="auto"/>
              <w:bottom w:val="single" w:sz="4" w:space="0" w:color="auto"/>
              <w:right w:val="single" w:sz="4" w:space="0" w:color="auto"/>
            </w:tcBorders>
            <w:vAlign w:val="center"/>
          </w:tcPr>
          <w:p w14:paraId="7DF0BCF3" w14:textId="77777777" w:rsidR="00D64923" w:rsidRPr="00976EC8" w:rsidRDefault="00D64923" w:rsidP="00D64923">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178DC35F" w14:textId="373B2F63" w:rsidR="00D64923" w:rsidRPr="00976EC8" w:rsidRDefault="00D64923" w:rsidP="00D64923">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D64923" w:rsidRPr="00C01902" w14:paraId="692C27CE" w14:textId="77777777" w:rsidTr="00BC088A">
        <w:trPr>
          <w:trHeight w:val="747"/>
        </w:trPr>
        <w:tc>
          <w:tcPr>
            <w:tcW w:w="2263" w:type="dxa"/>
            <w:vMerge w:val="restart"/>
            <w:tcBorders>
              <w:top w:val="single" w:sz="4" w:space="0" w:color="auto"/>
              <w:left w:val="single" w:sz="4" w:space="0" w:color="auto"/>
              <w:right w:val="single" w:sz="4" w:space="0" w:color="auto"/>
            </w:tcBorders>
            <w:vAlign w:val="center"/>
          </w:tcPr>
          <w:p w14:paraId="6BAEC9C9" w14:textId="2E930A2F" w:rsidR="00D64923" w:rsidRPr="00976EC8" w:rsidRDefault="00D64923" w:rsidP="00D64923">
            <w:pPr>
              <w:pStyle w:val="TableText"/>
              <w:keepLines/>
              <w:jc w:val="center"/>
              <w:rPr>
                <w:sz w:val="24"/>
                <w:szCs w:val="24"/>
                <w:lang w:val="fr-CH"/>
              </w:rPr>
            </w:pPr>
            <w:r w:rsidRPr="00976EC8">
              <w:rPr>
                <w:b/>
                <w:bCs/>
                <w:sz w:val="24"/>
                <w:szCs w:val="24"/>
                <w:lang w:val="fr-CH"/>
              </w:rPr>
              <w:t>Projet de nouvelle Recommandation UIT-T Y.4814 (ex Y.IoT-acs-fra)</w:t>
            </w:r>
          </w:p>
        </w:tc>
        <w:tc>
          <w:tcPr>
            <w:tcW w:w="7456" w:type="dxa"/>
            <w:tcBorders>
              <w:top w:val="single" w:sz="4" w:space="0" w:color="auto"/>
              <w:left w:val="single" w:sz="4" w:space="0" w:color="auto"/>
              <w:bottom w:val="single" w:sz="4" w:space="0" w:color="auto"/>
              <w:right w:val="single" w:sz="4" w:space="0" w:color="auto"/>
            </w:tcBorders>
            <w:vAlign w:val="center"/>
          </w:tcPr>
          <w:p w14:paraId="7AF5BB50" w14:textId="77777777" w:rsidR="00D64923" w:rsidRPr="00976EC8" w:rsidRDefault="00D64923" w:rsidP="00D6492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401FECB7" w14:textId="77777777" w:rsidR="00D64923" w:rsidRPr="00976EC8" w:rsidRDefault="00D64923" w:rsidP="00D6492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2B800427" w14:textId="23C8FDAD" w:rsidR="00D64923" w:rsidRPr="00976EC8" w:rsidRDefault="00D64923" w:rsidP="00D64923">
            <w:pPr>
              <w:pStyle w:val="enumlev2"/>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D64923" w:rsidRPr="00C01902" w14:paraId="4816E29C" w14:textId="77777777" w:rsidTr="00BC088A">
        <w:trPr>
          <w:trHeight w:val="747"/>
        </w:trPr>
        <w:tc>
          <w:tcPr>
            <w:tcW w:w="2263" w:type="dxa"/>
            <w:vMerge/>
            <w:tcBorders>
              <w:left w:val="single" w:sz="4" w:space="0" w:color="auto"/>
              <w:bottom w:val="single" w:sz="4" w:space="0" w:color="auto"/>
              <w:right w:val="single" w:sz="4" w:space="0" w:color="auto"/>
            </w:tcBorders>
            <w:vAlign w:val="center"/>
          </w:tcPr>
          <w:p w14:paraId="1C890E82" w14:textId="77777777" w:rsidR="00D64923" w:rsidRPr="00976EC8" w:rsidRDefault="00D64923" w:rsidP="00D64923">
            <w:pPr>
              <w:pStyle w:val="TableText"/>
              <w:rPr>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50FE5530" w14:textId="002F480C" w:rsidR="00D64923" w:rsidRPr="00976EC8" w:rsidRDefault="00D64923" w:rsidP="00D64923">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r w:rsidR="00D64923" w:rsidRPr="00C01902" w14:paraId="13D5FFAE" w14:textId="77777777" w:rsidTr="00A24377">
        <w:trPr>
          <w:trHeight w:val="747"/>
        </w:trPr>
        <w:tc>
          <w:tcPr>
            <w:tcW w:w="2263" w:type="dxa"/>
            <w:vMerge w:val="restart"/>
            <w:tcBorders>
              <w:top w:val="single" w:sz="4" w:space="0" w:color="auto"/>
              <w:left w:val="single" w:sz="4" w:space="0" w:color="auto"/>
              <w:right w:val="single" w:sz="4" w:space="0" w:color="auto"/>
            </w:tcBorders>
            <w:vAlign w:val="center"/>
          </w:tcPr>
          <w:p w14:paraId="1047E6D5" w14:textId="796D23D1" w:rsidR="00D64923" w:rsidRPr="00976EC8" w:rsidRDefault="00D64923" w:rsidP="00D64923">
            <w:pPr>
              <w:pStyle w:val="TableText"/>
              <w:keepLines/>
              <w:jc w:val="center"/>
              <w:rPr>
                <w:b/>
                <w:bCs/>
                <w:sz w:val="24"/>
                <w:szCs w:val="24"/>
                <w:lang w:val="fr-CH"/>
              </w:rPr>
            </w:pPr>
            <w:r w:rsidRPr="00976EC8">
              <w:rPr>
                <w:b/>
                <w:bCs/>
                <w:sz w:val="24"/>
                <w:szCs w:val="24"/>
                <w:lang w:val="fr-CH"/>
              </w:rPr>
              <w:t>Projet de nouvelle Recommandation UIT-T Y.4911 (ex Y.KPI-Flood)</w:t>
            </w:r>
          </w:p>
        </w:tc>
        <w:tc>
          <w:tcPr>
            <w:tcW w:w="7456" w:type="dxa"/>
            <w:tcBorders>
              <w:top w:val="single" w:sz="4" w:space="0" w:color="auto"/>
              <w:left w:val="single" w:sz="4" w:space="0" w:color="auto"/>
              <w:bottom w:val="single" w:sz="4" w:space="0" w:color="auto"/>
              <w:right w:val="single" w:sz="4" w:space="0" w:color="auto"/>
            </w:tcBorders>
            <w:vAlign w:val="center"/>
          </w:tcPr>
          <w:p w14:paraId="7845F278" w14:textId="77777777" w:rsidR="00D64923" w:rsidRPr="00976EC8" w:rsidRDefault="00D64923" w:rsidP="00D64923">
            <w:pPr>
              <w:pStyle w:val="enumlev1"/>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Autorise</w:t>
            </w:r>
            <w:r w:rsidRPr="00976EC8">
              <w:rPr>
                <w:szCs w:val="24"/>
              </w:rPr>
              <w:t xml:space="preserve"> la Commission d'études 20 à procéder à l'examen de ce document en vue de son approbation (dans ce cas, sélectionnez l'une des deux options):</w:t>
            </w:r>
          </w:p>
          <w:p w14:paraId="2E73DCCE" w14:textId="77777777" w:rsidR="00D64923" w:rsidRPr="00976EC8" w:rsidRDefault="00D64923" w:rsidP="00D64923">
            <w:pPr>
              <w:pStyle w:val="enumlev2"/>
              <w:rPr>
                <w:szCs w:val="24"/>
                <w:lang w:val="fr-CH"/>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t>Pas de commentaire ou de proposition de modification.</w:t>
            </w:r>
          </w:p>
          <w:p w14:paraId="316F3F23" w14:textId="2DEAA460" w:rsidR="00D64923" w:rsidRPr="00976EC8" w:rsidRDefault="00D64923" w:rsidP="00D64923">
            <w:pPr>
              <w:pStyle w:val="enumlev2"/>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rFonts w:cstheme="minorHAnsi"/>
                <w:szCs w:val="24"/>
              </w:rPr>
              <w:tab/>
              <w:t>Des commentaires ou propositions de modification sont joints à la présente.</w:t>
            </w:r>
          </w:p>
        </w:tc>
      </w:tr>
      <w:tr w:rsidR="00D64923" w:rsidRPr="00C01902" w14:paraId="46AFBE67" w14:textId="77777777" w:rsidTr="00A24377">
        <w:trPr>
          <w:trHeight w:val="747"/>
        </w:trPr>
        <w:tc>
          <w:tcPr>
            <w:tcW w:w="2263" w:type="dxa"/>
            <w:vMerge/>
            <w:tcBorders>
              <w:left w:val="single" w:sz="4" w:space="0" w:color="auto"/>
              <w:bottom w:val="single" w:sz="4" w:space="0" w:color="auto"/>
              <w:right w:val="single" w:sz="4" w:space="0" w:color="auto"/>
            </w:tcBorders>
            <w:vAlign w:val="center"/>
          </w:tcPr>
          <w:p w14:paraId="6B5C6FCB" w14:textId="77777777" w:rsidR="00D64923" w:rsidRPr="00976EC8" w:rsidRDefault="00D64923" w:rsidP="00D64923">
            <w:pPr>
              <w:pStyle w:val="TableText"/>
              <w:keepLines/>
              <w:jc w:val="center"/>
              <w:rPr>
                <w:b/>
                <w:bCs/>
                <w:sz w:val="24"/>
                <w:szCs w:val="24"/>
                <w:lang w:val="fr-CH"/>
              </w:rPr>
            </w:pPr>
          </w:p>
        </w:tc>
        <w:tc>
          <w:tcPr>
            <w:tcW w:w="7456" w:type="dxa"/>
            <w:tcBorders>
              <w:top w:val="single" w:sz="4" w:space="0" w:color="auto"/>
              <w:left w:val="single" w:sz="4" w:space="0" w:color="auto"/>
              <w:bottom w:val="single" w:sz="4" w:space="0" w:color="auto"/>
              <w:right w:val="single" w:sz="4" w:space="0" w:color="auto"/>
            </w:tcBorders>
            <w:vAlign w:val="center"/>
          </w:tcPr>
          <w:p w14:paraId="5439C10C" w14:textId="7495A97A" w:rsidR="00D64923" w:rsidRPr="00976EC8" w:rsidRDefault="00D64923" w:rsidP="00D64923">
            <w:pPr>
              <w:pStyle w:val="enumlev1"/>
              <w:rPr>
                <w:rFonts w:cstheme="minorHAnsi"/>
                <w:szCs w:val="24"/>
              </w:rPr>
            </w:pPr>
            <w:r w:rsidRPr="00976EC8">
              <w:rPr>
                <w:rFonts w:cstheme="minorHAnsi"/>
                <w:szCs w:val="24"/>
              </w:rPr>
              <w:fldChar w:fldCharType="begin">
                <w:ffData>
                  <w:name w:val="Check1"/>
                  <w:enabled/>
                  <w:calcOnExit w:val="0"/>
                  <w:checkBox>
                    <w:sizeAuto/>
                    <w:default w:val="0"/>
                  </w:checkBox>
                </w:ffData>
              </w:fldChar>
            </w:r>
            <w:r w:rsidRPr="00976EC8">
              <w:rPr>
                <w:rFonts w:cstheme="minorHAnsi"/>
                <w:szCs w:val="24"/>
              </w:rPr>
              <w:instrText xml:space="preserve"> FORMCHECKBOX </w:instrText>
            </w:r>
            <w:r w:rsidRPr="00976EC8">
              <w:rPr>
                <w:rFonts w:cstheme="minorHAnsi"/>
                <w:szCs w:val="24"/>
              </w:rPr>
            </w:r>
            <w:r w:rsidRPr="00976EC8">
              <w:rPr>
                <w:rFonts w:cstheme="minorHAnsi"/>
                <w:szCs w:val="24"/>
              </w:rPr>
              <w:fldChar w:fldCharType="separate"/>
            </w:r>
            <w:r w:rsidRPr="00976EC8">
              <w:rPr>
                <w:rFonts w:cstheme="minorHAnsi"/>
                <w:szCs w:val="24"/>
              </w:rPr>
              <w:fldChar w:fldCharType="end"/>
            </w:r>
            <w:r w:rsidRPr="00976EC8">
              <w:rPr>
                <w:szCs w:val="24"/>
              </w:rPr>
              <w:tab/>
            </w:r>
            <w:r w:rsidRPr="00976EC8">
              <w:rPr>
                <w:b/>
                <w:bCs/>
                <w:szCs w:val="24"/>
              </w:rPr>
              <w:t>N'autorise pas</w:t>
            </w:r>
            <w:r w:rsidRPr="00976EC8">
              <w:rPr>
                <w:szCs w:val="24"/>
              </w:rPr>
              <w:t xml:space="preserve"> la Commission d'études 20 à procéder à l'examen de ce document en vue de son approbation (les motifs de cette décision et une description des éventuelles modifications qui permettraient la poursuite des travaux sont joints à la présente)</w:t>
            </w:r>
            <w:r w:rsidR="00976724" w:rsidRPr="00976EC8">
              <w:rPr>
                <w:szCs w:val="24"/>
              </w:rPr>
              <w:t>.</w:t>
            </w:r>
          </w:p>
        </w:tc>
      </w:tr>
    </w:tbl>
    <w:p w14:paraId="62FBFED4" w14:textId="77777777" w:rsidR="00E23217" w:rsidRPr="00C01902" w:rsidRDefault="00E23217" w:rsidP="00E23217">
      <w:pPr>
        <w:rPr>
          <w:bCs/>
          <w:lang w:val="fr-CH"/>
        </w:rPr>
      </w:pPr>
      <w:r w:rsidRPr="00C01902">
        <w:rPr>
          <w:bCs/>
        </w:rPr>
        <w:t>Veuillez agréer, Madame, Monsieur, l'assurance de ma considération distinguée.</w:t>
      </w:r>
    </w:p>
    <w:p w14:paraId="786BEAC5" w14:textId="77777777" w:rsidR="00E23217" w:rsidRPr="00DD6935" w:rsidRDefault="00E23217" w:rsidP="00E23217">
      <w:pPr>
        <w:spacing w:before="840"/>
        <w:rPr>
          <w:bCs/>
          <w:lang w:val="fr-CH"/>
        </w:rPr>
      </w:pPr>
      <w:r w:rsidRPr="00DD6935">
        <w:rPr>
          <w:bCs/>
        </w:rPr>
        <w:t>[Nom]</w:t>
      </w:r>
    </w:p>
    <w:p w14:paraId="5F1A8D03" w14:textId="77777777" w:rsidR="00E23217" w:rsidRPr="00DD6935" w:rsidRDefault="00E23217" w:rsidP="00E23217">
      <w:pPr>
        <w:spacing w:before="0"/>
        <w:rPr>
          <w:bCs/>
          <w:lang w:val="fr-CH"/>
        </w:rPr>
      </w:pPr>
      <w:r w:rsidRPr="00DD6935">
        <w:rPr>
          <w:bCs/>
        </w:rPr>
        <w:t>[Rôle/titre officiel]</w:t>
      </w:r>
    </w:p>
    <w:p w14:paraId="49E62919" w14:textId="2745C1AA" w:rsidR="00E23217" w:rsidRPr="00B60868" w:rsidRDefault="00E23217" w:rsidP="00E23217">
      <w:pPr>
        <w:spacing w:before="0"/>
        <w:rPr>
          <w:bCs/>
        </w:rPr>
      </w:pPr>
      <w:r w:rsidRPr="00DD6935">
        <w:rPr>
          <w:bCs/>
        </w:rPr>
        <w:t>Administration de [État Membre]</w:t>
      </w:r>
    </w:p>
    <w:sectPr w:rsidR="00E23217" w:rsidRPr="00B60868" w:rsidSect="00A15179">
      <w:headerReference w:type="even" r:id="rId23"/>
      <w:headerReference w:type="default" r:id="rId24"/>
      <w:footerReference w:type="even" r:id="rId25"/>
      <w:footerReference w:type="default" r:id="rId26"/>
      <w:headerReference w:type="first" r:id="rId27"/>
      <w:footerReference w:type="first" r:id="rId2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86FE" w14:textId="77777777" w:rsidR="001F6317" w:rsidRDefault="001F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BA94" w14:textId="77777777" w:rsidR="001F6317" w:rsidRDefault="001F6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AA71" w14:textId="77777777" w:rsidR="001F6317" w:rsidRDefault="001F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48418349" w:rsidR="00697BC1" w:rsidRPr="00697BC1" w:rsidRDefault="00FD560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D72144">
      <w:rPr>
        <w:noProof/>
        <w:sz w:val="18"/>
        <w:szCs w:val="16"/>
      </w:rPr>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907B" w14:textId="77777777" w:rsidR="001F6317" w:rsidRDefault="001F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F6317"/>
    <w:rsid w:val="002152A3"/>
    <w:rsid w:val="0023667A"/>
    <w:rsid w:val="00255476"/>
    <w:rsid w:val="002937DB"/>
    <w:rsid w:val="002A44C1"/>
    <w:rsid w:val="002B4BAC"/>
    <w:rsid w:val="002E395D"/>
    <w:rsid w:val="00307FB4"/>
    <w:rsid w:val="003131F0"/>
    <w:rsid w:val="00333A80"/>
    <w:rsid w:val="00341117"/>
    <w:rsid w:val="00364E95"/>
    <w:rsid w:val="00372875"/>
    <w:rsid w:val="003742F8"/>
    <w:rsid w:val="00390EC7"/>
    <w:rsid w:val="003B1E80"/>
    <w:rsid w:val="003B66E8"/>
    <w:rsid w:val="003E66AD"/>
    <w:rsid w:val="004033F1"/>
    <w:rsid w:val="00414B0C"/>
    <w:rsid w:val="00423C21"/>
    <w:rsid w:val="004257AC"/>
    <w:rsid w:val="0043711B"/>
    <w:rsid w:val="004419E9"/>
    <w:rsid w:val="00445B68"/>
    <w:rsid w:val="00456473"/>
    <w:rsid w:val="0048088B"/>
    <w:rsid w:val="004977C9"/>
    <w:rsid w:val="004B732E"/>
    <w:rsid w:val="004D51F4"/>
    <w:rsid w:val="004D64E0"/>
    <w:rsid w:val="005120A2"/>
    <w:rsid w:val="0051210D"/>
    <w:rsid w:val="005136D2"/>
    <w:rsid w:val="00517A03"/>
    <w:rsid w:val="00524A7F"/>
    <w:rsid w:val="00531550"/>
    <w:rsid w:val="005A3DD9"/>
    <w:rsid w:val="005B1DFC"/>
    <w:rsid w:val="00601682"/>
    <w:rsid w:val="00603470"/>
    <w:rsid w:val="00625E79"/>
    <w:rsid w:val="0062725C"/>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D6625"/>
    <w:rsid w:val="00810105"/>
    <w:rsid w:val="008157E0"/>
    <w:rsid w:val="0083639F"/>
    <w:rsid w:val="00850477"/>
    <w:rsid w:val="00854E1D"/>
    <w:rsid w:val="00882BAF"/>
    <w:rsid w:val="00887FA6"/>
    <w:rsid w:val="008C4397"/>
    <w:rsid w:val="008C465A"/>
    <w:rsid w:val="008F2C9B"/>
    <w:rsid w:val="00923CD6"/>
    <w:rsid w:val="00935AA8"/>
    <w:rsid w:val="0096748E"/>
    <w:rsid w:val="00971C9A"/>
    <w:rsid w:val="00976724"/>
    <w:rsid w:val="00976EC8"/>
    <w:rsid w:val="009D50D7"/>
    <w:rsid w:val="009D51FA"/>
    <w:rsid w:val="009D6C75"/>
    <w:rsid w:val="009F1E23"/>
    <w:rsid w:val="00A15179"/>
    <w:rsid w:val="00A51537"/>
    <w:rsid w:val="00A5280F"/>
    <w:rsid w:val="00A55D53"/>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0775F"/>
    <w:rsid w:val="00D46B68"/>
    <w:rsid w:val="00D542A5"/>
    <w:rsid w:val="00D64923"/>
    <w:rsid w:val="00D72144"/>
    <w:rsid w:val="00DC3D47"/>
    <w:rsid w:val="00DD6935"/>
    <w:rsid w:val="00DD77DA"/>
    <w:rsid w:val="00E06C61"/>
    <w:rsid w:val="00E13DB3"/>
    <w:rsid w:val="00E23217"/>
    <w:rsid w:val="00E2408B"/>
    <w:rsid w:val="00E62CEA"/>
    <w:rsid w:val="00E72AE1"/>
    <w:rsid w:val="00ED6A7A"/>
    <w:rsid w:val="00EE4C36"/>
    <w:rsid w:val="00EF6A23"/>
    <w:rsid w:val="00F346CE"/>
    <w:rsid w:val="00F34F98"/>
    <w:rsid w:val="00F40540"/>
    <w:rsid w:val="00F67402"/>
    <w:rsid w:val="00F766A2"/>
    <w:rsid w:val="00F9451D"/>
    <w:rsid w:val="00FD560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20-R-0002/en" TargetMode="External"/><Relationship Id="rId18" Type="http://schemas.openxmlformats.org/officeDocument/2006/relationships/hyperlink" Target="https://www.itu.int/md/T25-SG20-R-0007/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T25-SG20-R-0010/e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5-SG20-R-0006/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T25-SG20-R-0005/en" TargetMode="External"/><Relationship Id="rId20" Type="http://schemas.openxmlformats.org/officeDocument/2006/relationships/hyperlink" Target="https://www.itu.int/md/T25-SG20-R-000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T25-SG20-R-0004/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T25-SG20-COL-0002/en" TargetMode="External"/><Relationship Id="rId19" Type="http://schemas.openxmlformats.org/officeDocument/2006/relationships/hyperlink" Target="https://www.itu.int/md/T25-SG20-R-0008/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5-SG20-R-0003/en" TargetMode="External"/><Relationship Id="rId22" Type="http://schemas.openxmlformats.org/officeDocument/2006/relationships/hyperlink" Target="mailto:tsbdir@itu.i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125</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21336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12</cp:revision>
  <cp:lastPrinted>2025-05-09T11:25:00Z</cp:lastPrinted>
  <dcterms:created xsi:type="dcterms:W3CDTF">2025-04-23T11:27:00Z</dcterms:created>
  <dcterms:modified xsi:type="dcterms:W3CDTF">2025-05-09T11:25:00Z</dcterms:modified>
</cp:coreProperties>
</file>