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1A6F3D9" w14:textId="77777777" w:rsidTr="00D517B2">
        <w:trPr>
          <w:cantSplit/>
          <w:trHeight w:val="1134"/>
        </w:trPr>
        <w:tc>
          <w:tcPr>
            <w:tcW w:w="798" w:type="pct"/>
          </w:tcPr>
          <w:p w14:paraId="5593C476" w14:textId="77777777" w:rsidR="00D517B2" w:rsidRPr="00D517B2" w:rsidRDefault="00D517B2" w:rsidP="00D517B2">
            <w:pPr>
              <w:spacing w:before="0" w:line="240" w:lineRule="auto"/>
              <w:rPr>
                <w:b/>
                <w:bCs/>
                <w:rtl/>
                <w:lang w:bidi="ar-EG"/>
              </w:rPr>
            </w:pPr>
            <w:r w:rsidRPr="00D517B2">
              <w:rPr>
                <w:noProof/>
              </w:rPr>
              <w:drawing>
                <wp:inline distT="0" distB="0" distL="0" distR="0" wp14:anchorId="11A3EB8D" wp14:editId="5890359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0E4D2B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575576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2"/>
        <w:gridCol w:w="3678"/>
        <w:gridCol w:w="4399"/>
      </w:tblGrid>
      <w:tr w:rsidR="00D517B2" w:rsidRPr="00D517B2" w14:paraId="5D17BF49" w14:textId="77777777" w:rsidTr="00BD6E43">
        <w:trPr>
          <w:cantSplit/>
          <w:jc w:val="center"/>
        </w:trPr>
        <w:tc>
          <w:tcPr>
            <w:tcW w:w="810" w:type="pct"/>
          </w:tcPr>
          <w:p w14:paraId="7CE56EBF" w14:textId="77777777" w:rsidR="00D517B2" w:rsidRPr="00D517B2" w:rsidRDefault="00D517B2" w:rsidP="00BB0F08">
            <w:pPr>
              <w:spacing w:line="300" w:lineRule="exact"/>
              <w:jc w:val="left"/>
              <w:rPr>
                <w:position w:val="2"/>
              </w:rPr>
            </w:pPr>
          </w:p>
        </w:tc>
        <w:tc>
          <w:tcPr>
            <w:tcW w:w="1908" w:type="pct"/>
          </w:tcPr>
          <w:p w14:paraId="08D687F5" w14:textId="77777777" w:rsidR="00D517B2" w:rsidRPr="00D517B2" w:rsidRDefault="00D517B2" w:rsidP="00BB0F08">
            <w:pPr>
              <w:spacing w:line="300" w:lineRule="exact"/>
              <w:jc w:val="left"/>
              <w:rPr>
                <w:position w:val="2"/>
              </w:rPr>
            </w:pPr>
          </w:p>
        </w:tc>
        <w:tc>
          <w:tcPr>
            <w:tcW w:w="2282" w:type="pct"/>
          </w:tcPr>
          <w:p w14:paraId="292A76AE" w14:textId="77777777" w:rsidR="00D517B2" w:rsidRPr="00873469" w:rsidRDefault="00D517B2" w:rsidP="00BB0F08">
            <w:pPr>
              <w:spacing w:line="300" w:lineRule="exact"/>
              <w:jc w:val="left"/>
              <w:rPr>
                <w:position w:val="2"/>
                <w:lang w:bidi="ar-EG"/>
              </w:rPr>
            </w:pPr>
          </w:p>
        </w:tc>
      </w:tr>
      <w:tr w:rsidR="00D517B2" w:rsidRPr="00D517B2" w14:paraId="42EF3A61" w14:textId="77777777" w:rsidTr="00BD6E43">
        <w:trPr>
          <w:cantSplit/>
          <w:jc w:val="center"/>
        </w:trPr>
        <w:tc>
          <w:tcPr>
            <w:tcW w:w="810" w:type="pct"/>
          </w:tcPr>
          <w:p w14:paraId="731237B2" w14:textId="77777777" w:rsidR="00D517B2" w:rsidRPr="00D517B2" w:rsidRDefault="00D517B2" w:rsidP="006019C6">
            <w:pPr>
              <w:spacing w:before="80" w:after="120" w:line="300" w:lineRule="exact"/>
              <w:jc w:val="left"/>
              <w:rPr>
                <w:position w:val="2"/>
              </w:rPr>
            </w:pPr>
          </w:p>
        </w:tc>
        <w:tc>
          <w:tcPr>
            <w:tcW w:w="1908" w:type="pct"/>
          </w:tcPr>
          <w:p w14:paraId="1CEFA240" w14:textId="77777777" w:rsidR="00D517B2" w:rsidRPr="00D517B2" w:rsidRDefault="00D517B2" w:rsidP="006019C6">
            <w:pPr>
              <w:spacing w:before="80" w:after="120" w:line="300" w:lineRule="exact"/>
              <w:jc w:val="left"/>
              <w:rPr>
                <w:position w:val="2"/>
                <w:lang w:bidi="ar-EG"/>
              </w:rPr>
            </w:pPr>
          </w:p>
        </w:tc>
        <w:tc>
          <w:tcPr>
            <w:tcW w:w="2282" w:type="pct"/>
          </w:tcPr>
          <w:p w14:paraId="30302B05" w14:textId="6BBC12EB" w:rsidR="00D517B2" w:rsidRPr="00D517B2" w:rsidRDefault="00873469" w:rsidP="006019C6">
            <w:pPr>
              <w:spacing w:before="80" w:after="120" w:line="300" w:lineRule="exact"/>
              <w:jc w:val="left"/>
              <w:rPr>
                <w:position w:val="2"/>
                <w:rtl/>
                <w:lang w:bidi="ar-EG"/>
              </w:rPr>
            </w:pPr>
            <w:r w:rsidRPr="00D517B2">
              <w:rPr>
                <w:rFonts w:hint="cs"/>
                <w:position w:val="2"/>
                <w:rtl/>
              </w:rPr>
              <w:t xml:space="preserve">جنيف، </w:t>
            </w:r>
            <w:r w:rsidR="00BD4AFA">
              <w:rPr>
                <w:position w:val="2"/>
              </w:rPr>
              <w:t>14</w:t>
            </w:r>
            <w:r w:rsidR="00BD4AFA">
              <w:rPr>
                <w:rFonts w:hint="cs"/>
                <w:position w:val="2"/>
                <w:rtl/>
                <w:lang w:bidi="ar-EG"/>
              </w:rPr>
              <w:t xml:space="preserve"> </w:t>
            </w:r>
            <w:r w:rsidR="00BD4AFA">
              <w:rPr>
                <w:rFonts w:hint="cs"/>
                <w:position w:val="2"/>
                <w:rtl/>
              </w:rPr>
              <w:t>أبريل</w:t>
            </w:r>
            <w:r w:rsidR="007139D8">
              <w:rPr>
                <w:rFonts w:hint="cs"/>
                <w:position w:val="2"/>
                <w:rtl/>
              </w:rPr>
              <w:t xml:space="preserve"> </w:t>
            </w:r>
            <w:r w:rsidR="007139D8">
              <w:rPr>
                <w:position w:val="2"/>
              </w:rPr>
              <w:t>2025</w:t>
            </w:r>
          </w:p>
        </w:tc>
      </w:tr>
      <w:tr w:rsidR="001E2788" w:rsidRPr="00D517B2" w14:paraId="1FACA2CD" w14:textId="77777777" w:rsidTr="00BD6E43">
        <w:trPr>
          <w:cantSplit/>
          <w:jc w:val="center"/>
        </w:trPr>
        <w:tc>
          <w:tcPr>
            <w:tcW w:w="810" w:type="pct"/>
          </w:tcPr>
          <w:p w14:paraId="6E9F73BA" w14:textId="77777777" w:rsidR="001E2788" w:rsidRPr="00A9156F" w:rsidRDefault="001E2788" w:rsidP="00D517B2">
            <w:pPr>
              <w:spacing w:before="80" w:after="60" w:line="300" w:lineRule="exact"/>
              <w:jc w:val="left"/>
              <w:rPr>
                <w:b/>
                <w:bCs/>
                <w:position w:val="2"/>
              </w:rPr>
            </w:pPr>
            <w:r w:rsidRPr="00A9156F">
              <w:rPr>
                <w:rFonts w:hint="cs"/>
                <w:b/>
                <w:bCs/>
                <w:position w:val="2"/>
                <w:rtl/>
              </w:rPr>
              <w:t>المرجع:</w:t>
            </w:r>
          </w:p>
        </w:tc>
        <w:tc>
          <w:tcPr>
            <w:tcW w:w="1908" w:type="pct"/>
          </w:tcPr>
          <w:p w14:paraId="76279443" w14:textId="0F1966FE" w:rsidR="001E2788" w:rsidRPr="00D517B2" w:rsidRDefault="001E278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BD4AFA">
              <w:rPr>
                <w:b/>
                <w:position w:val="2"/>
              </w:rPr>
              <w:t>39</w:t>
            </w:r>
            <w:r>
              <w:rPr>
                <w:b/>
                <w:position w:val="2"/>
              </w:rPr>
              <w:br/>
            </w:r>
            <w:r w:rsidR="00BD4AFA">
              <w:rPr>
                <w:bCs/>
                <w:position w:val="2"/>
              </w:rPr>
              <w:t>SG20</w:t>
            </w:r>
            <w:r w:rsidRPr="00E84438">
              <w:rPr>
                <w:bCs/>
                <w:position w:val="2"/>
              </w:rPr>
              <w:t>/</w:t>
            </w:r>
            <w:r w:rsidR="00BD4AFA">
              <w:rPr>
                <w:bCs/>
                <w:position w:val="2"/>
              </w:rPr>
              <w:t>CB</w:t>
            </w:r>
          </w:p>
        </w:tc>
        <w:tc>
          <w:tcPr>
            <w:tcW w:w="2282" w:type="pct"/>
            <w:vMerge w:val="restart"/>
          </w:tcPr>
          <w:p w14:paraId="676FCB8B" w14:textId="77777777" w:rsidR="001E2788" w:rsidRPr="00BD4AFA" w:rsidRDefault="001E2788" w:rsidP="001E2788">
            <w:pPr>
              <w:tabs>
                <w:tab w:val="clear" w:pos="794"/>
                <w:tab w:val="left" w:pos="284"/>
              </w:tabs>
              <w:spacing w:before="80" w:after="60" w:line="300" w:lineRule="exact"/>
              <w:jc w:val="left"/>
              <w:rPr>
                <w:b/>
                <w:bCs/>
                <w:position w:val="2"/>
                <w:rtl/>
                <w:lang w:bidi="ar-EG"/>
              </w:rPr>
            </w:pPr>
            <w:r w:rsidRPr="00BD4AFA">
              <w:rPr>
                <w:rFonts w:hint="cs"/>
                <w:b/>
                <w:bCs/>
                <w:position w:val="2"/>
                <w:rtl/>
              </w:rPr>
              <w:t>إلى:</w:t>
            </w:r>
          </w:p>
          <w:p w14:paraId="46E0816A" w14:textId="222E91F3" w:rsidR="001E2788" w:rsidRPr="00BD4AFA" w:rsidRDefault="001E2788" w:rsidP="00D517B2">
            <w:pPr>
              <w:tabs>
                <w:tab w:val="clear" w:pos="794"/>
                <w:tab w:val="left" w:pos="284"/>
              </w:tabs>
              <w:spacing w:before="80" w:after="60" w:line="300" w:lineRule="exact"/>
              <w:ind w:left="284" w:hanging="284"/>
              <w:jc w:val="left"/>
              <w:rPr>
                <w:position w:val="2"/>
              </w:rPr>
            </w:pPr>
            <w:r w:rsidRPr="00BD4AFA">
              <w:rPr>
                <w:rFonts w:hint="cs"/>
                <w:position w:val="2"/>
                <w:rtl/>
              </w:rPr>
              <w:t>-</w:t>
            </w:r>
            <w:r w:rsidRPr="00BD4AFA">
              <w:rPr>
                <w:position w:val="2"/>
                <w:rtl/>
              </w:rPr>
              <w:tab/>
            </w:r>
            <w:r w:rsidRPr="00BD4AFA">
              <w:rPr>
                <w:rFonts w:hint="cs"/>
                <w:position w:val="2"/>
                <w:rtl/>
              </w:rPr>
              <w:t>إدارات الدول الأعضاء في الاتحاد؛</w:t>
            </w:r>
          </w:p>
          <w:p w14:paraId="6FA1E44D" w14:textId="488B7F26" w:rsidR="00BD4AFA" w:rsidRPr="00BD4AFA" w:rsidRDefault="00BD4AFA" w:rsidP="00BD4AFA">
            <w:pPr>
              <w:tabs>
                <w:tab w:val="clear" w:pos="794"/>
                <w:tab w:val="left" w:pos="284"/>
              </w:tabs>
              <w:spacing w:before="80" w:after="60" w:line="300" w:lineRule="exact"/>
              <w:ind w:left="284" w:hanging="284"/>
              <w:jc w:val="left"/>
              <w:rPr>
                <w:position w:val="2"/>
                <w:rtl/>
              </w:rPr>
            </w:pPr>
            <w:r w:rsidRPr="00BD4AFA">
              <w:rPr>
                <w:rFonts w:hint="cs"/>
                <w:position w:val="2"/>
                <w:rtl/>
              </w:rPr>
              <w:t>-</w:t>
            </w:r>
            <w:r w:rsidRPr="00BD4AFA">
              <w:rPr>
                <w:position w:val="2"/>
                <w:rtl/>
              </w:rPr>
              <w:tab/>
              <w:t>دولة فلسطين (القرار 99 (المراجَع في دبي، 2018)</w:t>
            </w:r>
            <w:r w:rsidR="00D94F72">
              <w:rPr>
                <w:rFonts w:hint="cs"/>
                <w:position w:val="2"/>
                <w:rtl/>
              </w:rPr>
              <w:t>)</w:t>
            </w:r>
          </w:p>
          <w:p w14:paraId="27C0849F" w14:textId="030FF7FD" w:rsidR="001E2788" w:rsidRPr="00BD4AFA" w:rsidRDefault="001E2788" w:rsidP="00CE1C08">
            <w:pPr>
              <w:tabs>
                <w:tab w:val="clear" w:pos="794"/>
                <w:tab w:val="left" w:pos="284"/>
              </w:tabs>
              <w:spacing w:before="80" w:after="60" w:line="300" w:lineRule="exact"/>
              <w:ind w:left="284" w:hanging="284"/>
              <w:jc w:val="left"/>
              <w:rPr>
                <w:position w:val="2"/>
                <w:rtl/>
              </w:rPr>
            </w:pPr>
          </w:p>
        </w:tc>
      </w:tr>
      <w:tr w:rsidR="001E2788" w:rsidRPr="00D517B2" w14:paraId="5FA0C2FC" w14:textId="77777777" w:rsidTr="00BD6E43">
        <w:trPr>
          <w:cantSplit/>
          <w:jc w:val="center"/>
        </w:trPr>
        <w:tc>
          <w:tcPr>
            <w:tcW w:w="810" w:type="pct"/>
          </w:tcPr>
          <w:p w14:paraId="6DEAD727" w14:textId="77777777" w:rsidR="001E2788" w:rsidRPr="00C84570" w:rsidRDefault="001E2788" w:rsidP="001E2788">
            <w:pPr>
              <w:spacing w:before="80" w:after="60" w:line="300" w:lineRule="exact"/>
              <w:jc w:val="left"/>
              <w:rPr>
                <w:position w:val="2"/>
                <w:rtl/>
                <w:lang w:bidi="ar-EG"/>
              </w:rPr>
            </w:pPr>
            <w:r w:rsidRPr="00C84570">
              <w:rPr>
                <w:rFonts w:hint="cs"/>
                <w:position w:val="2"/>
                <w:rtl/>
                <w:lang w:bidi="ar-EG"/>
              </w:rPr>
              <w:t>ال</w:t>
            </w:r>
            <w:r w:rsidRPr="00C84570">
              <w:rPr>
                <w:rFonts w:hint="cs"/>
                <w:position w:val="2"/>
                <w:rtl/>
                <w:lang w:bidi="ar-SY"/>
              </w:rPr>
              <w:t>هاتف</w:t>
            </w:r>
            <w:r w:rsidRPr="00C84570">
              <w:rPr>
                <w:rFonts w:hint="cs"/>
                <w:position w:val="2"/>
                <w:rtl/>
              </w:rPr>
              <w:t>:</w:t>
            </w:r>
          </w:p>
        </w:tc>
        <w:tc>
          <w:tcPr>
            <w:tcW w:w="1908" w:type="pct"/>
          </w:tcPr>
          <w:p w14:paraId="654CD2A0" w14:textId="6EA8A4C2" w:rsidR="001E2788" w:rsidRDefault="00F27046" w:rsidP="00F27046">
            <w:pPr>
              <w:spacing w:before="80" w:after="60" w:line="300" w:lineRule="exact"/>
              <w:jc w:val="left"/>
              <w:rPr>
                <w:b/>
                <w:bCs/>
                <w:position w:val="2"/>
                <w:rtl/>
                <w:lang w:bidi="ar-EG"/>
              </w:rPr>
            </w:pPr>
            <w:r w:rsidRPr="00F27046">
              <w:rPr>
                <w:position w:val="2"/>
                <w:lang w:val="en-GB"/>
              </w:rPr>
              <w:t>+41 22 730 6301</w:t>
            </w:r>
          </w:p>
        </w:tc>
        <w:tc>
          <w:tcPr>
            <w:tcW w:w="2282" w:type="pct"/>
            <w:vMerge/>
          </w:tcPr>
          <w:p w14:paraId="4F392DD9" w14:textId="77777777" w:rsidR="001E2788" w:rsidRPr="00BD4AFA" w:rsidRDefault="001E2788" w:rsidP="001E2788">
            <w:pPr>
              <w:spacing w:before="80" w:after="60" w:line="300" w:lineRule="exact"/>
              <w:jc w:val="left"/>
              <w:rPr>
                <w:position w:val="2"/>
                <w:rtl/>
              </w:rPr>
            </w:pPr>
          </w:p>
        </w:tc>
      </w:tr>
      <w:tr w:rsidR="001E2788" w:rsidRPr="00D517B2" w14:paraId="30CF7ED7" w14:textId="77777777" w:rsidTr="00BD6E43">
        <w:trPr>
          <w:cantSplit/>
          <w:jc w:val="center"/>
        </w:trPr>
        <w:tc>
          <w:tcPr>
            <w:tcW w:w="810" w:type="pct"/>
          </w:tcPr>
          <w:p w14:paraId="35651FA1" w14:textId="77777777" w:rsidR="001E2788" w:rsidRPr="00C84570" w:rsidRDefault="001E2788" w:rsidP="001E2788">
            <w:pPr>
              <w:spacing w:before="80" w:after="60" w:line="300" w:lineRule="exact"/>
              <w:jc w:val="left"/>
              <w:rPr>
                <w:position w:val="2"/>
                <w:rtl/>
              </w:rPr>
            </w:pPr>
            <w:r w:rsidRPr="00C84570">
              <w:rPr>
                <w:rFonts w:hint="cs"/>
                <w:position w:val="2"/>
                <w:rtl/>
              </w:rPr>
              <w:t>الفاكس:</w:t>
            </w:r>
          </w:p>
        </w:tc>
        <w:tc>
          <w:tcPr>
            <w:tcW w:w="1908" w:type="pct"/>
          </w:tcPr>
          <w:p w14:paraId="037B346A" w14:textId="4C11B7A5" w:rsidR="001E2788" w:rsidRPr="00D517B2" w:rsidRDefault="00F27046" w:rsidP="00F27046">
            <w:pPr>
              <w:spacing w:before="80" w:after="60" w:line="300" w:lineRule="exact"/>
              <w:jc w:val="left"/>
              <w:rPr>
                <w:position w:val="2"/>
              </w:rPr>
            </w:pPr>
            <w:r w:rsidRPr="00F27046">
              <w:rPr>
                <w:position w:val="2"/>
                <w:lang w:val="en-GB"/>
              </w:rPr>
              <w:t>+41 22 730 5853</w:t>
            </w:r>
          </w:p>
        </w:tc>
        <w:tc>
          <w:tcPr>
            <w:tcW w:w="2282" w:type="pct"/>
            <w:vMerge/>
          </w:tcPr>
          <w:p w14:paraId="28968094" w14:textId="77777777" w:rsidR="001E2788" w:rsidRPr="00BD4AFA" w:rsidRDefault="001E2788" w:rsidP="00D517B2">
            <w:pPr>
              <w:spacing w:before="80" w:after="60" w:line="300" w:lineRule="exact"/>
              <w:jc w:val="left"/>
              <w:rPr>
                <w:position w:val="2"/>
                <w:rtl/>
              </w:rPr>
            </w:pPr>
          </w:p>
        </w:tc>
      </w:tr>
      <w:tr w:rsidR="00CE1C08" w:rsidRPr="00D517B2" w14:paraId="14B1EDE7" w14:textId="77777777" w:rsidTr="00BD6E43">
        <w:trPr>
          <w:cantSplit/>
          <w:jc w:val="center"/>
        </w:trPr>
        <w:tc>
          <w:tcPr>
            <w:tcW w:w="810" w:type="pct"/>
          </w:tcPr>
          <w:p w14:paraId="2341C61D" w14:textId="77777777" w:rsidR="00CE1C08" w:rsidRPr="00C84570" w:rsidRDefault="001E2788" w:rsidP="00CE1C08">
            <w:pPr>
              <w:spacing w:before="80" w:after="60" w:line="300" w:lineRule="exact"/>
              <w:jc w:val="left"/>
              <w:rPr>
                <w:position w:val="2"/>
                <w:rtl/>
              </w:rPr>
            </w:pPr>
            <w:r w:rsidRPr="00C84570">
              <w:rPr>
                <w:rFonts w:hint="cs"/>
                <w:position w:val="2"/>
                <w:rtl/>
              </w:rPr>
              <w:t>البريد الإلكتروني:</w:t>
            </w:r>
          </w:p>
        </w:tc>
        <w:tc>
          <w:tcPr>
            <w:tcW w:w="1908" w:type="pct"/>
          </w:tcPr>
          <w:p w14:paraId="2D5A0F5E" w14:textId="4264118B" w:rsidR="00CE1C08" w:rsidRPr="00F27046" w:rsidRDefault="00F27046" w:rsidP="00CE1C08">
            <w:pPr>
              <w:spacing w:before="80" w:after="60" w:line="300" w:lineRule="exact"/>
              <w:jc w:val="left"/>
              <w:rPr>
                <w:position w:val="2"/>
                <w:highlight w:val="magenta"/>
                <w:rtl/>
                <w:lang w:bidi="ar-EG"/>
              </w:rPr>
            </w:pPr>
            <w:hyperlink r:id="rId9" w:history="1">
              <w:r w:rsidRPr="00F27046">
                <w:rPr>
                  <w:rStyle w:val="Hyperlink"/>
                </w:rPr>
                <w:t>tsbsg20@itu.int</w:t>
              </w:r>
            </w:hyperlink>
          </w:p>
        </w:tc>
        <w:tc>
          <w:tcPr>
            <w:tcW w:w="2282" w:type="pct"/>
          </w:tcPr>
          <w:p w14:paraId="730C51E7" w14:textId="77777777" w:rsidR="00CE1C08" w:rsidRPr="00BD4AFA" w:rsidRDefault="00CE1C08" w:rsidP="00CE1C08">
            <w:pPr>
              <w:tabs>
                <w:tab w:val="clear" w:pos="794"/>
                <w:tab w:val="left" w:pos="284"/>
              </w:tabs>
              <w:spacing w:before="80" w:after="60" w:line="300" w:lineRule="exact"/>
              <w:ind w:left="284" w:hanging="284"/>
              <w:jc w:val="left"/>
              <w:rPr>
                <w:b/>
                <w:bCs/>
                <w:position w:val="2"/>
                <w:rtl/>
              </w:rPr>
            </w:pPr>
            <w:r w:rsidRPr="00BD4AFA">
              <w:rPr>
                <w:rFonts w:hint="cs"/>
                <w:b/>
                <w:bCs/>
                <w:position w:val="2"/>
                <w:rtl/>
              </w:rPr>
              <w:t>نسخة إلى:</w:t>
            </w:r>
          </w:p>
          <w:p w14:paraId="7369A547" w14:textId="77777777" w:rsidR="00BD4AFA" w:rsidRPr="00BD4AFA" w:rsidRDefault="00BD4AFA" w:rsidP="00BD4AFA">
            <w:pPr>
              <w:tabs>
                <w:tab w:val="left" w:pos="284"/>
                <w:tab w:val="left" w:pos="4111"/>
              </w:tabs>
              <w:spacing w:before="20" w:line="340" w:lineRule="exact"/>
              <w:ind w:left="284" w:hanging="284"/>
              <w:rPr>
                <w:position w:val="2"/>
                <w:rtl/>
                <w:lang w:bidi="ar-EG"/>
              </w:rPr>
            </w:pPr>
            <w:r w:rsidRPr="00BD4AFA">
              <w:rPr>
                <w:rFonts w:hint="cs"/>
                <w:position w:val="2"/>
                <w:rtl/>
              </w:rPr>
              <w:t>-</w:t>
            </w:r>
            <w:r w:rsidRPr="00BD4AFA">
              <w:rPr>
                <w:position w:val="2"/>
                <w:rtl/>
              </w:rPr>
              <w:tab/>
            </w:r>
            <w:r w:rsidRPr="00BD4AFA">
              <w:rPr>
                <w:rFonts w:hint="cs"/>
                <w:position w:val="2"/>
                <w:rtl/>
                <w:lang w:bidi="ar-EG"/>
              </w:rPr>
              <w:t>أعضاء قطاع تقييس الاتصالات بالاتحاد؛</w:t>
            </w:r>
          </w:p>
          <w:p w14:paraId="36F678E6" w14:textId="2126B6A0" w:rsidR="00BD4AFA" w:rsidRPr="00BD6E43" w:rsidRDefault="00BD4AFA" w:rsidP="00BD4AFA">
            <w:pPr>
              <w:tabs>
                <w:tab w:val="left" w:pos="284"/>
                <w:tab w:val="left" w:pos="4111"/>
              </w:tabs>
              <w:spacing w:before="20" w:line="340" w:lineRule="exact"/>
              <w:ind w:left="284" w:hanging="284"/>
              <w:rPr>
                <w:spacing w:val="-8"/>
                <w:position w:val="2"/>
                <w:rtl/>
                <w:lang w:bidi="ar-EG"/>
              </w:rPr>
            </w:pPr>
            <w:r w:rsidRPr="00D94F72">
              <w:rPr>
                <w:rFonts w:hint="cs"/>
                <w:spacing w:val="-8"/>
                <w:position w:val="2"/>
                <w:rtl/>
              </w:rPr>
              <w:t>-</w:t>
            </w:r>
            <w:r w:rsidRPr="00D94F72">
              <w:rPr>
                <w:spacing w:val="-8"/>
                <w:position w:val="2"/>
                <w:rtl/>
              </w:rPr>
              <w:tab/>
            </w:r>
            <w:r w:rsidRPr="003A5382">
              <w:rPr>
                <w:rFonts w:hint="cs"/>
                <w:spacing w:val="-8"/>
                <w:position w:val="2"/>
                <w:rtl/>
              </w:rPr>
              <w:t xml:space="preserve">المنتسبين إلى </w:t>
            </w:r>
            <w:r w:rsidR="008A71E4" w:rsidRPr="003A5382">
              <w:rPr>
                <w:rFonts w:hint="cs"/>
                <w:spacing w:val="-8"/>
                <w:position w:val="2"/>
                <w:rtl/>
                <w:lang w:bidi="ar-EG"/>
              </w:rPr>
              <w:t xml:space="preserve">لجنة </w:t>
            </w:r>
            <w:r w:rsidR="00BD6E43" w:rsidRPr="003A5382">
              <w:rPr>
                <w:rFonts w:hint="cs"/>
                <w:spacing w:val="-8"/>
                <w:position w:val="2"/>
                <w:rtl/>
                <w:lang w:bidi="ar-EG"/>
              </w:rPr>
              <w:t xml:space="preserve">الدراسات </w:t>
            </w:r>
            <w:r w:rsidR="00BD6E43" w:rsidRPr="003A5382">
              <w:rPr>
                <w:spacing w:val="-8"/>
                <w:position w:val="2"/>
                <w:lang w:bidi="ar-EG"/>
              </w:rPr>
              <w:t>20</w:t>
            </w:r>
            <w:r w:rsidR="00BD6E43" w:rsidRPr="003A5382">
              <w:rPr>
                <w:rFonts w:hint="cs"/>
                <w:spacing w:val="-8"/>
                <w:position w:val="2"/>
                <w:rtl/>
                <w:lang w:bidi="ar-EG"/>
              </w:rPr>
              <w:t xml:space="preserve"> ل</w:t>
            </w:r>
            <w:r w:rsidRPr="003A5382">
              <w:rPr>
                <w:rFonts w:hint="cs"/>
                <w:spacing w:val="-8"/>
                <w:position w:val="2"/>
                <w:rtl/>
              </w:rPr>
              <w:t>قطاع تقييس الاتصالات</w:t>
            </w:r>
            <w:r w:rsidRPr="00D94F72">
              <w:rPr>
                <w:rFonts w:hint="cs"/>
                <w:spacing w:val="-8"/>
                <w:position w:val="2"/>
                <w:rtl/>
              </w:rPr>
              <w:t>؛</w:t>
            </w:r>
          </w:p>
          <w:p w14:paraId="66D0C086" w14:textId="74EC8DF5" w:rsidR="00BD4AFA" w:rsidRPr="00BD4AFA" w:rsidRDefault="00BD4AFA" w:rsidP="00BD4AFA">
            <w:pPr>
              <w:tabs>
                <w:tab w:val="left" w:pos="284"/>
                <w:tab w:val="left" w:pos="4111"/>
              </w:tabs>
              <w:spacing w:before="0" w:line="340" w:lineRule="exact"/>
              <w:ind w:left="284" w:hanging="284"/>
              <w:rPr>
                <w:position w:val="2"/>
              </w:rPr>
            </w:pPr>
            <w:r w:rsidRPr="00BD4AFA">
              <w:rPr>
                <w:rFonts w:hint="cs"/>
                <w:position w:val="2"/>
                <w:rtl/>
              </w:rPr>
              <w:t>-</w:t>
            </w:r>
            <w:r w:rsidRPr="00BD4AFA">
              <w:rPr>
                <w:position w:val="2"/>
                <w:rtl/>
              </w:rPr>
              <w:tab/>
            </w:r>
            <w:r w:rsidRPr="00BD4AFA">
              <w:rPr>
                <w:rFonts w:hint="cs"/>
                <w:position w:val="2"/>
                <w:rtl/>
              </w:rPr>
              <w:t>الهيئات الأكاديمية المنضمة إلى</w:t>
            </w:r>
            <w:r w:rsidRPr="00BD4AFA">
              <w:rPr>
                <w:rFonts w:hint="cs"/>
                <w:position w:val="2"/>
                <w:rtl/>
                <w:lang w:bidi="ar-EG"/>
              </w:rPr>
              <w:t xml:space="preserve"> الاتحاد</w:t>
            </w:r>
            <w:r w:rsidR="00E54D5B">
              <w:rPr>
                <w:rFonts w:hint="cs"/>
                <w:position w:val="2"/>
                <w:rtl/>
                <w:lang w:bidi="ar-EG"/>
              </w:rPr>
              <w:t>؛</w:t>
            </w:r>
          </w:p>
          <w:p w14:paraId="3AAEF312" w14:textId="1AE1A8F6" w:rsidR="00CE1C08" w:rsidRPr="009A357F" w:rsidRDefault="00CE1C08" w:rsidP="00BD4AFA">
            <w:pPr>
              <w:tabs>
                <w:tab w:val="left" w:pos="284"/>
                <w:tab w:val="left" w:pos="4111"/>
              </w:tabs>
              <w:spacing w:before="0" w:line="340" w:lineRule="exact"/>
              <w:ind w:left="284" w:hanging="284"/>
              <w:rPr>
                <w:rFonts w:eastAsia="Times New Roman"/>
                <w:spacing w:val="-6"/>
                <w:position w:val="2"/>
                <w:rtl/>
                <w:lang w:eastAsia="en-US"/>
              </w:rPr>
            </w:pPr>
            <w:r w:rsidRPr="009A357F">
              <w:rPr>
                <w:rFonts w:hint="cs"/>
                <w:spacing w:val="-6"/>
                <w:position w:val="2"/>
                <w:rtl/>
              </w:rPr>
              <w:t>-</w:t>
            </w:r>
            <w:r w:rsidRPr="009A357F">
              <w:rPr>
                <w:spacing w:val="-6"/>
                <w:position w:val="2"/>
                <w:rtl/>
              </w:rPr>
              <w:tab/>
            </w:r>
            <w:r w:rsidR="00BD4AFA" w:rsidRPr="009A357F">
              <w:rPr>
                <w:rFonts w:eastAsia="Times New Roman"/>
                <w:spacing w:val="-6"/>
                <w:position w:val="2"/>
                <w:rtl/>
                <w:lang w:eastAsia="en-US"/>
              </w:rPr>
              <w:t>رئيس لجنة الدراسات 20 لقطاع تقييس الاتصالات ونوابه</w:t>
            </w:r>
            <w:r w:rsidRPr="009A357F">
              <w:rPr>
                <w:rFonts w:eastAsia="Times New Roman" w:hint="cs"/>
                <w:spacing w:val="-6"/>
                <w:position w:val="2"/>
                <w:rtl/>
                <w:lang w:eastAsia="en-US"/>
              </w:rPr>
              <w:t>؛</w:t>
            </w:r>
          </w:p>
          <w:p w14:paraId="64AFBF98" w14:textId="77777777" w:rsidR="00CE1C08" w:rsidRPr="00BD4AFA" w:rsidRDefault="00CE1C08" w:rsidP="00CE1C08">
            <w:pPr>
              <w:tabs>
                <w:tab w:val="left" w:pos="284"/>
                <w:tab w:val="left" w:pos="4111"/>
              </w:tabs>
              <w:spacing w:before="0" w:line="340" w:lineRule="exact"/>
              <w:ind w:left="284" w:hanging="284"/>
              <w:rPr>
                <w:rFonts w:eastAsia="Times New Roman"/>
                <w:position w:val="2"/>
                <w:rtl/>
                <w:lang w:eastAsia="en-US"/>
              </w:rPr>
            </w:pPr>
            <w:r w:rsidRPr="00BD4AFA">
              <w:rPr>
                <w:rFonts w:eastAsia="Times New Roman" w:hint="cs"/>
                <w:position w:val="2"/>
                <w:rtl/>
                <w:lang w:eastAsia="en-US"/>
              </w:rPr>
              <w:t>-</w:t>
            </w:r>
            <w:r w:rsidRPr="00BD4AFA">
              <w:rPr>
                <w:rFonts w:eastAsia="Times New Roman"/>
                <w:position w:val="2"/>
                <w:rtl/>
                <w:lang w:eastAsia="en-US"/>
              </w:rPr>
              <w:tab/>
              <w:t>مدير مكتب تنمية الاتصالات</w:t>
            </w:r>
            <w:r w:rsidRPr="00BD4AFA">
              <w:rPr>
                <w:rFonts w:eastAsia="Times New Roman" w:hint="cs"/>
                <w:position w:val="2"/>
                <w:rtl/>
                <w:lang w:eastAsia="en-US"/>
              </w:rPr>
              <w:t>؛</w:t>
            </w:r>
          </w:p>
          <w:p w14:paraId="4556240D" w14:textId="77777777" w:rsidR="00CE1C08" w:rsidRPr="00BD4AFA" w:rsidRDefault="00CE1C08" w:rsidP="00CE1C08">
            <w:pPr>
              <w:tabs>
                <w:tab w:val="left" w:pos="284"/>
                <w:tab w:val="left" w:pos="4111"/>
              </w:tabs>
              <w:spacing w:before="0" w:line="340" w:lineRule="exact"/>
              <w:ind w:left="284" w:hanging="284"/>
              <w:rPr>
                <w:position w:val="2"/>
                <w:rtl/>
              </w:rPr>
            </w:pPr>
            <w:r w:rsidRPr="00BD4AFA">
              <w:rPr>
                <w:rFonts w:eastAsia="Times New Roman" w:hint="cs"/>
                <w:position w:val="2"/>
                <w:rtl/>
                <w:lang w:eastAsia="en-US"/>
              </w:rPr>
              <w:t>-</w:t>
            </w:r>
            <w:r w:rsidRPr="00BD4AFA">
              <w:rPr>
                <w:rFonts w:eastAsia="Times New Roman"/>
                <w:position w:val="2"/>
                <w:rtl/>
                <w:lang w:eastAsia="en-US"/>
              </w:rPr>
              <w:tab/>
              <w:t>مدير مكتب الاتصالات الراديوية</w:t>
            </w:r>
          </w:p>
        </w:tc>
      </w:tr>
      <w:tr w:rsidR="00CE1C08" w:rsidRPr="00D517B2" w14:paraId="0CBC5418" w14:textId="77777777" w:rsidTr="00BD6E43">
        <w:trPr>
          <w:cantSplit/>
          <w:jc w:val="center"/>
        </w:trPr>
        <w:tc>
          <w:tcPr>
            <w:tcW w:w="810" w:type="pct"/>
          </w:tcPr>
          <w:p w14:paraId="09006EF8" w14:textId="77777777" w:rsidR="00CE1C08" w:rsidRPr="00A9156F" w:rsidRDefault="00CE1C08" w:rsidP="00CE1C08">
            <w:pPr>
              <w:spacing w:before="80" w:after="60" w:line="300" w:lineRule="exact"/>
              <w:jc w:val="left"/>
              <w:rPr>
                <w:b/>
                <w:bCs/>
                <w:position w:val="2"/>
                <w:rtl/>
                <w:lang w:bidi="ar-EG"/>
              </w:rPr>
            </w:pPr>
          </w:p>
        </w:tc>
        <w:tc>
          <w:tcPr>
            <w:tcW w:w="1908" w:type="pct"/>
          </w:tcPr>
          <w:p w14:paraId="70ADCE79" w14:textId="77777777" w:rsidR="00CE1C08" w:rsidRPr="00D517B2" w:rsidRDefault="00CE1C08" w:rsidP="00CE1C08">
            <w:pPr>
              <w:spacing w:before="80" w:after="60" w:line="300" w:lineRule="exact"/>
              <w:jc w:val="left"/>
              <w:rPr>
                <w:position w:val="2"/>
              </w:rPr>
            </w:pPr>
          </w:p>
        </w:tc>
        <w:tc>
          <w:tcPr>
            <w:tcW w:w="2282" w:type="pct"/>
          </w:tcPr>
          <w:p w14:paraId="56D6E281" w14:textId="77777777" w:rsidR="00CE1C08" w:rsidRPr="00D517B2" w:rsidRDefault="00CE1C08" w:rsidP="00CE1C08">
            <w:pPr>
              <w:spacing w:before="80" w:after="60" w:line="300" w:lineRule="exact"/>
              <w:jc w:val="left"/>
              <w:rPr>
                <w:position w:val="2"/>
                <w:rtl/>
              </w:rPr>
            </w:pPr>
          </w:p>
        </w:tc>
      </w:tr>
      <w:tr w:rsidR="00CE1C08" w:rsidRPr="00D517B2" w14:paraId="0052E5F1" w14:textId="77777777" w:rsidTr="001E2788">
        <w:trPr>
          <w:cantSplit/>
          <w:jc w:val="center"/>
        </w:trPr>
        <w:tc>
          <w:tcPr>
            <w:tcW w:w="810" w:type="pct"/>
          </w:tcPr>
          <w:p w14:paraId="2FF2DF68"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13716596" w14:textId="7CC1DE2E" w:rsidR="00CE1C08" w:rsidRPr="00DD0809" w:rsidRDefault="00BD4AFA" w:rsidP="002A093D">
            <w:pPr>
              <w:spacing w:before="80" w:after="60" w:line="300" w:lineRule="exact"/>
              <w:rPr>
                <w:spacing w:val="-4"/>
                <w:position w:val="2"/>
                <w:rtl/>
              </w:rPr>
            </w:pPr>
            <w:r w:rsidRPr="00DD0809">
              <w:rPr>
                <w:b/>
                <w:bCs/>
                <w:spacing w:val="-4"/>
                <w:position w:val="2"/>
                <w:rtl/>
              </w:rPr>
              <w:t>مشاورة الدول الأعضاء بشأن مشاريع التوصيات الجديدة المحددة ITU-T Y.4235</w:t>
            </w:r>
            <w:r w:rsidR="009A357F" w:rsidRPr="00DD0809">
              <w:rPr>
                <w:b/>
                <w:bCs/>
                <w:spacing w:val="-4"/>
                <w:position w:val="2"/>
              </w:rPr>
              <w:t xml:space="preserve"> </w:t>
            </w:r>
            <w:r w:rsidRPr="00DD0809">
              <w:rPr>
                <w:b/>
                <w:bCs/>
                <w:spacing w:val="-4"/>
                <w:position w:val="2"/>
                <w:rtl/>
              </w:rPr>
              <w:t>(Y.PGComNet</w:t>
            </w:r>
            <w:r w:rsidR="00977427" w:rsidRPr="00DD0809">
              <w:rPr>
                <w:b/>
                <w:bCs/>
                <w:spacing w:val="-4"/>
                <w:position w:val="2"/>
                <w:rtl/>
              </w:rPr>
              <w:noBreakHyphen/>
            </w:r>
            <w:r w:rsidRPr="00DD0809">
              <w:rPr>
                <w:b/>
                <w:bCs/>
                <w:spacing w:val="-4"/>
                <w:position w:val="2"/>
                <w:rtl/>
              </w:rPr>
              <w:t>Reqts سابقاً) وITU-T Y.4236</w:t>
            </w:r>
            <w:r w:rsidR="002A093D">
              <w:rPr>
                <w:b/>
                <w:bCs/>
                <w:spacing w:val="-4"/>
                <w:position w:val="2"/>
              </w:rPr>
              <w:t xml:space="preserve"> </w:t>
            </w:r>
            <w:r w:rsidRPr="00DD0809">
              <w:rPr>
                <w:b/>
                <w:bCs/>
                <w:spacing w:val="-4"/>
                <w:position w:val="2"/>
                <w:rtl/>
              </w:rPr>
              <w:t>(Y.EMM-Reqts سابقاً) وITU-T Y.4237</w:t>
            </w:r>
            <w:r w:rsidR="002A093D">
              <w:rPr>
                <w:b/>
                <w:bCs/>
                <w:spacing w:val="-4"/>
                <w:position w:val="2"/>
              </w:rPr>
              <w:t xml:space="preserve"> </w:t>
            </w:r>
            <w:r w:rsidRPr="00DD0809">
              <w:rPr>
                <w:b/>
                <w:bCs/>
                <w:spacing w:val="-4"/>
                <w:position w:val="2"/>
                <w:rtl/>
              </w:rPr>
              <w:t>(Y.dt</w:t>
            </w:r>
            <w:r w:rsidR="00977427" w:rsidRPr="00DD0809">
              <w:rPr>
                <w:b/>
                <w:bCs/>
                <w:spacing w:val="-4"/>
                <w:position w:val="2"/>
                <w:rtl/>
              </w:rPr>
              <w:noBreakHyphen/>
            </w:r>
            <w:r w:rsidRPr="00DD0809">
              <w:rPr>
                <w:b/>
                <w:bCs/>
                <w:spacing w:val="-4"/>
                <w:position w:val="2"/>
                <w:rtl/>
              </w:rPr>
              <w:t>IWCS سابقاً) وITU-T Y.4496</w:t>
            </w:r>
            <w:r w:rsidR="002A093D">
              <w:rPr>
                <w:b/>
                <w:bCs/>
                <w:spacing w:val="-4"/>
                <w:position w:val="2"/>
              </w:rPr>
              <w:t xml:space="preserve"> </w:t>
            </w:r>
            <w:r w:rsidRPr="00DD0809">
              <w:rPr>
                <w:b/>
                <w:bCs/>
                <w:spacing w:val="-4"/>
                <w:position w:val="2"/>
                <w:rtl/>
              </w:rPr>
              <w:t>(Y.RA-PHE سابقاً) وITU-T Y.4708</w:t>
            </w:r>
            <w:r w:rsidR="002A093D">
              <w:rPr>
                <w:b/>
                <w:bCs/>
                <w:spacing w:val="-4"/>
                <w:position w:val="2"/>
              </w:rPr>
              <w:t xml:space="preserve"> </w:t>
            </w:r>
            <w:r w:rsidRPr="00DD0809">
              <w:rPr>
                <w:b/>
                <w:bCs/>
                <w:spacing w:val="-4"/>
                <w:position w:val="2"/>
                <w:rtl/>
              </w:rPr>
              <w:t>(Y.IoT-DPE سابقاً) وITU-T Y.4609</w:t>
            </w:r>
            <w:r w:rsidR="002A093D">
              <w:rPr>
                <w:b/>
                <w:bCs/>
                <w:spacing w:val="-4"/>
                <w:position w:val="2"/>
              </w:rPr>
              <w:t xml:space="preserve"> </w:t>
            </w:r>
            <w:r w:rsidRPr="00DD0809">
              <w:rPr>
                <w:b/>
                <w:bCs/>
                <w:spacing w:val="-4"/>
                <w:position w:val="2"/>
                <w:rtl/>
              </w:rPr>
              <w:t>(</w:t>
            </w:r>
            <w:r w:rsidRPr="00DC17D6">
              <w:rPr>
                <w:b/>
                <w:bCs/>
                <w:spacing w:val="-2"/>
                <w:position w:val="2"/>
                <w:rtl/>
              </w:rPr>
              <w:t>Y.metadata-EPI سابقاً) وITU-T Y.4813</w:t>
            </w:r>
            <w:r w:rsidR="002A093D">
              <w:rPr>
                <w:b/>
                <w:bCs/>
                <w:spacing w:val="-2"/>
                <w:position w:val="2"/>
              </w:rPr>
              <w:t xml:space="preserve"> </w:t>
            </w:r>
            <w:r w:rsidRPr="00DC17D6">
              <w:rPr>
                <w:b/>
                <w:bCs/>
                <w:spacing w:val="-2"/>
                <w:position w:val="2"/>
                <w:rtl/>
              </w:rPr>
              <w:t>(Y.iepi-dm-SA سابقاً) وITU</w:t>
            </w:r>
            <w:r w:rsidR="00DD0809" w:rsidRPr="00DC17D6">
              <w:rPr>
                <w:b/>
                <w:bCs/>
                <w:spacing w:val="-2"/>
                <w:position w:val="2"/>
                <w:rtl/>
              </w:rPr>
              <w:noBreakHyphen/>
            </w:r>
            <w:r w:rsidRPr="00DC17D6">
              <w:rPr>
                <w:b/>
                <w:bCs/>
                <w:spacing w:val="-2"/>
                <w:position w:val="2"/>
                <w:rtl/>
              </w:rPr>
              <w:t>T</w:t>
            </w:r>
            <w:r w:rsidR="00DD0809" w:rsidRPr="00DC17D6">
              <w:rPr>
                <w:rFonts w:hint="cs"/>
                <w:b/>
                <w:bCs/>
                <w:spacing w:val="-2"/>
                <w:position w:val="2"/>
                <w:rtl/>
              </w:rPr>
              <w:t> </w:t>
            </w:r>
            <w:r w:rsidRPr="00DC17D6">
              <w:rPr>
                <w:b/>
                <w:bCs/>
                <w:spacing w:val="-2"/>
                <w:position w:val="2"/>
                <w:rtl/>
              </w:rPr>
              <w:t>Y.4814</w:t>
            </w:r>
            <w:r w:rsidR="000E2901" w:rsidRPr="00DC17D6">
              <w:rPr>
                <w:b/>
                <w:bCs/>
                <w:spacing w:val="-2"/>
                <w:position w:val="2"/>
              </w:rPr>
              <w:t xml:space="preserve"> </w:t>
            </w:r>
            <w:r w:rsidRPr="00DC17D6">
              <w:rPr>
                <w:b/>
                <w:bCs/>
                <w:spacing w:val="-2"/>
                <w:position w:val="2"/>
                <w:rtl/>
              </w:rPr>
              <w:t xml:space="preserve">(Y.IoT-acs-fra سابقاً) </w:t>
            </w:r>
            <w:r w:rsidRPr="00DD0809">
              <w:rPr>
                <w:b/>
                <w:bCs/>
                <w:spacing w:val="-4"/>
                <w:position w:val="2"/>
                <w:rtl/>
              </w:rPr>
              <w:t>وITU-T Y.4911</w:t>
            </w:r>
            <w:r w:rsidR="002A093D">
              <w:rPr>
                <w:b/>
                <w:bCs/>
                <w:spacing w:val="-4"/>
                <w:position w:val="2"/>
              </w:rPr>
              <w:t xml:space="preserve"> </w:t>
            </w:r>
            <w:r w:rsidRPr="00DD0809">
              <w:rPr>
                <w:b/>
                <w:bCs/>
                <w:spacing w:val="-4"/>
                <w:position w:val="2"/>
                <w:rtl/>
              </w:rPr>
              <w:t>(Y.KPI-Flood سابقا</w:t>
            </w:r>
            <w:r w:rsidR="002539A4">
              <w:rPr>
                <w:rFonts w:hint="cs"/>
                <w:b/>
                <w:bCs/>
                <w:spacing w:val="-4"/>
                <w:position w:val="2"/>
                <w:rtl/>
              </w:rPr>
              <w:t>ً</w:t>
            </w:r>
            <w:r w:rsidRPr="00DD0809">
              <w:rPr>
                <w:b/>
                <w:bCs/>
                <w:spacing w:val="-4"/>
                <w:position w:val="2"/>
                <w:rtl/>
              </w:rPr>
              <w:t>)، المقترح الموافقة عليها في اجتماع لجنة الدراسات</w:t>
            </w:r>
            <w:r w:rsidR="002A093D">
              <w:rPr>
                <w:rFonts w:hint="cs"/>
                <w:b/>
                <w:bCs/>
                <w:spacing w:val="-4"/>
                <w:position w:val="2"/>
                <w:rtl/>
              </w:rPr>
              <w:t> </w:t>
            </w:r>
            <w:r w:rsidRPr="00DD0809">
              <w:rPr>
                <w:b/>
                <w:bCs/>
                <w:spacing w:val="-4"/>
                <w:position w:val="2"/>
                <w:rtl/>
              </w:rPr>
              <w:t>20 لقطاع تقييس الاتصالات الذي سيُعقد في جنيف في الفترة 15-25 سبتمبر 2025</w:t>
            </w:r>
          </w:p>
        </w:tc>
      </w:tr>
    </w:tbl>
    <w:p w14:paraId="074BF5BE" w14:textId="77777777" w:rsidR="00D517B2" w:rsidRPr="00D517B2" w:rsidRDefault="00D517B2" w:rsidP="006635B2">
      <w:pPr>
        <w:spacing w:before="600"/>
        <w:rPr>
          <w:lang w:bidi="ar-SY"/>
        </w:rPr>
      </w:pPr>
      <w:r w:rsidRPr="00D517B2">
        <w:rPr>
          <w:rFonts w:hint="cs"/>
          <w:rtl/>
          <w:lang w:bidi="ar-SY"/>
        </w:rPr>
        <w:t>حضرات السادة والسيدات،</w:t>
      </w:r>
    </w:p>
    <w:p w14:paraId="081F2D6E" w14:textId="77777777" w:rsidR="00D517B2" w:rsidRPr="00D517B2" w:rsidRDefault="00D517B2" w:rsidP="00D517B2">
      <w:pPr>
        <w:rPr>
          <w:rtl/>
          <w:lang w:bidi="ar-EG"/>
        </w:rPr>
      </w:pPr>
      <w:r w:rsidRPr="00D517B2">
        <w:rPr>
          <w:rFonts w:hint="cs"/>
          <w:rtl/>
        </w:rPr>
        <w:t>تحية طيبة وبعد،</w:t>
      </w:r>
    </w:p>
    <w:p w14:paraId="630DB195" w14:textId="4E24B0A9" w:rsidR="00BD4AFA" w:rsidRPr="00E469E6" w:rsidRDefault="00BD4AFA" w:rsidP="00BD4AFA">
      <w:pPr>
        <w:spacing w:before="100"/>
        <w:textDirection w:val="tbRlV"/>
        <w:rPr>
          <w:spacing w:val="-2"/>
          <w:lang w:val="ar-SA" w:eastAsia="zh-TW" w:bidi="en-GB"/>
        </w:rPr>
      </w:pPr>
      <w:r w:rsidRPr="00E469E6">
        <w:rPr>
          <w:spacing w:val="-2"/>
          <w:rtl/>
        </w:rPr>
        <w:t>1</w:t>
      </w:r>
      <w:r w:rsidRPr="00E469E6">
        <w:rPr>
          <w:spacing w:val="-2"/>
          <w:rtl/>
        </w:rPr>
        <w:tab/>
        <w:t>تعتزم لجنة الدراسات 20 لقطاع تقييس الاتصالات (لجنة الدراسات 20</w:t>
      </w:r>
      <w:r w:rsidRPr="00E469E6">
        <w:rPr>
          <w:spacing w:val="-2"/>
        </w:rPr>
        <w:t>:</w:t>
      </w:r>
      <w:r w:rsidRPr="00E469E6">
        <w:rPr>
          <w:spacing w:val="-2"/>
          <w:rtl/>
        </w:rPr>
        <w:t xml:space="preserve"> إنترنت الأشياء والتوائم الرقمية والمدن والمجتمعات الذكية المستدامة) تطبيق إجراءات الموافقة التقليدية على النحو المبين في القسم 9 من القرار 1 (المراج</w:t>
      </w:r>
      <w:r w:rsidR="002A093D" w:rsidRPr="00E469E6">
        <w:rPr>
          <w:rFonts w:hint="cs"/>
          <w:spacing w:val="-2"/>
          <w:rtl/>
        </w:rPr>
        <w:t>َ</w:t>
      </w:r>
      <w:r w:rsidRPr="00E469E6">
        <w:rPr>
          <w:spacing w:val="-2"/>
          <w:rtl/>
        </w:rPr>
        <w:t>ع في</w:t>
      </w:r>
      <w:r w:rsidR="002A093D" w:rsidRPr="00E469E6">
        <w:rPr>
          <w:rFonts w:hint="cs"/>
          <w:spacing w:val="-2"/>
          <w:rtl/>
        </w:rPr>
        <w:t> </w:t>
      </w:r>
      <w:r w:rsidRPr="00E469E6">
        <w:rPr>
          <w:spacing w:val="-2"/>
          <w:rtl/>
        </w:rPr>
        <w:t>جنيف، 2022) للجمعية العالمية لتقييس الاتصالات للموافقة على مشاريع التوصيات الجديدة المذكورة أعلاه ITU</w:t>
      </w:r>
      <w:r w:rsidR="00E469E6" w:rsidRPr="00E469E6">
        <w:rPr>
          <w:spacing w:val="-2"/>
          <w:rtl/>
        </w:rPr>
        <w:noBreakHyphen/>
      </w:r>
      <w:r w:rsidRPr="00E469E6">
        <w:rPr>
          <w:spacing w:val="-2"/>
          <w:rtl/>
        </w:rPr>
        <w:t>T</w:t>
      </w:r>
      <w:r w:rsidR="00E469E6" w:rsidRPr="00E469E6">
        <w:rPr>
          <w:rFonts w:hint="cs"/>
          <w:spacing w:val="-2"/>
          <w:rtl/>
        </w:rPr>
        <w:t> </w:t>
      </w:r>
      <w:r w:rsidRPr="00E469E6">
        <w:rPr>
          <w:spacing w:val="-2"/>
          <w:rtl/>
        </w:rPr>
        <w:t>Y.4235</w:t>
      </w:r>
      <w:r w:rsidR="00E469E6" w:rsidRPr="00E469E6">
        <w:rPr>
          <w:spacing w:val="-2"/>
        </w:rPr>
        <w:t xml:space="preserve"> </w:t>
      </w:r>
      <w:r w:rsidRPr="00E469E6">
        <w:rPr>
          <w:spacing w:val="-2"/>
          <w:rtl/>
        </w:rPr>
        <w:t>(Y.PGComNet-Reqts سابقاً) وITU-T Y.4236</w:t>
      </w:r>
      <w:r w:rsidR="00E469E6" w:rsidRPr="00E469E6">
        <w:rPr>
          <w:spacing w:val="-2"/>
        </w:rPr>
        <w:t xml:space="preserve"> </w:t>
      </w:r>
      <w:r w:rsidRPr="00E469E6">
        <w:rPr>
          <w:spacing w:val="-2"/>
          <w:rtl/>
        </w:rPr>
        <w:t>(Y.EMM-Reqts سابقاً) وITU-T Y.4237</w:t>
      </w:r>
      <w:r w:rsidR="00E469E6" w:rsidRPr="00E469E6">
        <w:rPr>
          <w:spacing w:val="-2"/>
        </w:rPr>
        <w:t xml:space="preserve"> </w:t>
      </w:r>
      <w:r w:rsidRPr="00E469E6">
        <w:rPr>
          <w:spacing w:val="-2"/>
          <w:rtl/>
        </w:rPr>
        <w:t>(Y.dt-IWCS سابقاً)، ITU</w:t>
      </w:r>
      <w:r w:rsidR="00E469E6">
        <w:rPr>
          <w:spacing w:val="-2"/>
          <w:rtl/>
        </w:rPr>
        <w:noBreakHyphen/>
      </w:r>
      <w:r w:rsidRPr="00E469E6">
        <w:rPr>
          <w:spacing w:val="-2"/>
          <w:rtl/>
        </w:rPr>
        <w:t>T</w:t>
      </w:r>
      <w:r w:rsidR="00E469E6">
        <w:rPr>
          <w:rFonts w:hint="cs"/>
          <w:spacing w:val="-2"/>
          <w:rtl/>
        </w:rPr>
        <w:t> </w:t>
      </w:r>
      <w:r w:rsidRPr="00E469E6">
        <w:rPr>
          <w:spacing w:val="-2"/>
          <w:rtl/>
        </w:rPr>
        <w:t>Y.4496</w:t>
      </w:r>
      <w:r w:rsidR="00E469E6" w:rsidRPr="00E469E6">
        <w:rPr>
          <w:spacing w:val="-2"/>
        </w:rPr>
        <w:t xml:space="preserve"> </w:t>
      </w:r>
      <w:r w:rsidRPr="00E469E6">
        <w:rPr>
          <w:spacing w:val="-2"/>
          <w:rtl/>
        </w:rPr>
        <w:t>(Y.RA-PHE سابقاً) وITU-T Y.4708</w:t>
      </w:r>
      <w:r w:rsidR="00E469E6" w:rsidRPr="00E469E6">
        <w:rPr>
          <w:spacing w:val="-2"/>
        </w:rPr>
        <w:t xml:space="preserve"> </w:t>
      </w:r>
      <w:r w:rsidRPr="00E469E6">
        <w:rPr>
          <w:spacing w:val="-2"/>
          <w:rtl/>
        </w:rPr>
        <w:t>(Y.IoT-DPE سابقاً) وITU-T Y.4609</w:t>
      </w:r>
      <w:r w:rsidR="00E469E6" w:rsidRPr="00E469E6">
        <w:rPr>
          <w:spacing w:val="-2"/>
        </w:rPr>
        <w:t xml:space="preserve"> </w:t>
      </w:r>
      <w:r w:rsidRPr="00E469E6">
        <w:rPr>
          <w:spacing w:val="-2"/>
          <w:rtl/>
        </w:rPr>
        <w:t>(Y.metadata-EPI سابقاً) وITU-T Y.4813</w:t>
      </w:r>
      <w:r w:rsidR="00E469E6" w:rsidRPr="00E469E6">
        <w:rPr>
          <w:spacing w:val="-2"/>
        </w:rPr>
        <w:t xml:space="preserve"> </w:t>
      </w:r>
      <w:r w:rsidRPr="00E469E6">
        <w:rPr>
          <w:spacing w:val="-2"/>
          <w:rtl/>
        </w:rPr>
        <w:t>(Y.iepi-dm-SA سابقاً) وITU-T Y.4814</w:t>
      </w:r>
      <w:r w:rsidR="00E469E6" w:rsidRPr="00E469E6">
        <w:rPr>
          <w:spacing w:val="-2"/>
        </w:rPr>
        <w:t xml:space="preserve"> </w:t>
      </w:r>
      <w:r w:rsidRPr="00E469E6">
        <w:rPr>
          <w:spacing w:val="-2"/>
          <w:rtl/>
        </w:rPr>
        <w:t>(Y.IoT-ACS-fra سابقاً) وITU-T Y.4911</w:t>
      </w:r>
      <w:r w:rsidR="00E469E6" w:rsidRPr="00E469E6">
        <w:rPr>
          <w:spacing w:val="-2"/>
        </w:rPr>
        <w:t xml:space="preserve"> </w:t>
      </w:r>
      <w:r w:rsidRPr="00E469E6">
        <w:rPr>
          <w:spacing w:val="-2"/>
          <w:rtl/>
        </w:rPr>
        <w:t xml:space="preserve">(Y.KPI-Flood سابقاً) في اجتماعها المقبل الذي سيُعقد في جنيف، سويسرا، في الفترة 15-25 سبتمبر 2025. ويمكن الاطلاع على جدول أعمال الاجتماع وجميع المعلومات المتصلة به في </w:t>
      </w:r>
      <w:r>
        <w:fldChar w:fldCharType="begin"/>
      </w:r>
      <w:r>
        <w:instrText>HYPERLINK "https://www.itu.int/md/T25-SG20-COL-0002/en"</w:instrText>
      </w:r>
      <w:r>
        <w:fldChar w:fldCharType="separate"/>
      </w:r>
      <w:r w:rsidRPr="00E469E6">
        <w:rPr>
          <w:rStyle w:val="Hyperlink"/>
          <w:spacing w:val="-2"/>
          <w:rtl/>
        </w:rPr>
        <w:t xml:space="preserve">الرسالة الجماعية </w:t>
      </w:r>
      <w:r w:rsidR="00E469E6" w:rsidRPr="00E469E6">
        <w:rPr>
          <w:rStyle w:val="Hyperlink"/>
          <w:spacing w:val="-2"/>
        </w:rPr>
        <w:t>2/20</w:t>
      </w:r>
      <w:r>
        <w:fldChar w:fldCharType="end"/>
      </w:r>
      <w:r w:rsidRPr="00E469E6">
        <w:rPr>
          <w:spacing w:val="-2"/>
          <w:rtl/>
        </w:rPr>
        <w:t>.</w:t>
      </w:r>
    </w:p>
    <w:p w14:paraId="1F628B61" w14:textId="77777777" w:rsidR="00BD4AFA" w:rsidRPr="008571F1" w:rsidRDefault="00BD4AFA" w:rsidP="00BD4AFA">
      <w:pPr>
        <w:spacing w:before="100"/>
        <w:textDirection w:val="tbRlV"/>
        <w:rPr>
          <w:lang w:val="ar-SA" w:eastAsia="zh-TW" w:bidi="en-GB"/>
        </w:rPr>
      </w:pPr>
      <w:r w:rsidRPr="008571F1">
        <w:rPr>
          <w:rtl/>
        </w:rPr>
        <w:t>2</w:t>
      </w:r>
      <w:r w:rsidRPr="008571F1">
        <w:rPr>
          <w:rtl/>
        </w:rPr>
        <w:tab/>
        <w:t>ويمكن الاطلاع في الملحق 1 على عناوين وملخصات مشاريع توصيات قطاع تقييس الاتصالات التي تُقترح الموافقة عليها والوثائق التي ترد فيها.</w:t>
      </w:r>
    </w:p>
    <w:p w14:paraId="2289D172" w14:textId="10117B52" w:rsidR="00BD4AFA" w:rsidRPr="008571F1" w:rsidRDefault="00BD4AFA" w:rsidP="00BD4AFA">
      <w:pPr>
        <w:spacing w:before="100"/>
        <w:textDirection w:val="tbRlV"/>
        <w:rPr>
          <w:lang w:val="ar-SA" w:eastAsia="zh-TW" w:bidi="en-GB"/>
        </w:rPr>
      </w:pPr>
      <w:r w:rsidRPr="008571F1">
        <w:rPr>
          <w:rtl/>
        </w:rPr>
        <w:t>3</w:t>
      </w:r>
      <w:r w:rsidRPr="008571F1">
        <w:rPr>
          <w:rtl/>
        </w:rPr>
        <w:tab/>
        <w:t>وتستهل هذه الرسالة المعممة المشاورة الرسمية مع الدول الأعضاء في الاتحاد بشأن ما إذا كان يمكن النظر في</w:t>
      </w:r>
      <w:r w:rsidR="00FA60D1">
        <w:rPr>
          <w:rFonts w:hint="cs"/>
          <w:rtl/>
        </w:rPr>
        <w:t> </w:t>
      </w:r>
      <w:r w:rsidRPr="008571F1">
        <w:rPr>
          <w:rtl/>
        </w:rPr>
        <w:t>هذه النصوص للموافقة عليها في الاجتماع المقبل، وفقاً للفقرة 4.9 من القرار 1. ويُرجى من الدول الأعضاء ملء الاستمارة الواردة في</w:t>
      </w:r>
      <w:r w:rsidR="00336087">
        <w:rPr>
          <w:rFonts w:hint="cs"/>
          <w:rtl/>
        </w:rPr>
        <w:t> </w:t>
      </w:r>
      <w:r w:rsidRPr="008571F1">
        <w:rPr>
          <w:rtl/>
        </w:rPr>
        <w:t xml:space="preserve">الملحق 2 وإعادتها في موعد أقصاه </w:t>
      </w:r>
      <w:r w:rsidRPr="008571F1">
        <w:rPr>
          <w:b/>
          <w:bCs/>
          <w:rtl/>
        </w:rPr>
        <w:t>3 سبتمبر 2025</w:t>
      </w:r>
      <w:r w:rsidRPr="008571F1">
        <w:rPr>
          <w:rtl/>
        </w:rPr>
        <w:t>، الساعة 23:59 بالتوقيت العالمي المنسق.</w:t>
      </w:r>
    </w:p>
    <w:p w14:paraId="1C34C7A6" w14:textId="77777777" w:rsidR="00BD4AFA" w:rsidRPr="008571F1" w:rsidRDefault="00BD4AFA" w:rsidP="00BD4AFA">
      <w:pPr>
        <w:spacing w:before="100"/>
        <w:textDirection w:val="tbRlV"/>
        <w:rPr>
          <w:lang w:val="ar-SA" w:eastAsia="zh-TW" w:bidi="en-GB"/>
        </w:rPr>
      </w:pPr>
      <w:r w:rsidRPr="008571F1">
        <w:rPr>
          <w:rtl/>
        </w:rPr>
        <w:lastRenderedPageBreak/>
        <w:t>4</w:t>
      </w:r>
      <w:r w:rsidRPr="008571F1">
        <w:rPr>
          <w:rtl/>
        </w:rPr>
        <w:tab/>
        <w:t>وإذا كانت نسبة 70 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المضي قدماً أن تبلغ مدير مكتب تقييس الاتصالات بأسباب هذا الرأي وأن تشير إلى التغييرات الممكنة التي من شأنها أن تمكن من إحراز تقدم في العمل.</w:t>
      </w:r>
    </w:p>
    <w:p w14:paraId="2F1E87AE" w14:textId="344EEAD5" w:rsidR="00D517B2" w:rsidRPr="003A5382" w:rsidRDefault="00BD4AFA" w:rsidP="00BD4AFA">
      <w:pPr>
        <w:rPr>
          <w:spacing w:val="-2"/>
          <w:rtl/>
          <w:lang w:bidi="ar-SY"/>
        </w:rPr>
      </w:pPr>
      <w:r w:rsidRPr="003A5382">
        <w:rPr>
          <w:b/>
          <w:bCs/>
          <w:spacing w:val="-2"/>
          <w:rtl/>
        </w:rPr>
        <w:t>ملاحظة من مكتب تقييس الاتصالات</w:t>
      </w:r>
      <w:r w:rsidRPr="003A5382">
        <w:rPr>
          <w:spacing w:val="-2"/>
          <w:rtl/>
        </w:rPr>
        <w:t xml:space="preserve"> - لم يتلقَ مكتب تقييس الاتصالات حتى تاريخ هذه الرسالة المعممة أي بيانات عن حقوق الملكية الفكرية فيما يخص مشروع النص هذا. وللاطلاع على أحدث المعلومات بهذا الشأن، يُرجى من الأعضاء الرجوع إلى قاعدة بيانات حقوق الملكية الفكرية المتاحة عبر الرابط التالي</w:t>
      </w:r>
      <w:r w:rsidR="00336087" w:rsidRPr="003A5382">
        <w:rPr>
          <w:rFonts w:hint="cs"/>
          <w:spacing w:val="-2"/>
          <w:rtl/>
        </w:rPr>
        <w:t xml:space="preserve">: </w:t>
      </w:r>
      <w:hyperlink r:id="rId10" w:history="1">
        <w:r w:rsidR="005D4CF3" w:rsidRPr="003A5382">
          <w:rPr>
            <w:rStyle w:val="Hyperlink"/>
            <w:spacing w:val="-2"/>
          </w:rPr>
          <w:t>https://www.itu.int/ar/ITU-T/ipr/Pages/default.aspx</w:t>
        </w:r>
      </w:hyperlink>
      <w:r w:rsidRPr="003A5382">
        <w:rPr>
          <w:spacing w:val="-2"/>
          <w:rtl/>
        </w:rPr>
        <w:t>.</w:t>
      </w:r>
    </w:p>
    <w:p w14:paraId="4147E7AB" w14:textId="77777777" w:rsidR="00E84438" w:rsidRPr="00D517B2" w:rsidRDefault="00E84438" w:rsidP="00891703">
      <w:pPr>
        <w:spacing w:before="240"/>
        <w:jc w:val="left"/>
        <w:rPr>
          <w:rtl/>
          <w:lang w:bidi="ar-EG"/>
        </w:rPr>
      </w:pPr>
      <w:r w:rsidRPr="00D517B2">
        <w:rPr>
          <w:rFonts w:hint="cs"/>
          <w:rtl/>
          <w:lang w:bidi="ar-EG"/>
        </w:rPr>
        <w:t>وتفضلوا بقبول فائق التقدير والاحترام.</w:t>
      </w:r>
    </w:p>
    <w:p w14:paraId="5F4915B8" w14:textId="31A5D1FA" w:rsidR="00E84438" w:rsidRDefault="00306D01" w:rsidP="00C84570">
      <w:pPr>
        <w:spacing w:before="840"/>
        <w:jc w:val="left"/>
        <w:rPr>
          <w:lang w:bidi="ar-SY"/>
        </w:rPr>
      </w:pPr>
      <w:r>
        <w:rPr>
          <w:rFonts w:hint="cs"/>
          <w:noProof/>
          <w:rtl/>
          <w:lang w:val="ar-SY" w:bidi="ar-SY"/>
        </w:rPr>
        <w:drawing>
          <wp:anchor distT="0" distB="0" distL="114300" distR="114300" simplePos="0" relativeHeight="251658240" behindDoc="1" locked="0" layoutInCell="1" allowOverlap="1" wp14:anchorId="4175429B" wp14:editId="3150B9F1">
            <wp:simplePos x="0" y="0"/>
            <wp:positionH relativeFrom="margin">
              <wp:align>right</wp:align>
            </wp:positionH>
            <wp:positionV relativeFrom="paragraph">
              <wp:posOffset>78740</wp:posOffset>
            </wp:positionV>
            <wp:extent cx="768389" cy="368319"/>
            <wp:effectExtent l="0" t="0" r="0" b="0"/>
            <wp:wrapNone/>
            <wp:docPr id="1964242595"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42595" name="Picture 1" descr="A black and white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7577C9D6" w14:textId="4E7F07D8" w:rsidR="00BD4AFA" w:rsidRPr="00D517B2" w:rsidRDefault="00DE1955" w:rsidP="002C20FB">
      <w:pPr>
        <w:spacing w:before="1440"/>
        <w:jc w:val="left"/>
        <w:rPr>
          <w:lang w:bidi="ar-EG"/>
        </w:rPr>
      </w:pPr>
      <w:r w:rsidRPr="000E3A67">
        <w:rPr>
          <w:rFonts w:hint="cs"/>
          <w:b/>
          <w:bCs/>
          <w:rtl/>
          <w:lang w:bidi="ar-EG"/>
        </w:rPr>
        <w:t>الملحقات:</w:t>
      </w:r>
      <w:r w:rsidR="000E3A67">
        <w:rPr>
          <w:lang w:bidi="ar-EG"/>
        </w:rPr>
        <w:tab/>
      </w:r>
      <w:r>
        <w:rPr>
          <w:lang w:bidi="ar-EG"/>
        </w:rPr>
        <w:t>2</w:t>
      </w:r>
    </w:p>
    <w:p w14:paraId="11D30AD7" w14:textId="77777777" w:rsidR="00596808" w:rsidRDefault="00596808" w:rsidP="00E84438">
      <w:pPr>
        <w:rPr>
          <w:rtl/>
          <w:lang w:bidi="ar-EG"/>
        </w:rPr>
      </w:pPr>
      <w:r>
        <w:rPr>
          <w:rtl/>
          <w:lang w:bidi="ar-EG"/>
        </w:rPr>
        <w:br w:type="page"/>
      </w:r>
    </w:p>
    <w:p w14:paraId="6F6E36E0" w14:textId="0DEE0E05" w:rsidR="00DE1955" w:rsidRPr="000E3A67" w:rsidRDefault="00DE1955" w:rsidP="000E3A67">
      <w:pPr>
        <w:pStyle w:val="Annextitle"/>
        <w:rPr>
          <w:spacing w:val="-2"/>
        </w:rPr>
      </w:pPr>
      <w:r w:rsidRPr="000E3A67">
        <w:rPr>
          <w:rtl/>
        </w:rPr>
        <w:lastRenderedPageBreak/>
        <w:t xml:space="preserve">الملحق 1 </w:t>
      </w:r>
      <w:r w:rsidR="000E3A67" w:rsidRPr="000E3A67">
        <w:br/>
      </w:r>
      <w:r w:rsidRPr="000E3A67">
        <w:rPr>
          <w:rtl/>
        </w:rPr>
        <w:br/>
      </w:r>
      <w:r w:rsidRPr="000E3A67">
        <w:rPr>
          <w:spacing w:val="-2"/>
          <w:rtl/>
        </w:rPr>
        <w:t>ملخصات مشاريع التوصيات الجديدة المحددة ITU-T Y.4235</w:t>
      </w:r>
      <w:r w:rsidR="000E3A67" w:rsidRPr="000E3A67">
        <w:rPr>
          <w:spacing w:val="-2"/>
        </w:rPr>
        <w:t xml:space="preserve"> </w:t>
      </w:r>
      <w:r w:rsidRPr="000E3A67">
        <w:rPr>
          <w:spacing w:val="-2"/>
          <w:rtl/>
        </w:rPr>
        <w:t>(Y.PGComNet-Reqts سابقاً) وITU-T Y.4236</w:t>
      </w:r>
      <w:r w:rsidR="000E3A67" w:rsidRPr="000E3A67">
        <w:rPr>
          <w:spacing w:val="-2"/>
        </w:rPr>
        <w:t xml:space="preserve"> </w:t>
      </w:r>
      <w:r w:rsidRPr="000E3A67">
        <w:rPr>
          <w:spacing w:val="-2"/>
          <w:rtl/>
        </w:rPr>
        <w:t>(Y.EMM-Reqts سابقاً) وITU-T Y.4237</w:t>
      </w:r>
      <w:r w:rsidR="000E3A67" w:rsidRPr="000E3A67">
        <w:rPr>
          <w:spacing w:val="-2"/>
        </w:rPr>
        <w:t xml:space="preserve"> </w:t>
      </w:r>
      <w:r w:rsidRPr="000E3A67">
        <w:rPr>
          <w:spacing w:val="-2"/>
          <w:rtl/>
        </w:rPr>
        <w:t>(Y.dt-IWCS سابقاً) وITU</w:t>
      </w:r>
      <w:r w:rsidR="007A0944">
        <w:rPr>
          <w:spacing w:val="-2"/>
          <w:rtl/>
        </w:rPr>
        <w:noBreakHyphen/>
      </w:r>
      <w:r w:rsidRPr="000E3A67">
        <w:rPr>
          <w:spacing w:val="-2"/>
          <w:rtl/>
        </w:rPr>
        <w:t>T</w:t>
      </w:r>
      <w:r w:rsidR="007A0944">
        <w:rPr>
          <w:rFonts w:hint="cs"/>
          <w:spacing w:val="-2"/>
          <w:rtl/>
        </w:rPr>
        <w:t> </w:t>
      </w:r>
      <w:r w:rsidRPr="000E3A67">
        <w:rPr>
          <w:spacing w:val="-2"/>
          <w:rtl/>
        </w:rPr>
        <w:t>Y.4496</w:t>
      </w:r>
      <w:r w:rsidR="000E3A67" w:rsidRPr="000E3A67">
        <w:rPr>
          <w:spacing w:val="-2"/>
        </w:rPr>
        <w:t xml:space="preserve"> </w:t>
      </w:r>
      <w:r w:rsidRPr="000E3A67">
        <w:rPr>
          <w:spacing w:val="-2"/>
          <w:rtl/>
        </w:rPr>
        <w:t>(Y.RA-PHE سابقاً) و</w:t>
      </w:r>
      <w:r w:rsidRPr="000E3A67">
        <w:rPr>
          <w:spacing w:val="-2"/>
        </w:rPr>
        <w:t>ITU-T</w:t>
      </w:r>
      <w:r w:rsidRPr="000E3A67">
        <w:rPr>
          <w:spacing w:val="-2"/>
          <w:rtl/>
        </w:rPr>
        <w:t>ً Y.4708</w:t>
      </w:r>
      <w:r w:rsidR="000E3A67" w:rsidRPr="000E3A67">
        <w:rPr>
          <w:spacing w:val="-2"/>
        </w:rPr>
        <w:t xml:space="preserve"> </w:t>
      </w:r>
      <w:r w:rsidRPr="000E3A67">
        <w:rPr>
          <w:spacing w:val="-2"/>
          <w:rtl/>
        </w:rPr>
        <w:t>(Y.IoT-DPE سابقاً) وITU-T Y.4609</w:t>
      </w:r>
      <w:r w:rsidR="000E3A67" w:rsidRPr="000E3A67">
        <w:rPr>
          <w:spacing w:val="-2"/>
        </w:rPr>
        <w:t xml:space="preserve"> </w:t>
      </w:r>
      <w:r w:rsidRPr="000E3A67">
        <w:rPr>
          <w:spacing w:val="-2"/>
          <w:rtl/>
        </w:rPr>
        <w:t>(Y.Metadata-EPI سابقاً) وITU-T Y.4813</w:t>
      </w:r>
      <w:r w:rsidR="000E3A67" w:rsidRPr="000E3A67">
        <w:rPr>
          <w:spacing w:val="-2"/>
        </w:rPr>
        <w:t xml:space="preserve"> </w:t>
      </w:r>
      <w:r w:rsidRPr="000E3A67">
        <w:rPr>
          <w:spacing w:val="-2"/>
          <w:rtl/>
        </w:rPr>
        <w:t>(Y.iepi-dm-SA سابقاً) وITU-T Y.4814</w:t>
      </w:r>
      <w:r w:rsidR="000E3A67" w:rsidRPr="000E3A67">
        <w:rPr>
          <w:spacing w:val="-2"/>
        </w:rPr>
        <w:t xml:space="preserve"> </w:t>
      </w:r>
      <w:r w:rsidRPr="000E3A67">
        <w:rPr>
          <w:spacing w:val="-2"/>
          <w:rtl/>
        </w:rPr>
        <w:t>(Y.IoT</w:t>
      </w:r>
      <w:r w:rsidR="007A0944">
        <w:rPr>
          <w:spacing w:val="-2"/>
          <w:rtl/>
        </w:rPr>
        <w:noBreakHyphen/>
      </w:r>
      <w:r w:rsidRPr="000E3A67">
        <w:rPr>
          <w:spacing w:val="-2"/>
          <w:rtl/>
        </w:rPr>
        <w:t>acs-fra سابقاً) وITU-T Y.4911</w:t>
      </w:r>
      <w:r w:rsidR="000E3A67" w:rsidRPr="000E3A67">
        <w:rPr>
          <w:spacing w:val="-2"/>
        </w:rPr>
        <w:t xml:space="preserve"> </w:t>
      </w:r>
      <w:r w:rsidRPr="000E3A67">
        <w:rPr>
          <w:spacing w:val="-2"/>
          <w:rtl/>
        </w:rPr>
        <w:t>(Y.KPI-Flood سابقاً) والوثائق التي ترد فيها</w:t>
      </w:r>
    </w:p>
    <w:p w14:paraId="2C1EF48A" w14:textId="622D5DD0" w:rsidR="00DE1955" w:rsidRPr="00BB49D0" w:rsidRDefault="00DE1955" w:rsidP="00BB49D0">
      <w:pPr>
        <w:pStyle w:val="Heading1"/>
      </w:pPr>
      <w:r w:rsidRPr="00BB49D0">
        <w:rPr>
          <w:rtl/>
        </w:rPr>
        <w:t>1</w:t>
      </w:r>
      <w:r w:rsidRPr="00BB49D0">
        <w:rPr>
          <w:rtl/>
        </w:rPr>
        <w:tab/>
        <w:t>مشروع التوصية ITU-T Y.4235 (Y.PGComNet-Reqts سابقاً) ‎[</w:t>
      </w:r>
      <w:r w:rsidR="00BB49D0">
        <w:fldChar w:fldCharType="begin"/>
      </w:r>
      <w:r w:rsidR="00BB49D0">
        <w:instrText>HYPERLINK "https://www.itu.int/md/T25-SG20-R-0002/en"</w:instrText>
      </w:r>
      <w:r w:rsidR="00BB49D0">
        <w:fldChar w:fldCharType="separate"/>
      </w:r>
      <w:r w:rsidR="00BB49D0" w:rsidRPr="008C41CC">
        <w:rPr>
          <w:rStyle w:val="Hyperlink"/>
          <w:lang w:val="fr-CH"/>
        </w:rPr>
        <w:t>SG20-R2</w:t>
      </w:r>
      <w:r w:rsidR="00BB49D0">
        <w:fldChar w:fldCharType="end"/>
      </w:r>
      <w:r w:rsidRPr="00BB49D0">
        <w:rPr>
          <w:rtl/>
        </w:rPr>
        <w:t>]‎</w:t>
      </w:r>
    </w:p>
    <w:p w14:paraId="41F4996E" w14:textId="77777777" w:rsidR="00DE1955" w:rsidRPr="008571F1" w:rsidRDefault="00DE1955" w:rsidP="008C41CC">
      <w:pPr>
        <w:rPr>
          <w:b/>
          <w:lang w:val="ar-SA" w:eastAsia="zh-TW" w:bidi="en-GB"/>
        </w:rPr>
      </w:pPr>
      <w:r w:rsidRPr="008571F1">
        <w:rPr>
          <w:rtl/>
        </w:rPr>
        <w:t>متطلبات شبكة الاتصالات التي تستعمل شبكة الطاقة الكهربائية القائمة على إنترنت الأشياء</w:t>
      </w:r>
    </w:p>
    <w:p w14:paraId="5FAEEF25" w14:textId="77777777" w:rsidR="00DE1955" w:rsidRPr="008571F1" w:rsidRDefault="00DE1955" w:rsidP="00BB49D0">
      <w:pPr>
        <w:pStyle w:val="Headingb"/>
        <w:rPr>
          <w:rtl/>
          <w:lang w:val="ar-SA" w:eastAsia="zh-TW" w:bidi="en-GB"/>
        </w:rPr>
      </w:pPr>
      <w:r w:rsidRPr="008571F1">
        <w:rPr>
          <w:rtl/>
        </w:rPr>
        <w:t>ملخص</w:t>
      </w:r>
    </w:p>
    <w:p w14:paraId="551944A5" w14:textId="77777777" w:rsidR="00DE1955" w:rsidRPr="008C41CC" w:rsidRDefault="00DE1955" w:rsidP="008C41CC">
      <w:pPr>
        <w:rPr>
          <w:lang w:val="ar-SA" w:eastAsia="zh-TW" w:bidi="en-GB"/>
        </w:rPr>
      </w:pPr>
      <w:r w:rsidRPr="008C41CC">
        <w:rPr>
          <w:rtl/>
        </w:rPr>
        <w:t>تحدد هذه التوصية متطلبات شبكة الاتصالات التي تستعمل شبكة الطاقة الكهربائية القائمة على إنترنت الأشياء.</w:t>
      </w:r>
    </w:p>
    <w:p w14:paraId="456B3E7D" w14:textId="77777777" w:rsidR="00DE1955" w:rsidRPr="008571F1" w:rsidRDefault="00DE1955" w:rsidP="008C41CC">
      <w:pPr>
        <w:rPr>
          <w:lang w:val="ar-SA" w:eastAsia="zh-TW" w:bidi="en-GB"/>
        </w:rPr>
      </w:pPr>
      <w:r w:rsidRPr="008571F1">
        <w:rPr>
          <w:rtl/>
        </w:rPr>
        <w:t xml:space="preserve">توفر شبكة الاتصالات التي تستعمل شبكة الطاقة الكهربائية القائمة على إنترنت الأشياء تفاعل البيانات ثنائي الاتجاه في جميع مراحل عمليات شبكة الطاقة، بما في ذلك توليد الطاقة الكهربائية ونقلها وتوزيعها واستهلاكها. وهي وسيلة فعّالة لتحقيق إدراك شامل بحالة شبكة الطاقة الكهربائية، وتمكين التفاعل بين الإنسان والحاسوب، وإتاحة النفاذ الشامل إلى أجهزة إنترنت الأشياء في شبكة الطاقة الكهربائية. </w:t>
      </w:r>
    </w:p>
    <w:p w14:paraId="3E49255D" w14:textId="32D09D68" w:rsidR="00DE1955" w:rsidRPr="008C41CC" w:rsidRDefault="00DE1955" w:rsidP="008C41CC">
      <w:pPr>
        <w:pStyle w:val="Heading1"/>
      </w:pPr>
      <w:r w:rsidRPr="008C41CC">
        <w:rPr>
          <w:rtl/>
        </w:rPr>
        <w:t>2</w:t>
      </w:r>
      <w:r w:rsidRPr="008C41CC">
        <w:rPr>
          <w:rtl/>
        </w:rPr>
        <w:tab/>
        <w:t xml:space="preserve">مشروع التوصية </w:t>
      </w:r>
      <w:r w:rsidRPr="008C41CC">
        <w:t>ITU-T Y.4236</w:t>
      </w:r>
      <w:r w:rsidRPr="008C41CC">
        <w:rPr>
          <w:rtl/>
        </w:rPr>
        <w:t xml:space="preserve"> (</w:t>
      </w:r>
      <w:r w:rsidRPr="008C41CC">
        <w:t>Y.EMM-</w:t>
      </w:r>
      <w:proofErr w:type="spellStart"/>
      <w:r w:rsidRPr="008C41CC">
        <w:t>Reqts</w:t>
      </w:r>
      <w:proofErr w:type="spellEnd"/>
      <w:r w:rsidRPr="008C41CC">
        <w:rPr>
          <w:rtl/>
        </w:rPr>
        <w:t xml:space="preserve"> سابقاً) ‎</w:t>
      </w:r>
      <w:r w:rsidRPr="008C41CC">
        <w:t>[</w:t>
      </w:r>
      <w:hyperlink r:id="rId12" w:history="1">
        <w:r w:rsidR="009C23A0" w:rsidRPr="009C23A0">
          <w:rPr>
            <w:rStyle w:val="Hyperlink"/>
            <w:lang w:val="fr-CH"/>
          </w:rPr>
          <w:t>SG20-R3</w:t>
        </w:r>
      </w:hyperlink>
      <w:r w:rsidRPr="008C41CC">
        <w:t>]</w:t>
      </w:r>
    </w:p>
    <w:p w14:paraId="172B4677" w14:textId="77777777" w:rsidR="00DE1955" w:rsidRPr="008571F1" w:rsidRDefault="00DE1955" w:rsidP="008C41CC">
      <w:pPr>
        <w:rPr>
          <w:b/>
          <w:lang w:val="ar-SA" w:eastAsia="zh-TW" w:bidi="en-GB"/>
        </w:rPr>
      </w:pPr>
      <w:r w:rsidRPr="008571F1">
        <w:rPr>
          <w:rtl/>
        </w:rPr>
        <w:t>متطلبات مراقبة الأحداث في الوقت الفعلي وإدارتها المتكاملة في منصات المدن الذكية</w:t>
      </w:r>
    </w:p>
    <w:p w14:paraId="723B095C" w14:textId="77777777" w:rsidR="00DE1955" w:rsidRPr="004A2212" w:rsidRDefault="00DE1955" w:rsidP="008C41CC">
      <w:pPr>
        <w:pStyle w:val="Headingb"/>
        <w:rPr>
          <w:lang w:eastAsia="zh-TW" w:bidi="en-GB"/>
        </w:rPr>
      </w:pPr>
      <w:r w:rsidRPr="008571F1">
        <w:rPr>
          <w:rtl/>
        </w:rPr>
        <w:t>ملخص</w:t>
      </w:r>
    </w:p>
    <w:p w14:paraId="5DE30F39" w14:textId="78C669AC" w:rsidR="00DE1955" w:rsidRPr="00071DF4" w:rsidRDefault="00DE1955" w:rsidP="008C41CC">
      <w:r w:rsidRPr="008571F1">
        <w:rPr>
          <w:rtl/>
        </w:rPr>
        <w:t xml:space="preserve">تقدم هذه التوصية نظرة عامة على منصة مراقبة الأحداث في الوقت الفعلي وإدارتها المتكاملة </w:t>
      </w:r>
      <w:r w:rsidR="00834CAD">
        <w:t>(</w:t>
      </w:r>
      <w:r w:rsidR="00834CAD" w:rsidRPr="008571F1">
        <w:t>EMM</w:t>
      </w:r>
      <w:r w:rsidR="00834CAD">
        <w:t>)</w:t>
      </w:r>
      <w:r w:rsidRPr="008571F1">
        <w:rPr>
          <w:rtl/>
        </w:rPr>
        <w:t xml:space="preserve"> وتحدد المتطلبات ذات</w:t>
      </w:r>
      <w:r w:rsidR="00834CAD">
        <w:rPr>
          <w:rFonts w:hint="cs"/>
          <w:rtl/>
        </w:rPr>
        <w:t> </w:t>
      </w:r>
      <w:r w:rsidRPr="008571F1">
        <w:rPr>
          <w:rtl/>
        </w:rPr>
        <w:t xml:space="preserve">الصلة. ومنصة </w:t>
      </w:r>
      <w:r w:rsidRPr="008571F1">
        <w:t>EMM</w:t>
      </w:r>
      <w:r w:rsidRPr="008571F1">
        <w:rPr>
          <w:rtl/>
        </w:rPr>
        <w:t xml:space="preserve"> هي نوع من منصات المدن الذكية (</w:t>
      </w:r>
      <w:r w:rsidRPr="008571F1">
        <w:t>SCP</w:t>
      </w:r>
      <w:r w:rsidRPr="008571F1">
        <w:rPr>
          <w:rtl/>
        </w:rPr>
        <w:t>) (انظر التوصية ITU-T Y.4201). وصُممت هذه المنصة خصيصاً لتمكين السلطات الداخلية والخارجية للمدينة من اتخاذ قرارات مستنيرة والاستجابة بسرعة للأحداث التي قد</w:t>
      </w:r>
      <w:r w:rsidR="00834CAD">
        <w:rPr>
          <w:rFonts w:hint="cs"/>
          <w:rtl/>
        </w:rPr>
        <w:t> </w:t>
      </w:r>
      <w:r w:rsidRPr="008571F1">
        <w:rPr>
          <w:rtl/>
        </w:rPr>
        <w:t>تنشأ في</w:t>
      </w:r>
      <w:r w:rsidR="00834CAD">
        <w:rPr>
          <w:rFonts w:hint="cs"/>
          <w:rtl/>
        </w:rPr>
        <w:t> </w:t>
      </w:r>
      <w:r w:rsidRPr="008571F1">
        <w:rPr>
          <w:rtl/>
        </w:rPr>
        <w:t xml:space="preserve">المدينة من خلال المراقبة في الوقت الفعلي، ما يؤدي في النهاية إلى تحسين كفاءة تقديم خدمات المدينة للمواطنين. </w:t>
      </w:r>
    </w:p>
    <w:p w14:paraId="6ACBE0D6" w14:textId="1BFCD94D" w:rsidR="00DE1955" w:rsidRPr="008C41CC" w:rsidRDefault="00DE1955" w:rsidP="008C41CC">
      <w:pPr>
        <w:pStyle w:val="Heading1"/>
      </w:pPr>
      <w:r w:rsidRPr="008C41CC">
        <w:rPr>
          <w:rtl/>
        </w:rPr>
        <w:t>3</w:t>
      </w:r>
      <w:r w:rsidRPr="008C41CC">
        <w:rPr>
          <w:rtl/>
        </w:rPr>
        <w:tab/>
        <w:t>مشروع التوصية الجديدة ITU-T Y.4237 (Y.dt-IWCS سابقاً) [</w:t>
      </w:r>
      <w:hyperlink r:id="rId13" w:history="1">
        <w:r w:rsidR="00071DF4" w:rsidRPr="001B4353">
          <w:rPr>
            <w:rStyle w:val="Hyperlink"/>
            <w:lang w:val="fr-CH"/>
          </w:rPr>
          <w:t>SG20-R4</w:t>
        </w:r>
      </w:hyperlink>
      <w:r w:rsidRPr="008C41CC">
        <w:rPr>
          <w:rtl/>
        </w:rPr>
        <w:t>]</w:t>
      </w:r>
    </w:p>
    <w:p w14:paraId="2A7D577F" w14:textId="77777777" w:rsidR="00DE1955" w:rsidRPr="008571F1" w:rsidRDefault="00DE1955" w:rsidP="008C41CC">
      <w:pPr>
        <w:rPr>
          <w:b/>
          <w:lang w:val="ar-SA" w:eastAsia="zh-TW" w:bidi="en-GB"/>
        </w:rPr>
      </w:pPr>
      <w:r w:rsidRPr="008571F1">
        <w:rPr>
          <w:rtl/>
        </w:rPr>
        <w:t>متطلبات وإطار قدرات التوأم الرقمي للنظام الذكي لحفظ المياه</w:t>
      </w:r>
    </w:p>
    <w:p w14:paraId="25927064" w14:textId="77777777" w:rsidR="00DE1955" w:rsidRPr="008571F1" w:rsidRDefault="00DE1955" w:rsidP="008C41CC">
      <w:pPr>
        <w:pStyle w:val="Headingb"/>
        <w:rPr>
          <w:lang w:val="ar-SA" w:eastAsia="zh-TW" w:bidi="en-GB"/>
        </w:rPr>
      </w:pPr>
      <w:r w:rsidRPr="008571F1">
        <w:rPr>
          <w:rtl/>
        </w:rPr>
        <w:t>ملخص</w:t>
      </w:r>
    </w:p>
    <w:p w14:paraId="7DEE6A37" w14:textId="23FB649C" w:rsidR="00DE1955" w:rsidRPr="001B4353" w:rsidRDefault="00DE1955" w:rsidP="008C41CC">
      <w:r w:rsidRPr="008571F1">
        <w:rPr>
          <w:rtl/>
        </w:rPr>
        <w:t xml:space="preserve">تحدد التوصية ITU-T Y.4237 متطلبات وإطار قدرات التوأم الرقمي للنظام الذكي لحفظ المياه </w:t>
      </w:r>
      <w:r w:rsidR="001B4353">
        <w:t>(</w:t>
      </w:r>
      <w:r w:rsidR="001B4353" w:rsidRPr="008571F1">
        <w:t>DT-IWCS</w:t>
      </w:r>
      <w:r w:rsidR="001B4353">
        <w:t>)</w:t>
      </w:r>
      <w:r w:rsidRPr="008571F1">
        <w:rPr>
          <w:rtl/>
        </w:rPr>
        <w:t>.</w:t>
      </w:r>
    </w:p>
    <w:p w14:paraId="3E6DC188" w14:textId="5BC25EED" w:rsidR="00DE1955" w:rsidRPr="001B4353" w:rsidRDefault="00DE1955" w:rsidP="008C41CC">
      <w:r w:rsidRPr="008571F1">
        <w:rPr>
          <w:rtl/>
        </w:rPr>
        <w:t>فحفظ المياه هو دائماً عامل مهم في جدولة الموارد المائية.</w:t>
      </w:r>
      <w:r w:rsidR="00D51032">
        <w:rPr>
          <w:rtl/>
        </w:rPr>
        <w:t xml:space="preserve"> </w:t>
      </w:r>
      <w:r w:rsidRPr="008571F1">
        <w:rPr>
          <w:rtl/>
        </w:rPr>
        <w:t>ويمكن للنظام الذكي لحفظ المياه المدعوم بالتوأم الرقمي أن يدعم المراقبة الذكية والتحكم باستخدام حفظ المياه وإدارته من خلال تفاعل التوأم الرقمي بين الأشياء الرقمية والأشياء المادية للنظام الذكي لحفظ المياه.</w:t>
      </w:r>
    </w:p>
    <w:p w14:paraId="13A65A7F" w14:textId="63EBFF2E" w:rsidR="00DE1955" w:rsidRPr="008C41CC" w:rsidRDefault="00DE1955" w:rsidP="008C41CC">
      <w:pPr>
        <w:pStyle w:val="Heading1"/>
      </w:pPr>
      <w:r w:rsidRPr="008C41CC">
        <w:rPr>
          <w:rtl/>
        </w:rPr>
        <w:t>4</w:t>
      </w:r>
      <w:r w:rsidRPr="008C41CC">
        <w:rPr>
          <w:rtl/>
        </w:rPr>
        <w:tab/>
        <w:t xml:space="preserve">مشروع التوصية الجديدة </w:t>
      </w:r>
      <w:r w:rsidRPr="008C41CC">
        <w:t>ITU-T Y.4496</w:t>
      </w:r>
      <w:r w:rsidRPr="008C41CC">
        <w:rPr>
          <w:rtl/>
        </w:rPr>
        <w:t xml:space="preserve"> (</w:t>
      </w:r>
      <w:r w:rsidRPr="008C41CC">
        <w:t>Y.RA-PHE</w:t>
      </w:r>
      <w:r w:rsidRPr="008C41CC">
        <w:rPr>
          <w:rtl/>
        </w:rPr>
        <w:t xml:space="preserve"> سابقاً) </w:t>
      </w:r>
      <w:r w:rsidRPr="008C41CC">
        <w:t>[</w:t>
      </w:r>
      <w:hyperlink r:id="rId14" w:history="1">
        <w:r w:rsidR="007075DF" w:rsidRPr="007075DF">
          <w:rPr>
            <w:rStyle w:val="Hyperlink"/>
            <w:lang w:val="fr-CH"/>
          </w:rPr>
          <w:t>SG20-R5</w:t>
        </w:r>
      </w:hyperlink>
      <w:r w:rsidRPr="008C41CC">
        <w:t>]</w:t>
      </w:r>
    </w:p>
    <w:p w14:paraId="6FEA76AD" w14:textId="77777777" w:rsidR="00DE1955" w:rsidRPr="007075DF" w:rsidRDefault="00DE1955" w:rsidP="008C41CC">
      <w:r w:rsidRPr="008571F1">
        <w:rPr>
          <w:rtl/>
        </w:rPr>
        <w:t>المتطلبات والمعمارية المرجعية لنظام معلومات طوارئ الصحة العامة الذكي</w:t>
      </w:r>
    </w:p>
    <w:p w14:paraId="10D7C210" w14:textId="77777777" w:rsidR="00DE1955" w:rsidRPr="008571F1" w:rsidRDefault="00DE1955" w:rsidP="008C41CC">
      <w:pPr>
        <w:pStyle w:val="Headingb"/>
        <w:rPr>
          <w:lang w:val="ar-SA" w:eastAsia="zh-TW" w:bidi="en-GB"/>
        </w:rPr>
      </w:pPr>
      <w:r w:rsidRPr="008571F1">
        <w:rPr>
          <w:rtl/>
        </w:rPr>
        <w:lastRenderedPageBreak/>
        <w:t>ملخص</w:t>
      </w:r>
    </w:p>
    <w:p w14:paraId="403C92FD" w14:textId="77777777" w:rsidR="00DE1955" w:rsidRPr="00D91466" w:rsidRDefault="00DE1955" w:rsidP="008C41CC">
      <w:r w:rsidRPr="008571F1">
        <w:rPr>
          <w:rtl/>
        </w:rPr>
        <w:t>تقدم التوصية ITU-T Y.4496 المتطلبات والمعمارية المرجعية لنظام معلومات طوارئ الصحة العامة الذكي الذي يمكن تنفيذه للتصدي للمخاطر الحالية والمستقبلية المحتملة على الصحة العامة.</w:t>
      </w:r>
    </w:p>
    <w:p w14:paraId="6EDFD012" w14:textId="22540A00" w:rsidR="00DE1955" w:rsidRPr="008C41CC" w:rsidRDefault="00DE1955" w:rsidP="008C41CC">
      <w:pPr>
        <w:pStyle w:val="Heading1"/>
      </w:pPr>
      <w:r w:rsidRPr="008C41CC">
        <w:rPr>
          <w:rtl/>
        </w:rPr>
        <w:t>5</w:t>
      </w:r>
      <w:r w:rsidRPr="008C41CC">
        <w:rPr>
          <w:rtl/>
        </w:rPr>
        <w:tab/>
        <w:t>مشروع التوصية الجديدة ITU-T Y.4708 (Y.IoT-DPE سابقاً) [</w:t>
      </w:r>
      <w:hyperlink r:id="rId15" w:history="1">
        <w:r w:rsidR="00854950" w:rsidRPr="00854950">
          <w:rPr>
            <w:rStyle w:val="Hyperlink"/>
            <w:lang w:val="fr-CH"/>
          </w:rPr>
          <w:t>SG20-R6</w:t>
        </w:r>
      </w:hyperlink>
      <w:r w:rsidRPr="008C41CC">
        <w:rPr>
          <w:rtl/>
        </w:rPr>
        <w:t>]</w:t>
      </w:r>
    </w:p>
    <w:p w14:paraId="1B3E2C6A" w14:textId="77777777" w:rsidR="00DE1955" w:rsidRPr="00854950" w:rsidRDefault="00DE1955" w:rsidP="008C41CC">
      <w:r w:rsidRPr="008571F1">
        <w:rPr>
          <w:rtl/>
        </w:rPr>
        <w:t>إطار إدارة معدات الطاقة الموزعة القائمة على إنترنت الأشياء</w:t>
      </w:r>
    </w:p>
    <w:p w14:paraId="3B3AAB4F" w14:textId="77777777" w:rsidR="00DE1955" w:rsidRPr="008571F1" w:rsidRDefault="00DE1955" w:rsidP="008C41CC">
      <w:pPr>
        <w:pStyle w:val="Headingb"/>
        <w:rPr>
          <w:lang w:val="ar-SA" w:eastAsia="zh-TW" w:bidi="en-GB"/>
        </w:rPr>
      </w:pPr>
      <w:r w:rsidRPr="008571F1">
        <w:rPr>
          <w:rtl/>
        </w:rPr>
        <w:t>ملخص</w:t>
      </w:r>
    </w:p>
    <w:p w14:paraId="54CAD681" w14:textId="77777777" w:rsidR="00DE1955" w:rsidRPr="00854950" w:rsidRDefault="00DE1955" w:rsidP="008C41CC">
      <w:r w:rsidRPr="008571F1">
        <w:rPr>
          <w:rtl/>
        </w:rPr>
        <w:t>في السنوات الأخيرة، أصبح التوجه نحو دمج الذكاء وإنترنت الأشياء لمعدات الطاقة واضحاً بشكل متزايد. وتتيح الاستفادة من مختلف أجهزة الاستشعار الموزعة وأنظمة إنترنت الأشياء الخاصة بها وظائف مثل مراقبة حالة معدات الطاقة، والتقييم التشخيصي، واتخاذ قرارات الصيانة. وفي الوقت نفسه، يعتمد التشغيل الآمن والمستقر والموثوق لمعدات الطاقة أيضاً على التعاون الفعال بين العديد من أجهزة الاستشعار والتحكم في إنترنت الأشياء. وبالتالي، أصبحت الحاجة إلى إدارة وتنسيق موحديْن لمعدات الطاقة وأجهزة استشعارها أو التحكم فيها باستخدام تكنولوجيا إنترنت الأشياء الموزعة أكثر إلحاحاً.</w:t>
      </w:r>
    </w:p>
    <w:p w14:paraId="049406C8" w14:textId="77777777" w:rsidR="00DE1955" w:rsidRPr="00854950" w:rsidRDefault="00DE1955" w:rsidP="008C41CC">
      <w:r w:rsidRPr="008571F1">
        <w:rPr>
          <w:rtl/>
        </w:rPr>
        <w:t>وتوفر هذه التوصية إطار إدارة معدات الطاقة الموزعة القائمة على إنترنت الأشياء، بما في ذلك الإطار والأنظمة الوظيفية والسطوح البينية المرجعية.</w:t>
      </w:r>
    </w:p>
    <w:p w14:paraId="3DD4DA0F" w14:textId="10E50758" w:rsidR="00DE1955" w:rsidRPr="008C41CC" w:rsidRDefault="00DE1955" w:rsidP="008C41CC">
      <w:pPr>
        <w:pStyle w:val="Heading1"/>
      </w:pPr>
      <w:r w:rsidRPr="008C41CC">
        <w:rPr>
          <w:rtl/>
        </w:rPr>
        <w:t>6</w:t>
      </w:r>
      <w:r w:rsidRPr="008C41CC">
        <w:rPr>
          <w:rtl/>
        </w:rPr>
        <w:tab/>
        <w:t>مشروع التوصية الجديدة ITU-T Y.4609 (Y.metadata-EPI سابقاً) [</w:t>
      </w:r>
      <w:hyperlink r:id="rId16" w:history="1">
        <w:r w:rsidR="00601CF5" w:rsidRPr="00601CF5">
          <w:rPr>
            <w:rStyle w:val="Hyperlink"/>
          </w:rPr>
          <w:t>SG20-R7</w:t>
        </w:r>
      </w:hyperlink>
      <w:r w:rsidRPr="008C41CC">
        <w:rPr>
          <w:rtl/>
        </w:rPr>
        <w:t>]</w:t>
      </w:r>
    </w:p>
    <w:p w14:paraId="29BE3C28" w14:textId="77777777" w:rsidR="00DE1955" w:rsidRPr="003C134E" w:rsidRDefault="00DE1955" w:rsidP="008C41CC">
      <w:r w:rsidRPr="008571F1">
        <w:rPr>
          <w:rtl/>
        </w:rPr>
        <w:t>جرد البيانات الشرحية لنظام مراقبة البنية التحتية للطاقة الكهربائية القائم على إنترنت الأشياء</w:t>
      </w:r>
    </w:p>
    <w:p w14:paraId="021681AF" w14:textId="77777777" w:rsidR="00DE1955" w:rsidRPr="008571F1" w:rsidRDefault="00DE1955" w:rsidP="008C41CC">
      <w:pPr>
        <w:pStyle w:val="Headingb"/>
        <w:rPr>
          <w:lang w:val="ar-SA" w:eastAsia="zh-TW" w:bidi="en-GB"/>
        </w:rPr>
      </w:pPr>
      <w:r w:rsidRPr="008571F1">
        <w:rPr>
          <w:rtl/>
        </w:rPr>
        <w:t>ملخص</w:t>
      </w:r>
    </w:p>
    <w:p w14:paraId="3479BE10" w14:textId="044DFB59" w:rsidR="00DE1955" w:rsidRPr="003C134E" w:rsidRDefault="00DE1955" w:rsidP="008C41CC">
      <w:r w:rsidRPr="008571F1">
        <w:rPr>
          <w:rtl/>
        </w:rPr>
        <w:t xml:space="preserve">أدى النشر المكثف لنظام مراقبة البنية التحتية للطاقة الكهربائية القائم على إنترنت الأشياء </w:t>
      </w:r>
      <w:r w:rsidR="003C134E">
        <w:t>(</w:t>
      </w:r>
      <w:r w:rsidR="003C134E" w:rsidRPr="008571F1">
        <w:t>IoT-EPIMS</w:t>
      </w:r>
      <w:r w:rsidR="003C134E">
        <w:t>)</w:t>
      </w:r>
      <w:r w:rsidRPr="008571F1">
        <w:rPr>
          <w:rtl/>
        </w:rPr>
        <w:t xml:space="preserve"> إلى تحسين ذكاء أنظمة الطاقة ورقمنتها. ومع ذلك، بالنظر إلى الطبيعة غير المتكافئة للأنظمة، تختلف الملاءمة والأداء اختلافاً كبيراً عند مراقبة حدث معين، مما يزيد صعوبة التطبيق الفعال لنظام المراقبة. ويمكن أن يعزز إنشاء البيانات الشرحية لنظام مراقبة البنية التحتية للطاقة الكهربائية القائم على إنترنت الأشياء إلى إدارة البيانات وقدرات التطبيق تعزيزاً فعالاً، وأن يجعل خدمات الطاقة أكثر شفافية وذكاءً وتقدماً في المدن الذكية. وتقدم التوصية ITU-T Y.4609 البيانات الشرحية لجرد نظام مراقبة البنية التحتية للطاقة الكهربائية القائم على إنترنت الأشياء.</w:t>
      </w:r>
    </w:p>
    <w:p w14:paraId="3D7D3B17" w14:textId="522CAB9A" w:rsidR="00DE1955" w:rsidRPr="008C41CC" w:rsidRDefault="00DE1955" w:rsidP="008C41CC">
      <w:pPr>
        <w:pStyle w:val="Heading1"/>
      </w:pPr>
      <w:r w:rsidRPr="008C41CC">
        <w:rPr>
          <w:rtl/>
        </w:rPr>
        <w:t>7</w:t>
      </w:r>
      <w:r w:rsidRPr="008C41CC">
        <w:rPr>
          <w:rtl/>
        </w:rPr>
        <w:tab/>
        <w:t>مشروع التوصية الجديدة ITU-T Y.4813 (Y.iepi-dm-sa سابقاً) [</w:t>
      </w:r>
      <w:hyperlink r:id="rId17" w:history="1">
        <w:r w:rsidR="00683E33" w:rsidRPr="00A7139F">
          <w:rPr>
            <w:rStyle w:val="Hyperlink"/>
            <w:lang w:val="fr-CH"/>
          </w:rPr>
          <w:t>SG20-R8</w:t>
        </w:r>
      </w:hyperlink>
      <w:r w:rsidRPr="008C41CC">
        <w:rPr>
          <w:rtl/>
        </w:rPr>
        <w:t>]</w:t>
      </w:r>
    </w:p>
    <w:p w14:paraId="0850B295" w14:textId="77777777" w:rsidR="00DE1955" w:rsidRPr="00A7139F" w:rsidRDefault="00DE1955" w:rsidP="008C41CC">
      <w:r w:rsidRPr="008571F1">
        <w:rPr>
          <w:rtl/>
        </w:rPr>
        <w:t>إطار تقييم أمن إدارة بيانات البنية التحتية للطاقة الكهربائية القائمة على إنترنت الأشياء</w:t>
      </w:r>
    </w:p>
    <w:p w14:paraId="1ADFADB6" w14:textId="77777777" w:rsidR="00DE1955" w:rsidRPr="008571F1" w:rsidRDefault="00DE1955" w:rsidP="008C41CC">
      <w:pPr>
        <w:pStyle w:val="Headingb"/>
        <w:rPr>
          <w:lang w:val="ar-SA" w:eastAsia="zh-TW" w:bidi="en-GB"/>
        </w:rPr>
      </w:pPr>
      <w:r w:rsidRPr="008571F1">
        <w:rPr>
          <w:rtl/>
        </w:rPr>
        <w:t>ملخص</w:t>
      </w:r>
    </w:p>
    <w:p w14:paraId="1217DFB5" w14:textId="35EF5864" w:rsidR="00DE1955" w:rsidRPr="00A7139F" w:rsidRDefault="00DE1955" w:rsidP="008C41CC">
      <w:r w:rsidRPr="008571F1">
        <w:rPr>
          <w:rtl/>
        </w:rPr>
        <w:t xml:space="preserve">يشمل تقييم أمن إدارة البيانات جوانب مختلفة من دورة حياة بيانات البنية التحتية للطاقة الكهربائية القائمة على إنترنت الأشياء </w:t>
      </w:r>
      <w:r w:rsidR="00A7139F">
        <w:t>(</w:t>
      </w:r>
      <w:r w:rsidR="00A7139F" w:rsidRPr="008571F1">
        <w:t>IoT-EPI</w:t>
      </w:r>
      <w:r w:rsidR="00A7139F">
        <w:t>)</w:t>
      </w:r>
      <w:r w:rsidRPr="008571F1">
        <w:rPr>
          <w:rtl/>
        </w:rPr>
        <w:t>، بما في ذلك جمع البيانات، وإرسالها، وتخزينها، ومعالجتها، وخدماتها. ومن خلال تقييم القدرات الأمنية في كل مرحلة من مراحل دورة حياة البيانات، يهدف هذا التقييم إلى تعزيز التخفيف من المخاطر والتهديدات الأمنية المرتبطة بالبنية التحتية للطاقة الكهربائية القائمة على إنترنت الأشياء، وتحسين توفير خدمات البيانات الفعّالة والآمنة في المدن الذكية.</w:t>
      </w:r>
    </w:p>
    <w:p w14:paraId="38EDEC42" w14:textId="77777777" w:rsidR="00DE1955" w:rsidRPr="00A7139F" w:rsidRDefault="00DE1955" w:rsidP="008C41CC">
      <w:r w:rsidRPr="008571F1">
        <w:rPr>
          <w:rtl/>
        </w:rPr>
        <w:t>وتحدد هذه التوصية إطاراً لتقييم الأمن وعوامل تقييم الأمن ذات الصلة بإدارة بيانات البنية التحتية للطاقة الكهربائية القائمة على إنترنت الأشياء.</w:t>
      </w:r>
    </w:p>
    <w:p w14:paraId="1A8D8116" w14:textId="7C50B8D8" w:rsidR="00DE1955" w:rsidRPr="008C41CC" w:rsidRDefault="00DE1955" w:rsidP="00B02A6A">
      <w:pPr>
        <w:pStyle w:val="Heading1"/>
      </w:pPr>
      <w:r w:rsidRPr="008C41CC">
        <w:rPr>
          <w:rtl/>
        </w:rPr>
        <w:lastRenderedPageBreak/>
        <w:t>8</w:t>
      </w:r>
      <w:r w:rsidRPr="008C41CC">
        <w:rPr>
          <w:rtl/>
        </w:rPr>
        <w:tab/>
        <w:t>مشروع التوصية الجديدة ITU-T Y.4814 (Y.IoT-acs-fra سابقاً) [</w:t>
      </w:r>
      <w:hyperlink r:id="rId18" w:history="1">
        <w:r w:rsidR="00A7139F" w:rsidRPr="00A7139F">
          <w:rPr>
            <w:rStyle w:val="Hyperlink"/>
            <w:lang w:val="fr-CH"/>
          </w:rPr>
          <w:t>SG20-R9</w:t>
        </w:r>
      </w:hyperlink>
      <w:r w:rsidRPr="008C41CC">
        <w:rPr>
          <w:rtl/>
        </w:rPr>
        <w:t>]</w:t>
      </w:r>
    </w:p>
    <w:p w14:paraId="419DEC0E" w14:textId="0281BE3D" w:rsidR="00DE1955" w:rsidRPr="00A7139F" w:rsidRDefault="00DE1955" w:rsidP="00B02A6A">
      <w:pPr>
        <w:keepNext/>
        <w:keepLines/>
      </w:pPr>
      <w:r w:rsidRPr="00A7139F">
        <w:rPr>
          <w:rtl/>
        </w:rPr>
        <w:t xml:space="preserve">المتطلبات والمعمارية الوظيفية لخدمة التحكم في النفاذ لمنصة إنترنت الأشياء </w:t>
      </w:r>
      <w:r w:rsidR="006C79F7">
        <w:t>(</w:t>
      </w:r>
      <w:r w:rsidR="006C79F7" w:rsidRPr="00A7139F">
        <w:t>IoT</w:t>
      </w:r>
      <w:r w:rsidR="006C79F7">
        <w:t>)</w:t>
      </w:r>
      <w:r w:rsidRPr="00A7139F">
        <w:rPr>
          <w:rtl/>
        </w:rPr>
        <w:t xml:space="preserve"> المدعومة بتكنولوجيا عدم الثقة في</w:t>
      </w:r>
      <w:r w:rsidR="00A7139F">
        <w:rPr>
          <w:rFonts w:hint="cs"/>
          <w:rtl/>
        </w:rPr>
        <w:t> </w:t>
      </w:r>
      <w:r w:rsidRPr="00A7139F">
        <w:rPr>
          <w:rtl/>
        </w:rPr>
        <w:t>البيئات اللامركزية</w:t>
      </w:r>
    </w:p>
    <w:p w14:paraId="62759E5D" w14:textId="77777777" w:rsidR="00DE1955" w:rsidRPr="008571F1" w:rsidRDefault="00DE1955" w:rsidP="00B02A6A">
      <w:pPr>
        <w:pStyle w:val="Headingb"/>
        <w:keepLines/>
        <w:rPr>
          <w:lang w:val="ar-SA" w:eastAsia="zh-TW" w:bidi="en-GB"/>
        </w:rPr>
      </w:pPr>
      <w:r w:rsidRPr="008571F1">
        <w:rPr>
          <w:rtl/>
        </w:rPr>
        <w:t>ملخص</w:t>
      </w:r>
    </w:p>
    <w:p w14:paraId="55494859" w14:textId="763F5294" w:rsidR="00DE1955" w:rsidRPr="006C79F7" w:rsidRDefault="00DE1955" w:rsidP="008C41CC">
      <w:r w:rsidRPr="008571F1">
        <w:rPr>
          <w:rtl/>
        </w:rPr>
        <w:t xml:space="preserve">هناك العديد من التحديات الكبيرة التي تواجه منصات إنترنت الأشياء </w:t>
      </w:r>
      <w:r w:rsidR="00A7139F">
        <w:t>(</w:t>
      </w:r>
      <w:r w:rsidR="00A7139F" w:rsidRPr="008571F1">
        <w:t>IoT</w:t>
      </w:r>
      <w:r w:rsidR="00A7139F">
        <w:t>)</w:t>
      </w:r>
      <w:r w:rsidRPr="008571F1">
        <w:rPr>
          <w:rtl/>
        </w:rPr>
        <w:t xml:space="preserve"> في البيئات اللامركزية لبناء الثقة بين كيانات إنترنت الأشياء (مثل أجهزة إنترنت الأشياء وخدمات إنترنت الأشياء وبوابات إنترنت الأشياء) عند تفاعلها مع بعضها البعض. ولا تستطيع حلول التحكم في النفاذ التقليدية لمنصات إنترنت الأشياء (مثل التحكم في المحيط، والاستيقان بكلمة السر، والشبكات الخاصة الافتراضية) التصدي لهذه التحديات بشكل كامل، ولا سيما عند نشر كيانات إنترنت الأشياء في بيئات لامركزية.</w:t>
      </w:r>
    </w:p>
    <w:p w14:paraId="7769741E" w14:textId="6449CCFA" w:rsidR="00DE1955" w:rsidRPr="006C79F7" w:rsidRDefault="00DE1955" w:rsidP="0036514A">
      <w:r w:rsidRPr="008571F1">
        <w:rPr>
          <w:rtl/>
        </w:rPr>
        <w:t xml:space="preserve">وتكنولوجيا عدم الثقة </w:t>
      </w:r>
      <w:r w:rsidR="00A7139F">
        <w:t>(</w:t>
      </w:r>
      <w:r w:rsidR="00A7139F" w:rsidRPr="008571F1">
        <w:t>ZT</w:t>
      </w:r>
      <w:r w:rsidR="00A7139F">
        <w:t>)</w:t>
      </w:r>
      <w:r w:rsidRPr="008571F1">
        <w:rPr>
          <w:rtl/>
        </w:rPr>
        <w:t xml:space="preserve"> هي أحد أنواع مبادئ الأمن السيبراني التي تُقدم مجموعة من المفاهيم والأفكار المُصممة لتقليل إلى أدنى حد عدم اليقين في تطبيق قرارات نفاذ دقيقة، بأقل قدر من الامتيازات لكل طلب، في أنظمة وخدمات المعلومات في</w:t>
      </w:r>
      <w:r w:rsidR="00F71BA3">
        <w:rPr>
          <w:rFonts w:hint="cs"/>
          <w:rtl/>
        </w:rPr>
        <w:t> </w:t>
      </w:r>
      <w:r w:rsidRPr="008571F1">
        <w:rPr>
          <w:rtl/>
        </w:rPr>
        <w:t xml:space="preserve">مواجهة شبكة مخترَقة </w:t>
      </w:r>
      <w:r w:rsidR="0036514A" w:rsidRPr="0036514A">
        <w:rPr>
          <w:lang w:val="en-GB"/>
        </w:rPr>
        <w:t>[b-NIST SP 800-207]</w:t>
      </w:r>
      <w:r w:rsidRPr="008571F1">
        <w:rPr>
          <w:rtl/>
        </w:rPr>
        <w:t>. وفي حلول التحكم في النفاذ القائمة على تكنولوجيا عدم الثقة، لم يعد تحديد حقوق النفاذ حسب الموقع ونطاق الأمن ضرورياً لكيانات إنترنت الأشياء لاكتشاف الكيانات الأخرى لإنترنت الأشياء والنفاذ إليها في منصات إنترنت الأشياء نفسها أو منصات مختلفة. ويجب تحديد ذلك لأي طلبات لاكتشاف أي من كيانات إنترنت الأشياء والنفاذ إليها في منصات إنترنت الأشياء. ولذلك، تُعد حلول التحكم في النفاذ القائمة على تكنولوجيا عدم الثقة مناسبة لمنصات إنترنت الأشياء في البيئات اللامركزية.</w:t>
      </w:r>
    </w:p>
    <w:p w14:paraId="2398916B" w14:textId="77777777" w:rsidR="00DE1955" w:rsidRPr="006C79F7" w:rsidRDefault="00DE1955" w:rsidP="008C41CC">
      <w:r w:rsidRPr="008571F1">
        <w:rPr>
          <w:rtl/>
        </w:rPr>
        <w:t>وتُقدم هذه التوصية خدمة للتحكم في النفاذ لمنصة إنترنت الأشياء في البيئات اللامركزية بدعم من تكنولوجيا عدم الثقة، وتُحدد خصائصها التقنية ومتطلباتها الوظيفية ومعماريتها.</w:t>
      </w:r>
    </w:p>
    <w:p w14:paraId="2F0F8CB7" w14:textId="5585FC04" w:rsidR="00DE1955" w:rsidRPr="008C41CC" w:rsidRDefault="00DE1955" w:rsidP="008C41CC">
      <w:pPr>
        <w:pStyle w:val="Heading1"/>
      </w:pPr>
      <w:r w:rsidRPr="008C41CC">
        <w:rPr>
          <w:rtl/>
        </w:rPr>
        <w:t>9</w:t>
      </w:r>
      <w:r w:rsidRPr="008C41CC">
        <w:rPr>
          <w:rtl/>
        </w:rPr>
        <w:tab/>
        <w:t>مشروع التوصية الجديدة ITU-T Y.4911 (Y.KPI-Flood سابقاً) [</w:t>
      </w:r>
      <w:hyperlink r:id="rId19" w:history="1">
        <w:r w:rsidR="00A95EE3" w:rsidRPr="00A95EE3">
          <w:rPr>
            <w:rStyle w:val="Hyperlink"/>
          </w:rPr>
          <w:t>SG20-R10</w:t>
        </w:r>
      </w:hyperlink>
      <w:r w:rsidRPr="008C41CC">
        <w:rPr>
          <w:rtl/>
        </w:rPr>
        <w:t>]</w:t>
      </w:r>
    </w:p>
    <w:p w14:paraId="02960FF7" w14:textId="77777777" w:rsidR="00DE1955" w:rsidRPr="00A95EE3" w:rsidRDefault="00DE1955" w:rsidP="008C41CC">
      <w:r w:rsidRPr="008571F1">
        <w:rPr>
          <w:rtl/>
        </w:rPr>
        <w:t>مؤشرات الأداء الرئيسية لقدرات دعم البيانات القائمة على تكنولوجيا المعلومات والاتصالات من أجل الوقاية من كوارث الفيضانات في المدن والقدرة على التخفيف من آثارها</w:t>
      </w:r>
    </w:p>
    <w:p w14:paraId="51EF3525" w14:textId="77777777" w:rsidR="00DE1955" w:rsidRPr="008571F1" w:rsidRDefault="00DE1955" w:rsidP="008C41CC">
      <w:pPr>
        <w:pStyle w:val="Headingb"/>
        <w:rPr>
          <w:lang w:val="ar-SA" w:eastAsia="zh-TW" w:bidi="en-GB"/>
        </w:rPr>
      </w:pPr>
      <w:r w:rsidRPr="008571F1">
        <w:rPr>
          <w:rtl/>
        </w:rPr>
        <w:t>ملخص</w:t>
      </w:r>
    </w:p>
    <w:p w14:paraId="60D6B20B" w14:textId="77777777" w:rsidR="00DE1955" w:rsidRDefault="00DE1955" w:rsidP="00DE1955">
      <w:pPr>
        <w:textDirection w:val="tbRlV"/>
        <w:rPr>
          <w:lang w:eastAsia="zh-TW" w:bidi="en-GB"/>
        </w:rPr>
      </w:pPr>
      <w:r w:rsidRPr="008571F1">
        <w:rPr>
          <w:rtl/>
        </w:rPr>
        <w:t>كارثة الفيضانات هي مسألة هامة تؤثر على سلامة المدينة. وهناك أشكال كثيرة لدعم البيانات بغية الوقاية من كوارث الفيضانات والتخفيف من آثارها. ومع ذلك، سيكون التقييم الشامل لقدرات دعم البيانات مفيداً للغاية بالنسبة للمدن. تحدد هذه التوصية مجموعة من مؤشرات الأداء الرئيسية لتقييم قدرات دعم البيانات القائمة على تكنولوجيا المعلومات والاتصالات من أجل الوقاية من كوارث الفيضانات في المدن والقدرة على التخفيف من آثارها.</w:t>
      </w:r>
    </w:p>
    <w:p w14:paraId="27794C87" w14:textId="52673B75" w:rsidR="00A95EE3" w:rsidRDefault="00A95EE3" w:rsidP="00DE1955">
      <w:pPr>
        <w:textDirection w:val="tbRlV"/>
        <w:rPr>
          <w:rtl/>
          <w:lang w:eastAsia="zh-TW"/>
        </w:rPr>
      </w:pPr>
      <w:r>
        <w:rPr>
          <w:rtl/>
          <w:lang w:eastAsia="zh-TW"/>
        </w:rPr>
        <w:br w:type="page"/>
      </w:r>
    </w:p>
    <w:p w14:paraId="7379AC89" w14:textId="720DEA81" w:rsidR="00DE1955" w:rsidRPr="00FD565B" w:rsidRDefault="00DE1955" w:rsidP="00FD565B">
      <w:pPr>
        <w:pStyle w:val="Annextitle"/>
      </w:pPr>
      <w:r w:rsidRPr="00FD565B">
        <w:rPr>
          <w:rtl/>
        </w:rPr>
        <w:lastRenderedPageBreak/>
        <w:t xml:space="preserve">الملحق 2 </w:t>
      </w:r>
      <w:r w:rsidR="00FD565B">
        <w:br/>
      </w:r>
      <w:r w:rsidRPr="00FD565B">
        <w:rPr>
          <w:rtl/>
        </w:rPr>
        <w:br/>
        <w:t xml:space="preserve">الموضوع: رد الدول الأعضاء على الرسالة المعممة 39 من مكتب تقييس الاتصالات: </w:t>
      </w:r>
      <w:r w:rsidR="00381378">
        <w:br/>
      </w:r>
      <w:r w:rsidRPr="00FD565B">
        <w:rPr>
          <w:rtl/>
        </w:rPr>
        <w:t>مشاورة بشأن مشاريع التوصيات الجديدة المحددة ITU-T Y.4235</w:t>
      </w:r>
      <w:r w:rsidR="00381378">
        <w:t xml:space="preserve"> </w:t>
      </w:r>
      <w:r w:rsidRPr="00FD565B">
        <w:rPr>
          <w:rtl/>
        </w:rPr>
        <w:t>(Y.PGComNet-Reqts سابقاً) وITU-T Y.4236 (Y.EMM-Reqts سابقاً) وITU-T Y.4237 (Y.dt-IWCS سابقاً) وITU-T Y.4496 (Y.RA-PHE سابقاً) وITU-T Y.4708 (Y.IoT-DPE سابقاً) وITU</w:t>
      </w:r>
      <w:r w:rsidR="00877CFA">
        <w:rPr>
          <w:rtl/>
        </w:rPr>
        <w:noBreakHyphen/>
      </w:r>
      <w:r w:rsidRPr="00FD565B">
        <w:rPr>
          <w:rtl/>
        </w:rPr>
        <w:t>T</w:t>
      </w:r>
      <w:r w:rsidR="00877CFA">
        <w:rPr>
          <w:rFonts w:hint="cs"/>
          <w:rtl/>
        </w:rPr>
        <w:t> </w:t>
      </w:r>
      <w:r w:rsidRPr="00FD565B">
        <w:rPr>
          <w:rtl/>
        </w:rPr>
        <w:t>Y.4609 (Y.Metadata-EPI سابقاً) وITU-T Y.4813 (Y.iepi-dm-SA سابقاً) وITU</w:t>
      </w:r>
      <w:r w:rsidR="00877CFA">
        <w:rPr>
          <w:rtl/>
        </w:rPr>
        <w:noBreakHyphen/>
      </w:r>
      <w:r w:rsidRPr="00FD565B">
        <w:rPr>
          <w:rtl/>
        </w:rPr>
        <w:t>T Y.4814 (Y.IoT-ACS-fra سابقاً) وITU-T Y.4911 (Y.KPI-Flood سابقاً)</w:t>
      </w:r>
    </w:p>
    <w:tbl>
      <w:tblPr>
        <w:bidiVisual/>
        <w:tblW w:w="5000" w:type="pct"/>
        <w:tblLook w:val="04A0" w:firstRow="1" w:lastRow="0" w:firstColumn="1" w:lastColumn="0" w:noHBand="0" w:noVBand="1"/>
      </w:tblPr>
      <w:tblGrid>
        <w:gridCol w:w="1555"/>
        <w:gridCol w:w="3823"/>
        <w:gridCol w:w="1562"/>
        <w:gridCol w:w="2699"/>
      </w:tblGrid>
      <w:tr w:rsidR="00DE1955" w:rsidRPr="00AF4B40" w14:paraId="4B8E1DF6" w14:textId="77777777" w:rsidTr="003A5382">
        <w:tc>
          <w:tcPr>
            <w:tcW w:w="807" w:type="pct"/>
            <w:shd w:val="clear" w:color="auto" w:fill="auto"/>
          </w:tcPr>
          <w:p w14:paraId="1DDCE747" w14:textId="77777777" w:rsidR="00DE1955" w:rsidRPr="00AF4B40" w:rsidRDefault="00DE1955" w:rsidP="00E8214B">
            <w:pPr>
              <w:spacing w:before="0"/>
              <w:jc w:val="left"/>
              <w:textDirection w:val="tbRlV"/>
              <w:rPr>
                <w:lang w:val="ar-SA" w:eastAsia="zh-TW" w:bidi="en-GB"/>
              </w:rPr>
            </w:pPr>
            <w:r w:rsidRPr="00AF4B40">
              <w:rPr>
                <w:b/>
                <w:bCs/>
                <w:color w:val="000000"/>
                <w:rtl/>
              </w:rPr>
              <w:t>إلى:</w:t>
            </w:r>
          </w:p>
        </w:tc>
        <w:tc>
          <w:tcPr>
            <w:tcW w:w="1983" w:type="pct"/>
            <w:tcBorders>
              <w:right w:val="single" w:sz="8" w:space="0" w:color="auto"/>
            </w:tcBorders>
            <w:shd w:val="clear" w:color="auto" w:fill="auto"/>
          </w:tcPr>
          <w:p w14:paraId="575B85A8" w14:textId="4E3E006A" w:rsidR="00DE1955" w:rsidRPr="00911200" w:rsidRDefault="00DE1955" w:rsidP="00E8214B">
            <w:pPr>
              <w:spacing w:before="0"/>
              <w:jc w:val="left"/>
              <w:textDirection w:val="tbRlV"/>
              <w:rPr>
                <w:lang w:eastAsia="zh-TW" w:bidi="en-GB"/>
              </w:rPr>
            </w:pPr>
            <w:r w:rsidRPr="00AF4B40">
              <w:rPr>
                <w:color w:val="000000"/>
                <w:rtl/>
              </w:rPr>
              <w:t>مدير مكتب تقييس الاتصالات</w:t>
            </w:r>
            <w:r w:rsidR="00C905B2">
              <w:rPr>
                <w:rtl/>
                <w:lang w:val="ar-SA" w:eastAsia="zh-TW" w:bidi="en-GB"/>
              </w:rPr>
              <w:br/>
            </w:r>
            <w:r w:rsidRPr="00AF4B40">
              <w:rPr>
                <w:color w:val="000000"/>
                <w:rtl/>
              </w:rPr>
              <w:t>الاتحاد الدولي للاتصالات</w:t>
            </w:r>
            <w:r w:rsidR="00C905B2">
              <w:rPr>
                <w:rtl/>
                <w:lang w:val="ar-SA" w:eastAsia="zh-TW" w:bidi="en-GB"/>
              </w:rPr>
              <w:br/>
            </w:r>
            <w:r w:rsidR="0020509E" w:rsidRPr="0020509E">
              <w:rPr>
                <w:color w:val="000000"/>
                <w:lang w:val="fr-CH"/>
              </w:rPr>
              <w:t>Place des Nations</w:t>
            </w:r>
            <w:r w:rsidR="00C905B2">
              <w:rPr>
                <w:rtl/>
                <w:lang w:eastAsia="zh-TW" w:bidi="en-GB"/>
              </w:rPr>
              <w:br/>
            </w:r>
            <w:r w:rsidR="0020509E" w:rsidRPr="0020509E">
              <w:rPr>
                <w:color w:val="000000"/>
                <w:lang w:val="en-GB"/>
              </w:rPr>
              <w:t>CH 1211 Geneva 20, Switzerland</w:t>
            </w:r>
          </w:p>
        </w:tc>
        <w:tc>
          <w:tcPr>
            <w:tcW w:w="810" w:type="pct"/>
            <w:tcBorders>
              <w:left w:val="single" w:sz="8" w:space="0" w:color="auto"/>
            </w:tcBorders>
            <w:shd w:val="clear" w:color="auto" w:fill="auto"/>
          </w:tcPr>
          <w:p w14:paraId="6D23655B" w14:textId="77777777" w:rsidR="00DE1955" w:rsidRPr="00AF4B40" w:rsidRDefault="00DE1955" w:rsidP="00E8214B">
            <w:pPr>
              <w:spacing w:before="0"/>
              <w:jc w:val="left"/>
              <w:textDirection w:val="tbRlV"/>
              <w:rPr>
                <w:lang w:val="ar-SA" w:eastAsia="zh-TW" w:bidi="en-GB"/>
              </w:rPr>
            </w:pPr>
            <w:r w:rsidRPr="00AF4B40">
              <w:rPr>
                <w:b/>
                <w:bCs/>
                <w:color w:val="000000"/>
                <w:rtl/>
              </w:rPr>
              <w:t>من:</w:t>
            </w:r>
          </w:p>
        </w:tc>
        <w:tc>
          <w:tcPr>
            <w:tcW w:w="1400" w:type="pct"/>
            <w:shd w:val="clear" w:color="auto" w:fill="auto"/>
          </w:tcPr>
          <w:p w14:paraId="01F44069" w14:textId="77777777" w:rsidR="00DE1955" w:rsidRPr="00AF4B40" w:rsidRDefault="00DE1955" w:rsidP="00E8214B">
            <w:pPr>
              <w:spacing w:before="0"/>
              <w:jc w:val="left"/>
              <w:textDirection w:val="tbRlV"/>
              <w:rPr>
                <w:lang w:val="ar-SA" w:eastAsia="zh-TW" w:bidi="en-GB"/>
              </w:rPr>
            </w:pPr>
            <w:r w:rsidRPr="00AF4B40">
              <w:rPr>
                <w:color w:val="000000"/>
                <w:rtl/>
              </w:rPr>
              <w:t>[الاسم]</w:t>
            </w:r>
          </w:p>
          <w:p w14:paraId="1257A270" w14:textId="77777777" w:rsidR="00DE1955" w:rsidRPr="00AF4B40" w:rsidRDefault="00DE1955" w:rsidP="00E8214B">
            <w:pPr>
              <w:spacing w:before="0"/>
              <w:jc w:val="left"/>
              <w:textDirection w:val="tbRlV"/>
              <w:rPr>
                <w:lang w:val="ar-SA" w:eastAsia="zh-TW" w:bidi="en-GB"/>
              </w:rPr>
            </w:pPr>
            <w:r w:rsidRPr="00AF4B40">
              <w:rPr>
                <w:color w:val="000000"/>
                <w:rtl/>
              </w:rPr>
              <w:t>[الدور/المنصب الرسمي]</w:t>
            </w:r>
          </w:p>
          <w:p w14:paraId="46FF4F32" w14:textId="77777777" w:rsidR="00DE1955" w:rsidRPr="00AF4B40" w:rsidRDefault="00DE1955" w:rsidP="00E8214B">
            <w:pPr>
              <w:spacing w:before="0"/>
              <w:jc w:val="left"/>
              <w:textDirection w:val="tbRlV"/>
              <w:rPr>
                <w:lang w:val="ar-SA" w:eastAsia="zh-TW" w:bidi="en-GB"/>
              </w:rPr>
            </w:pPr>
            <w:r w:rsidRPr="00AF4B40">
              <w:rPr>
                <w:color w:val="000000"/>
                <w:rtl/>
              </w:rPr>
              <w:t>[العنوان]</w:t>
            </w:r>
          </w:p>
        </w:tc>
      </w:tr>
      <w:tr w:rsidR="00DE1955" w:rsidRPr="00AF4B40" w14:paraId="68AF0042" w14:textId="77777777" w:rsidTr="003A5382">
        <w:tc>
          <w:tcPr>
            <w:tcW w:w="807" w:type="pct"/>
            <w:shd w:val="clear" w:color="auto" w:fill="auto"/>
          </w:tcPr>
          <w:p w14:paraId="26203651" w14:textId="77777777" w:rsidR="00DE1955" w:rsidRPr="0020509E" w:rsidRDefault="00DE1955" w:rsidP="00E8214B">
            <w:pPr>
              <w:spacing w:before="0"/>
              <w:jc w:val="left"/>
              <w:textDirection w:val="tbRlV"/>
              <w:rPr>
                <w:b/>
                <w:bCs/>
                <w:lang w:val="ar-SA" w:eastAsia="zh-TW" w:bidi="en-GB"/>
              </w:rPr>
            </w:pPr>
            <w:r w:rsidRPr="0020509E">
              <w:rPr>
                <w:b/>
                <w:bCs/>
                <w:color w:val="000000"/>
                <w:rtl/>
              </w:rPr>
              <w:t>الفاكس:</w:t>
            </w:r>
          </w:p>
        </w:tc>
        <w:tc>
          <w:tcPr>
            <w:tcW w:w="1983" w:type="pct"/>
            <w:tcBorders>
              <w:right w:val="single" w:sz="8" w:space="0" w:color="auto"/>
            </w:tcBorders>
            <w:shd w:val="clear" w:color="auto" w:fill="auto"/>
          </w:tcPr>
          <w:p w14:paraId="3CD093FF" w14:textId="5E826E08" w:rsidR="00DE1955" w:rsidRPr="00AF4B40" w:rsidRDefault="00B604F9" w:rsidP="00E8214B">
            <w:pPr>
              <w:spacing w:before="0"/>
              <w:jc w:val="left"/>
              <w:textDirection w:val="tbRlV"/>
              <w:rPr>
                <w:lang w:val="ar-SA" w:eastAsia="zh-TW" w:bidi="en-GB"/>
              </w:rPr>
            </w:pPr>
            <w:r w:rsidRPr="00B604F9">
              <w:rPr>
                <w:color w:val="000000"/>
                <w:lang w:val="en-GB"/>
              </w:rPr>
              <w:t>+41-22-730-5853</w:t>
            </w:r>
          </w:p>
        </w:tc>
        <w:tc>
          <w:tcPr>
            <w:tcW w:w="810" w:type="pct"/>
            <w:tcBorders>
              <w:left w:val="single" w:sz="8" w:space="0" w:color="auto"/>
            </w:tcBorders>
            <w:shd w:val="clear" w:color="auto" w:fill="auto"/>
          </w:tcPr>
          <w:p w14:paraId="28CA7DEC" w14:textId="77777777" w:rsidR="00DE1955" w:rsidRPr="0020509E" w:rsidRDefault="00DE1955" w:rsidP="00E8214B">
            <w:pPr>
              <w:spacing w:before="0"/>
              <w:jc w:val="left"/>
              <w:textDirection w:val="tbRlV"/>
              <w:rPr>
                <w:b/>
                <w:bCs/>
                <w:lang w:val="ar-SA" w:eastAsia="zh-TW" w:bidi="en-GB"/>
              </w:rPr>
            </w:pPr>
            <w:r w:rsidRPr="0020509E">
              <w:rPr>
                <w:b/>
                <w:bCs/>
                <w:color w:val="000000"/>
                <w:rtl/>
              </w:rPr>
              <w:t>الفاكس:</w:t>
            </w:r>
          </w:p>
        </w:tc>
        <w:tc>
          <w:tcPr>
            <w:tcW w:w="1400" w:type="pct"/>
            <w:shd w:val="clear" w:color="auto" w:fill="auto"/>
          </w:tcPr>
          <w:p w14:paraId="7B4D89DE" w14:textId="77777777" w:rsidR="00DE1955" w:rsidRPr="00AF4B40" w:rsidRDefault="00DE1955" w:rsidP="00E8214B">
            <w:pPr>
              <w:spacing w:before="0"/>
              <w:jc w:val="left"/>
            </w:pPr>
          </w:p>
        </w:tc>
      </w:tr>
      <w:tr w:rsidR="00DE1955" w:rsidRPr="00AF4B40" w14:paraId="324F8F2C" w14:textId="77777777" w:rsidTr="003A5382">
        <w:tc>
          <w:tcPr>
            <w:tcW w:w="807" w:type="pct"/>
            <w:shd w:val="clear" w:color="auto" w:fill="auto"/>
          </w:tcPr>
          <w:p w14:paraId="1CA9D280" w14:textId="77777777" w:rsidR="00DE1955" w:rsidRPr="0020509E" w:rsidRDefault="00DE1955" w:rsidP="00E8214B">
            <w:pPr>
              <w:spacing w:before="0"/>
              <w:jc w:val="left"/>
              <w:textDirection w:val="tbRlV"/>
              <w:rPr>
                <w:b/>
                <w:bCs/>
                <w:lang w:val="ar-SA" w:eastAsia="zh-TW" w:bidi="en-GB"/>
              </w:rPr>
            </w:pPr>
            <w:r w:rsidRPr="0020509E">
              <w:rPr>
                <w:b/>
                <w:bCs/>
                <w:color w:val="000000"/>
                <w:rtl/>
              </w:rPr>
              <w:t>البريد الإلكتروني:</w:t>
            </w:r>
          </w:p>
        </w:tc>
        <w:tc>
          <w:tcPr>
            <w:tcW w:w="1983" w:type="pct"/>
            <w:tcBorders>
              <w:right w:val="single" w:sz="8" w:space="0" w:color="auto"/>
            </w:tcBorders>
            <w:shd w:val="clear" w:color="auto" w:fill="auto"/>
          </w:tcPr>
          <w:p w14:paraId="39FD28E8" w14:textId="7AE66E83" w:rsidR="00DE1955" w:rsidRPr="0020509E" w:rsidRDefault="0020509E" w:rsidP="00E8214B">
            <w:pPr>
              <w:spacing w:before="0"/>
              <w:jc w:val="left"/>
              <w:textDirection w:val="tbRlV"/>
              <w:rPr>
                <w:lang w:val="ar-SA" w:eastAsia="zh-TW" w:bidi="en-GB"/>
              </w:rPr>
            </w:pPr>
            <w:hyperlink r:id="rId20" w:history="1">
              <w:r w:rsidRPr="0020509E">
                <w:rPr>
                  <w:rStyle w:val="Hyperlink"/>
                </w:rPr>
                <w:t>tsbdir@itu.int</w:t>
              </w:r>
            </w:hyperlink>
          </w:p>
        </w:tc>
        <w:tc>
          <w:tcPr>
            <w:tcW w:w="810" w:type="pct"/>
            <w:tcBorders>
              <w:left w:val="single" w:sz="8" w:space="0" w:color="auto"/>
            </w:tcBorders>
            <w:shd w:val="clear" w:color="auto" w:fill="auto"/>
          </w:tcPr>
          <w:p w14:paraId="40170CCB" w14:textId="77777777" w:rsidR="00DE1955" w:rsidRPr="0020509E" w:rsidRDefault="00DE1955" w:rsidP="00E8214B">
            <w:pPr>
              <w:spacing w:before="0"/>
              <w:jc w:val="left"/>
              <w:textDirection w:val="tbRlV"/>
              <w:rPr>
                <w:b/>
                <w:bCs/>
                <w:lang w:val="ar-SA" w:eastAsia="zh-TW" w:bidi="en-GB"/>
              </w:rPr>
            </w:pPr>
            <w:r w:rsidRPr="0020509E">
              <w:rPr>
                <w:b/>
                <w:bCs/>
                <w:color w:val="000000"/>
                <w:rtl/>
              </w:rPr>
              <w:t>البريد الإلكتروني:</w:t>
            </w:r>
          </w:p>
        </w:tc>
        <w:tc>
          <w:tcPr>
            <w:tcW w:w="1400" w:type="pct"/>
            <w:shd w:val="clear" w:color="auto" w:fill="auto"/>
          </w:tcPr>
          <w:p w14:paraId="4F52B0A5" w14:textId="77777777" w:rsidR="00DE1955" w:rsidRPr="00AF4B40" w:rsidRDefault="00DE1955" w:rsidP="00E8214B">
            <w:pPr>
              <w:spacing w:before="0"/>
              <w:jc w:val="left"/>
            </w:pPr>
          </w:p>
        </w:tc>
      </w:tr>
      <w:tr w:rsidR="00DE1955" w:rsidRPr="00AF4B40" w14:paraId="2C678EF1" w14:textId="77777777" w:rsidTr="003A5382">
        <w:tc>
          <w:tcPr>
            <w:tcW w:w="807" w:type="pct"/>
            <w:shd w:val="clear" w:color="auto" w:fill="auto"/>
          </w:tcPr>
          <w:p w14:paraId="31344DAC" w14:textId="77777777" w:rsidR="00DE1955" w:rsidRPr="00AF4B40" w:rsidRDefault="00DE1955" w:rsidP="00E8214B">
            <w:pPr>
              <w:spacing w:before="0"/>
              <w:jc w:val="left"/>
            </w:pPr>
          </w:p>
        </w:tc>
        <w:tc>
          <w:tcPr>
            <w:tcW w:w="1983" w:type="pct"/>
            <w:tcBorders>
              <w:right w:val="single" w:sz="8" w:space="0" w:color="auto"/>
            </w:tcBorders>
            <w:shd w:val="clear" w:color="auto" w:fill="auto"/>
          </w:tcPr>
          <w:p w14:paraId="3E948C49" w14:textId="77777777" w:rsidR="00DE1955" w:rsidRPr="00AF4B40" w:rsidRDefault="00DE1955" w:rsidP="00E8214B">
            <w:pPr>
              <w:spacing w:before="0"/>
              <w:jc w:val="left"/>
            </w:pPr>
          </w:p>
        </w:tc>
        <w:tc>
          <w:tcPr>
            <w:tcW w:w="810" w:type="pct"/>
            <w:tcBorders>
              <w:left w:val="single" w:sz="8" w:space="0" w:color="auto"/>
            </w:tcBorders>
            <w:shd w:val="clear" w:color="auto" w:fill="auto"/>
          </w:tcPr>
          <w:p w14:paraId="63D6AD53" w14:textId="77777777" w:rsidR="00DE1955" w:rsidRPr="0020509E" w:rsidRDefault="00DE1955" w:rsidP="00E8214B">
            <w:pPr>
              <w:spacing w:before="0"/>
              <w:jc w:val="left"/>
              <w:textDirection w:val="tbRlV"/>
              <w:rPr>
                <w:b/>
                <w:bCs/>
                <w:lang w:val="ar-SA" w:eastAsia="zh-TW" w:bidi="en-GB"/>
              </w:rPr>
            </w:pPr>
            <w:r w:rsidRPr="0020509E">
              <w:rPr>
                <w:b/>
                <w:bCs/>
                <w:color w:val="000000"/>
                <w:rtl/>
              </w:rPr>
              <w:t>التاريخ:</w:t>
            </w:r>
          </w:p>
        </w:tc>
        <w:tc>
          <w:tcPr>
            <w:tcW w:w="1400" w:type="pct"/>
            <w:shd w:val="clear" w:color="auto" w:fill="auto"/>
          </w:tcPr>
          <w:p w14:paraId="3DC43D11" w14:textId="77777777" w:rsidR="00DE1955" w:rsidRPr="00AF4B40" w:rsidRDefault="00DE1955" w:rsidP="00E8214B">
            <w:pPr>
              <w:spacing w:before="0"/>
              <w:jc w:val="left"/>
              <w:textDirection w:val="tbRlV"/>
              <w:rPr>
                <w:lang w:val="ar-SA" w:eastAsia="zh-TW" w:bidi="en-GB"/>
              </w:rPr>
            </w:pPr>
            <w:r w:rsidRPr="00AF4B40">
              <w:rPr>
                <w:color w:val="000000"/>
                <w:rtl/>
              </w:rPr>
              <w:t>[المكان،] [التاريخ]</w:t>
            </w:r>
          </w:p>
        </w:tc>
      </w:tr>
    </w:tbl>
    <w:p w14:paraId="1BE37E42" w14:textId="77777777" w:rsidR="00DE1955" w:rsidRPr="00AF4B40" w:rsidRDefault="00DE1955" w:rsidP="00D73119">
      <w:pPr>
        <w:spacing w:before="360"/>
        <w:textDirection w:val="tbRlV"/>
        <w:rPr>
          <w:lang w:val="ar-SA" w:eastAsia="zh-TW" w:bidi="en-GB"/>
        </w:rPr>
      </w:pPr>
      <w:r w:rsidRPr="00AF4B40">
        <w:rPr>
          <w:rtl/>
        </w:rPr>
        <w:t>حضرات السادة والسيدات،</w:t>
      </w:r>
    </w:p>
    <w:p w14:paraId="016F6121" w14:textId="5EF1B860" w:rsidR="00DE1955" w:rsidRDefault="00DE1955" w:rsidP="00B604F9">
      <w:pPr>
        <w:rPr>
          <w:rtl/>
        </w:rPr>
      </w:pPr>
      <w:r w:rsidRPr="00AF4B40">
        <w:rPr>
          <w:rtl/>
        </w:rPr>
        <w:t>تحية طيبة وبعد،</w:t>
      </w:r>
    </w:p>
    <w:p w14:paraId="28EDD67A" w14:textId="77777777" w:rsidR="00DE1955" w:rsidRPr="00AF4B40" w:rsidRDefault="00DE1955" w:rsidP="00CB5967">
      <w:pPr>
        <w:spacing w:after="120"/>
        <w:rPr>
          <w:lang w:val="ar-SA" w:eastAsia="zh-TW" w:bidi="en-GB"/>
        </w:rPr>
      </w:pPr>
      <w:r w:rsidRPr="00AF4B40">
        <w:rPr>
          <w:rtl/>
        </w:rPr>
        <w:t>فيما يخص مشاورة الدول الأعضاء بشأن مشاريع النصوص المحددة الواردة في الرسالة المعممة 39 من مكتب تقييس الاتصالات، أود أن أطلعكم على رأي هذه الإدارة المبين في الجدول أدناه.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6"/>
      </w:tblGrid>
      <w:tr w:rsidR="00DE1955" w:rsidRPr="00AF4B40" w14:paraId="29DBBBAB" w14:textId="77777777" w:rsidTr="00DA68D2">
        <w:trPr>
          <w:tblHeader/>
        </w:trPr>
        <w:tc>
          <w:tcPr>
            <w:tcW w:w="2063" w:type="dxa"/>
            <w:shd w:val="clear" w:color="auto" w:fill="auto"/>
            <w:vAlign w:val="center"/>
          </w:tcPr>
          <w:p w14:paraId="4749D598" w14:textId="77777777" w:rsidR="00DE1955" w:rsidRPr="00CD1505" w:rsidRDefault="00DE1955" w:rsidP="00CD1505">
            <w:pPr>
              <w:pStyle w:val="TableHead"/>
            </w:pPr>
          </w:p>
        </w:tc>
        <w:tc>
          <w:tcPr>
            <w:tcW w:w="7566" w:type="dxa"/>
            <w:shd w:val="clear" w:color="auto" w:fill="auto"/>
            <w:vAlign w:val="center"/>
          </w:tcPr>
          <w:p w14:paraId="7694144D" w14:textId="77777777" w:rsidR="00DE1955" w:rsidRPr="00AF4B40" w:rsidRDefault="00DE1955" w:rsidP="00CD7FFB">
            <w:pPr>
              <w:pStyle w:val="TableHead"/>
              <w:rPr>
                <w:lang w:val="ar-SA" w:eastAsia="zh-TW" w:bidi="en-GB"/>
              </w:rPr>
            </w:pPr>
            <w:r w:rsidRPr="00AF4B40">
              <w:rPr>
                <w:color w:val="000000"/>
                <w:rtl/>
              </w:rPr>
              <w:t>يُرجى اختيار أحد المربعين</w:t>
            </w:r>
          </w:p>
        </w:tc>
      </w:tr>
      <w:tr w:rsidR="00DE1955" w:rsidRPr="00AF4B40" w14:paraId="1ABB268F" w14:textId="77777777" w:rsidTr="00DA68D2">
        <w:trPr>
          <w:trHeight w:val="748"/>
        </w:trPr>
        <w:tc>
          <w:tcPr>
            <w:tcW w:w="2063" w:type="dxa"/>
            <w:vMerge w:val="restart"/>
            <w:shd w:val="clear" w:color="auto" w:fill="auto"/>
            <w:vAlign w:val="center"/>
          </w:tcPr>
          <w:p w14:paraId="6DBB65F6" w14:textId="3C00D749" w:rsidR="00DE1955" w:rsidRPr="00CD1505" w:rsidRDefault="00DE1955" w:rsidP="00CD1505">
            <w:pPr>
              <w:pStyle w:val="Tabletexte"/>
              <w:jc w:val="center"/>
              <w:rPr>
                <w:b/>
                <w:bCs/>
                <w:lang w:val="ar-SA" w:eastAsia="zh-TW" w:bidi="en-GB"/>
              </w:rPr>
            </w:pPr>
            <w:r w:rsidRPr="00CD1505">
              <w:rPr>
                <w:b/>
                <w:bCs/>
                <w:rtl/>
              </w:rPr>
              <w:t>مشروع التوصية ITU</w:t>
            </w:r>
            <w:r w:rsidR="00CD1505">
              <w:rPr>
                <w:b/>
                <w:bCs/>
                <w:rtl/>
              </w:rPr>
              <w:noBreakHyphen/>
            </w:r>
            <w:r w:rsidRPr="00CD1505">
              <w:rPr>
                <w:b/>
                <w:bCs/>
                <w:rtl/>
              </w:rPr>
              <w:t>T</w:t>
            </w:r>
            <w:r w:rsidR="00CD1505">
              <w:rPr>
                <w:rFonts w:hint="cs"/>
                <w:b/>
                <w:bCs/>
                <w:rtl/>
              </w:rPr>
              <w:t> </w:t>
            </w:r>
            <w:r w:rsidRPr="00CD1505">
              <w:rPr>
                <w:b/>
                <w:bCs/>
                <w:rtl/>
              </w:rPr>
              <w:t>Y.4235</w:t>
            </w:r>
            <w:r w:rsidR="00695DE8" w:rsidRPr="00CD1505">
              <w:rPr>
                <w:b/>
                <w:bCs/>
              </w:rPr>
              <w:t xml:space="preserve"> </w:t>
            </w:r>
            <w:r w:rsidRPr="00CD1505">
              <w:rPr>
                <w:b/>
                <w:bCs/>
                <w:rtl/>
              </w:rPr>
              <w:t>(Y.PGComNet-Reqts سابقاً</w:t>
            </w:r>
            <w:r w:rsidR="00695DE8" w:rsidRPr="00CD1505">
              <w:rPr>
                <w:rFonts w:hint="cs"/>
                <w:b/>
                <w:bCs/>
                <w:rtl/>
              </w:rPr>
              <w:t>)</w:t>
            </w:r>
            <w:r w:rsidRPr="00CD1505">
              <w:rPr>
                <w:b/>
                <w:bCs/>
              </w:rPr>
              <w:t>‎</w:t>
            </w:r>
          </w:p>
        </w:tc>
        <w:tc>
          <w:tcPr>
            <w:tcW w:w="7566" w:type="dxa"/>
            <w:shd w:val="clear" w:color="auto" w:fill="auto"/>
            <w:vAlign w:val="center"/>
          </w:tcPr>
          <w:p w14:paraId="49437C36" w14:textId="2C4A4DB0" w:rsidR="00DE1955" w:rsidRPr="00AF4B40" w:rsidRDefault="00CB5967" w:rsidP="00CA0655">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تفوض</w:t>
            </w:r>
            <w:r w:rsidR="00DE1955" w:rsidRPr="00AF4B40">
              <w:rPr>
                <w:rtl/>
              </w:rPr>
              <w:t xml:space="preserve"> لجنة الدراسات 20 </w:t>
            </w:r>
            <w:r w:rsidR="00DE1955" w:rsidRPr="00CD1505">
              <w:rPr>
                <w:b/>
                <w:bCs/>
                <w:rtl/>
              </w:rPr>
              <w:t>سلطة</w:t>
            </w:r>
            <w:r w:rsidR="00DE1955" w:rsidRPr="00AF4B40">
              <w:rPr>
                <w:rtl/>
              </w:rPr>
              <w:t xml:space="preserve"> النظر في هذا النص بغرض الموافقة عليه (وفي هذه الحالة، تحديد أحد الخيارين</w:t>
            </w:r>
            <w:r w:rsidR="00D911A0">
              <w:rPr>
                <w:rFonts w:hint="cs"/>
                <w:rtl/>
              </w:rPr>
              <w:t xml:space="preserve"> </w:t>
            </w:r>
            <w:r w:rsidR="00D911A0" w:rsidRPr="00D911A0">
              <w:rPr>
                <w:rFonts w:ascii="Calibri" w:eastAsia="Times New Roman" w:hAnsi="Calibri" w:cs="Times New Roman"/>
                <w:sz w:val="24"/>
                <w:lang w:val="es-ES" w:eastAsia="en-US" w:bidi="ar-SA"/>
              </w:rPr>
              <w:t xml:space="preserve"> ⃝</w:t>
            </w:r>
            <w:r w:rsidR="003F764D" w:rsidRPr="003F764D">
              <w:rPr>
                <w:rFonts w:hint="cs"/>
                <w:rtl/>
              </w:rPr>
              <w:t>)</w:t>
            </w:r>
          </w:p>
          <w:p w14:paraId="3D01088C" w14:textId="1F92C05E" w:rsidR="00DE1955" w:rsidRPr="00AF4B40" w:rsidRDefault="00CB5967" w:rsidP="0006656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لا توجد تعليقات أو تغييرات مقترحة</w:t>
            </w:r>
          </w:p>
          <w:p w14:paraId="6BB1B008" w14:textId="287DB235" w:rsidR="00DE1955" w:rsidRPr="00AF4B40" w:rsidRDefault="00CB5967" w:rsidP="0006656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التعليقات والتغييرات المقترحة مرفقة طيه</w:t>
            </w:r>
          </w:p>
        </w:tc>
      </w:tr>
      <w:tr w:rsidR="00DE1955" w:rsidRPr="00AF4B40" w14:paraId="55539E5D" w14:textId="77777777" w:rsidTr="00DA68D2">
        <w:trPr>
          <w:trHeight w:val="747"/>
        </w:trPr>
        <w:tc>
          <w:tcPr>
            <w:tcW w:w="2063" w:type="dxa"/>
            <w:vMerge/>
            <w:shd w:val="clear" w:color="auto" w:fill="auto"/>
            <w:vAlign w:val="center"/>
          </w:tcPr>
          <w:p w14:paraId="18C2F4F9" w14:textId="77777777" w:rsidR="00DE1955" w:rsidRPr="00CD1505" w:rsidRDefault="00DE1955" w:rsidP="00CD1505">
            <w:pPr>
              <w:pStyle w:val="Tabletexte"/>
              <w:jc w:val="center"/>
              <w:rPr>
                <w:b/>
                <w:bCs/>
              </w:rPr>
            </w:pPr>
          </w:p>
        </w:tc>
        <w:tc>
          <w:tcPr>
            <w:tcW w:w="7566" w:type="dxa"/>
            <w:shd w:val="clear" w:color="auto" w:fill="auto"/>
            <w:vAlign w:val="center"/>
          </w:tcPr>
          <w:p w14:paraId="0A3CB0B4" w14:textId="47E776B9" w:rsidR="00DE1955" w:rsidRPr="00AF4B40" w:rsidRDefault="00CB5967" w:rsidP="00A548EF">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لا تفوض</w:t>
            </w:r>
            <w:r w:rsidR="00DE1955" w:rsidRPr="00AF4B40">
              <w:rPr>
                <w:rtl/>
              </w:rPr>
              <w:t xml:space="preserve"> لجنة الدراسات 20 </w:t>
            </w:r>
            <w:r w:rsidR="00DE1955" w:rsidRPr="00CD1505">
              <w:rPr>
                <w:b/>
                <w:bCs/>
                <w:rtl/>
              </w:rPr>
              <w:t>سلطة</w:t>
            </w:r>
            <w:r w:rsidR="00DE1955" w:rsidRPr="00AF4B40">
              <w:rPr>
                <w:rtl/>
              </w:rPr>
              <w:t xml:space="preserve"> النظر في هذا النص بغرض الموافقة عليه (مرفق طيه أسباب هذا الرأي وموجز للتغييرات الممكنة التي من شأنها أن تمكّن من إحراز تقدم في العمل)</w:t>
            </w:r>
          </w:p>
        </w:tc>
      </w:tr>
      <w:tr w:rsidR="00DE1955" w:rsidRPr="00AF4B40" w14:paraId="67D870A8" w14:textId="77777777" w:rsidTr="00DA68D2">
        <w:trPr>
          <w:trHeight w:val="748"/>
        </w:trPr>
        <w:tc>
          <w:tcPr>
            <w:tcW w:w="2063" w:type="dxa"/>
            <w:vMerge w:val="restart"/>
            <w:shd w:val="clear" w:color="auto" w:fill="auto"/>
            <w:vAlign w:val="center"/>
          </w:tcPr>
          <w:p w14:paraId="03EF3FBD" w14:textId="09D6EA1E" w:rsidR="00DE1955" w:rsidRPr="00CD1505" w:rsidRDefault="00DE1955" w:rsidP="00CD1505">
            <w:pPr>
              <w:pStyle w:val="Tabletexte"/>
              <w:jc w:val="center"/>
              <w:rPr>
                <w:b/>
                <w:bCs/>
                <w:lang w:val="ar-SA" w:eastAsia="zh-TW" w:bidi="en-GB"/>
              </w:rPr>
            </w:pPr>
            <w:r w:rsidRPr="00CD1505">
              <w:rPr>
                <w:b/>
                <w:bCs/>
                <w:rtl/>
              </w:rPr>
              <w:t>مشروع التوصية الجديدة ITU-T Y.4236</w:t>
            </w:r>
            <w:r w:rsidR="006B4EEF">
              <w:rPr>
                <w:b/>
                <w:bCs/>
              </w:rPr>
              <w:t xml:space="preserve"> </w:t>
            </w:r>
            <w:r w:rsidRPr="00CD1505">
              <w:rPr>
                <w:b/>
                <w:bCs/>
                <w:rtl/>
              </w:rPr>
              <w:t>(Y.EMM-Reqts سابقاً</w:t>
            </w:r>
            <w:r w:rsidR="006B4EEF">
              <w:rPr>
                <w:rFonts w:hint="cs"/>
                <w:b/>
                <w:bCs/>
                <w:rtl/>
              </w:rPr>
              <w:t>)</w:t>
            </w:r>
          </w:p>
        </w:tc>
        <w:tc>
          <w:tcPr>
            <w:tcW w:w="7566" w:type="dxa"/>
            <w:shd w:val="clear" w:color="auto" w:fill="auto"/>
            <w:vAlign w:val="center"/>
          </w:tcPr>
          <w:p w14:paraId="589020EB" w14:textId="77777777" w:rsidR="00066565" w:rsidRPr="00AF4B40" w:rsidRDefault="00CB5967" w:rsidP="00A548EF">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تفوض</w:t>
            </w:r>
            <w:r w:rsidR="00DE1955" w:rsidRPr="00AF4B40">
              <w:rPr>
                <w:rtl/>
              </w:rPr>
              <w:t xml:space="preserve"> لجنة الدراسات 20 </w:t>
            </w:r>
            <w:r w:rsidR="00DE1955" w:rsidRPr="00CD1505">
              <w:rPr>
                <w:b/>
                <w:bCs/>
                <w:rtl/>
              </w:rPr>
              <w:t>سلطة</w:t>
            </w:r>
            <w:r w:rsidR="00DE1955" w:rsidRPr="00AF4B40">
              <w:rPr>
                <w:rtl/>
              </w:rPr>
              <w:t xml:space="preserve"> النظر في هذا النص بغرض الموافقة عليه (وفي هذه الحالة، </w:t>
            </w:r>
            <w:r w:rsidR="00066565" w:rsidRPr="00AF4B40">
              <w:rPr>
                <w:rtl/>
              </w:rPr>
              <w:t>تحديد أحد الخيارين</w:t>
            </w:r>
            <w:r w:rsidR="00066565">
              <w:rPr>
                <w:rFonts w:hint="cs"/>
                <w:rtl/>
              </w:rPr>
              <w:t xml:space="preserve"> </w:t>
            </w:r>
            <w:r w:rsidR="00066565" w:rsidRPr="00D911A0">
              <w:rPr>
                <w:rFonts w:ascii="Calibri" w:eastAsia="Times New Roman" w:hAnsi="Calibri" w:cs="Times New Roman"/>
                <w:sz w:val="24"/>
                <w:lang w:val="es-ES" w:eastAsia="en-US" w:bidi="ar-SA"/>
              </w:rPr>
              <w:t xml:space="preserve"> ⃝</w:t>
            </w:r>
            <w:r w:rsidR="00066565" w:rsidRPr="003F764D">
              <w:rPr>
                <w:rFonts w:hint="cs"/>
                <w:rtl/>
              </w:rPr>
              <w:t>)</w:t>
            </w:r>
          </w:p>
          <w:p w14:paraId="484CFFFE" w14:textId="2C4BBB8D" w:rsidR="00DE1955" w:rsidRPr="00AF4B40" w:rsidRDefault="00ED66BE" w:rsidP="00A548EF">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لا توجد تعليقات أو تغييرات مقترحة</w:t>
            </w:r>
          </w:p>
          <w:p w14:paraId="4D058552" w14:textId="676F43D8" w:rsidR="00DE1955" w:rsidRPr="00AF4B40" w:rsidRDefault="00ED66BE" w:rsidP="00A548EF">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التعليقات والتغييرات المقترحة مرفقة طيه</w:t>
            </w:r>
          </w:p>
        </w:tc>
      </w:tr>
      <w:tr w:rsidR="00DE1955" w:rsidRPr="00AF4B40" w14:paraId="766BAFFF" w14:textId="77777777" w:rsidTr="00DA68D2">
        <w:trPr>
          <w:trHeight w:val="747"/>
        </w:trPr>
        <w:tc>
          <w:tcPr>
            <w:tcW w:w="2063" w:type="dxa"/>
            <w:vMerge/>
            <w:shd w:val="clear" w:color="auto" w:fill="auto"/>
            <w:vAlign w:val="center"/>
          </w:tcPr>
          <w:p w14:paraId="7566BD03" w14:textId="77777777" w:rsidR="00DE1955" w:rsidRPr="00CD1505" w:rsidRDefault="00DE1955" w:rsidP="00CD1505">
            <w:pPr>
              <w:pStyle w:val="Tabletexte"/>
              <w:jc w:val="center"/>
              <w:rPr>
                <w:b/>
                <w:bCs/>
              </w:rPr>
            </w:pPr>
          </w:p>
        </w:tc>
        <w:tc>
          <w:tcPr>
            <w:tcW w:w="7566" w:type="dxa"/>
            <w:shd w:val="clear" w:color="auto" w:fill="auto"/>
            <w:vAlign w:val="center"/>
          </w:tcPr>
          <w:p w14:paraId="016E1015" w14:textId="5885E752" w:rsidR="00DE1955" w:rsidRPr="00AF4B40" w:rsidRDefault="00CB5967" w:rsidP="00A548EF">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لا تفوض</w:t>
            </w:r>
            <w:r w:rsidR="00DE1955" w:rsidRPr="00AF4B40">
              <w:rPr>
                <w:rtl/>
              </w:rPr>
              <w:t xml:space="preserve"> لجنة الدراسات 20 </w:t>
            </w:r>
            <w:r w:rsidR="00DE1955" w:rsidRPr="00CD1505">
              <w:rPr>
                <w:b/>
                <w:bCs/>
                <w:rtl/>
              </w:rPr>
              <w:t>سلطة</w:t>
            </w:r>
            <w:r w:rsidR="00DE1955" w:rsidRPr="00AF4B40">
              <w:rPr>
                <w:rtl/>
              </w:rPr>
              <w:t xml:space="preserve"> النظر في هذا النص بغرض الموافقة عليه (مرفق طيه أسباب هذا الرأي وموجز للتغييرات الممكنة التي من شأنها أن تمكّن من إحراز تقدم في العمل)</w:t>
            </w:r>
          </w:p>
        </w:tc>
      </w:tr>
      <w:tr w:rsidR="00DE1955" w:rsidRPr="00AF4B40" w14:paraId="5B39A19E" w14:textId="77777777" w:rsidTr="00DA68D2">
        <w:trPr>
          <w:trHeight w:val="748"/>
        </w:trPr>
        <w:tc>
          <w:tcPr>
            <w:tcW w:w="2063" w:type="dxa"/>
            <w:vMerge w:val="restart"/>
            <w:shd w:val="clear" w:color="auto" w:fill="auto"/>
            <w:vAlign w:val="center"/>
          </w:tcPr>
          <w:p w14:paraId="1C4BB696" w14:textId="0A932E86" w:rsidR="00DE1955" w:rsidRPr="00CD1505" w:rsidRDefault="00DE1955" w:rsidP="00CD1505">
            <w:pPr>
              <w:pStyle w:val="Tabletexte"/>
              <w:jc w:val="center"/>
              <w:rPr>
                <w:b/>
                <w:bCs/>
                <w:lang w:val="ar-SA" w:eastAsia="zh-TW" w:bidi="en-GB"/>
              </w:rPr>
            </w:pPr>
            <w:r w:rsidRPr="00CD1505">
              <w:rPr>
                <w:b/>
                <w:bCs/>
                <w:rtl/>
              </w:rPr>
              <w:t>مشروع التوصية الجديدة ITU-T Y.4237</w:t>
            </w:r>
            <w:r w:rsidR="006B4EEF">
              <w:rPr>
                <w:b/>
                <w:bCs/>
              </w:rPr>
              <w:t xml:space="preserve"> </w:t>
            </w:r>
            <w:r w:rsidRPr="00CD1505">
              <w:rPr>
                <w:b/>
                <w:bCs/>
                <w:rtl/>
              </w:rPr>
              <w:t>(Y.dt</w:t>
            </w:r>
            <w:r w:rsidR="006B4EEF">
              <w:rPr>
                <w:b/>
                <w:bCs/>
                <w:rtl/>
              </w:rPr>
              <w:noBreakHyphen/>
            </w:r>
            <w:r w:rsidRPr="00CD1505">
              <w:rPr>
                <w:b/>
                <w:bCs/>
                <w:rtl/>
              </w:rPr>
              <w:t>IWCS سابقاً</w:t>
            </w:r>
            <w:r w:rsidR="00B92898">
              <w:rPr>
                <w:rFonts w:hint="cs"/>
                <w:b/>
                <w:bCs/>
                <w:rtl/>
              </w:rPr>
              <w:t>)</w:t>
            </w:r>
          </w:p>
        </w:tc>
        <w:tc>
          <w:tcPr>
            <w:tcW w:w="7566" w:type="dxa"/>
            <w:shd w:val="clear" w:color="auto" w:fill="auto"/>
            <w:vAlign w:val="center"/>
          </w:tcPr>
          <w:p w14:paraId="3656A32F" w14:textId="77777777" w:rsidR="00066565" w:rsidRPr="00AF4B40" w:rsidRDefault="00CB5967" w:rsidP="00A548EF">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تفوض</w:t>
            </w:r>
            <w:r w:rsidR="00DE1955" w:rsidRPr="00AF4B40">
              <w:rPr>
                <w:rtl/>
              </w:rPr>
              <w:t xml:space="preserve"> لجنة الدراسات 20 </w:t>
            </w:r>
            <w:r w:rsidR="00DE1955" w:rsidRPr="00CD1505">
              <w:rPr>
                <w:b/>
                <w:bCs/>
                <w:rtl/>
              </w:rPr>
              <w:t>سلطة</w:t>
            </w:r>
            <w:r w:rsidR="00DE1955" w:rsidRPr="00AF4B40">
              <w:rPr>
                <w:rtl/>
              </w:rPr>
              <w:t xml:space="preserve"> النظر في هذا النص بغرض الموافقة عليه (وفي هذه الحالة، </w:t>
            </w:r>
            <w:r w:rsidR="00066565" w:rsidRPr="00AF4B40">
              <w:rPr>
                <w:rtl/>
              </w:rPr>
              <w:t>تحديد أحد الخيارين</w:t>
            </w:r>
            <w:r w:rsidR="00066565">
              <w:rPr>
                <w:rFonts w:hint="cs"/>
                <w:rtl/>
              </w:rPr>
              <w:t xml:space="preserve"> </w:t>
            </w:r>
            <w:r w:rsidR="00066565" w:rsidRPr="00D911A0">
              <w:rPr>
                <w:rFonts w:ascii="Calibri" w:eastAsia="Times New Roman" w:hAnsi="Calibri" w:cs="Times New Roman"/>
                <w:sz w:val="24"/>
                <w:lang w:val="es-ES" w:eastAsia="en-US" w:bidi="ar-SA"/>
              </w:rPr>
              <w:t xml:space="preserve"> ⃝</w:t>
            </w:r>
            <w:r w:rsidR="00066565" w:rsidRPr="003F764D">
              <w:rPr>
                <w:rFonts w:hint="cs"/>
                <w:rtl/>
              </w:rPr>
              <w:t>)</w:t>
            </w:r>
          </w:p>
          <w:p w14:paraId="18CD1FDE" w14:textId="34BF1DB6" w:rsidR="00DE1955" w:rsidRPr="00AF4B40" w:rsidRDefault="00ED66BE" w:rsidP="00A548EF">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لا توجد تعليقات أو تغييرات مقترحة</w:t>
            </w:r>
          </w:p>
          <w:p w14:paraId="104C53DB" w14:textId="01034E34" w:rsidR="00DE1955" w:rsidRPr="00AF4B40" w:rsidRDefault="00ED66BE" w:rsidP="00A548EF">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التعليقات والتغييرات المقترحة مرفقة طيه</w:t>
            </w:r>
          </w:p>
        </w:tc>
      </w:tr>
      <w:tr w:rsidR="00DE1955" w:rsidRPr="00AF4B40" w14:paraId="19B01398" w14:textId="77777777" w:rsidTr="00DA68D2">
        <w:trPr>
          <w:trHeight w:val="747"/>
        </w:trPr>
        <w:tc>
          <w:tcPr>
            <w:tcW w:w="2063" w:type="dxa"/>
            <w:vMerge/>
            <w:shd w:val="clear" w:color="auto" w:fill="auto"/>
            <w:vAlign w:val="center"/>
          </w:tcPr>
          <w:p w14:paraId="4CFA18EB" w14:textId="77777777" w:rsidR="00DE1955" w:rsidRPr="00CD1505" w:rsidRDefault="00DE1955" w:rsidP="00CD1505">
            <w:pPr>
              <w:pStyle w:val="Tabletexte"/>
              <w:jc w:val="center"/>
              <w:rPr>
                <w:b/>
                <w:bCs/>
              </w:rPr>
            </w:pPr>
          </w:p>
        </w:tc>
        <w:tc>
          <w:tcPr>
            <w:tcW w:w="7566" w:type="dxa"/>
            <w:shd w:val="clear" w:color="auto" w:fill="auto"/>
            <w:vAlign w:val="center"/>
          </w:tcPr>
          <w:p w14:paraId="319AC624" w14:textId="668A27B8" w:rsidR="00DE1955" w:rsidRPr="00AF4B40" w:rsidRDefault="00ED66BE" w:rsidP="00A548EF">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لا تفوض</w:t>
            </w:r>
            <w:r w:rsidR="00DE1955" w:rsidRPr="00AF4B40">
              <w:rPr>
                <w:rtl/>
              </w:rPr>
              <w:t xml:space="preserve"> لجنة الدراسات 20 </w:t>
            </w:r>
            <w:r w:rsidR="00DE1955" w:rsidRPr="00CD1505">
              <w:rPr>
                <w:b/>
                <w:bCs/>
                <w:rtl/>
              </w:rPr>
              <w:t>سلطة</w:t>
            </w:r>
            <w:r w:rsidR="00DE1955" w:rsidRPr="00AF4B40">
              <w:rPr>
                <w:rtl/>
              </w:rPr>
              <w:t xml:space="preserve"> النظر في هذا النص بغرض الموافقة عليه (مرفق طيه أسباب هذا الرأي وموجز للتغييرات الممكنة التي من شأنها أن تمكّن من إحراز تقدم في العمل)</w:t>
            </w:r>
          </w:p>
        </w:tc>
      </w:tr>
      <w:tr w:rsidR="00DE1955" w:rsidRPr="00AF4B40" w14:paraId="2227C830" w14:textId="77777777" w:rsidTr="00DA68D2">
        <w:trPr>
          <w:trHeight w:val="748"/>
        </w:trPr>
        <w:tc>
          <w:tcPr>
            <w:tcW w:w="2063" w:type="dxa"/>
            <w:vMerge w:val="restart"/>
            <w:shd w:val="clear" w:color="auto" w:fill="auto"/>
            <w:vAlign w:val="center"/>
          </w:tcPr>
          <w:p w14:paraId="12EC70C2" w14:textId="4AE78741" w:rsidR="00DE1955" w:rsidRPr="00CD1505" w:rsidRDefault="00DE1955" w:rsidP="00CD1505">
            <w:pPr>
              <w:pStyle w:val="Tabletexte"/>
              <w:jc w:val="center"/>
              <w:rPr>
                <w:b/>
                <w:bCs/>
                <w:lang w:val="ar-SA" w:eastAsia="zh-TW" w:bidi="en-GB"/>
              </w:rPr>
            </w:pPr>
            <w:r w:rsidRPr="00CD1505">
              <w:rPr>
                <w:b/>
                <w:bCs/>
                <w:rtl/>
              </w:rPr>
              <w:lastRenderedPageBreak/>
              <w:t>مشروع التوصية الجديدة ITU-T Y.4496</w:t>
            </w:r>
            <w:r w:rsidR="00B92898">
              <w:rPr>
                <w:b/>
                <w:bCs/>
              </w:rPr>
              <w:t xml:space="preserve"> </w:t>
            </w:r>
            <w:r w:rsidRPr="00CD1505">
              <w:rPr>
                <w:b/>
                <w:bCs/>
                <w:rtl/>
              </w:rPr>
              <w:t>(Y.RA</w:t>
            </w:r>
            <w:r w:rsidR="002C1E5C">
              <w:rPr>
                <w:b/>
                <w:bCs/>
                <w:rtl/>
              </w:rPr>
              <w:noBreakHyphen/>
            </w:r>
            <w:r w:rsidRPr="00CD1505">
              <w:rPr>
                <w:b/>
                <w:bCs/>
                <w:rtl/>
              </w:rPr>
              <w:t>PHE سابقاً</w:t>
            </w:r>
            <w:r w:rsidR="00E52944">
              <w:rPr>
                <w:rFonts w:hint="cs"/>
                <w:b/>
                <w:bCs/>
                <w:rtl/>
              </w:rPr>
              <w:t>)</w:t>
            </w:r>
          </w:p>
        </w:tc>
        <w:tc>
          <w:tcPr>
            <w:tcW w:w="7566" w:type="dxa"/>
            <w:shd w:val="clear" w:color="auto" w:fill="auto"/>
            <w:vAlign w:val="center"/>
          </w:tcPr>
          <w:p w14:paraId="13AD26FB" w14:textId="77777777" w:rsidR="00066565" w:rsidRPr="00AF4B40" w:rsidRDefault="00ED66BE" w:rsidP="00066565">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تفوض</w:t>
            </w:r>
            <w:r w:rsidR="00DE1955" w:rsidRPr="00AF4B40">
              <w:rPr>
                <w:rtl/>
              </w:rPr>
              <w:t xml:space="preserve"> لجنة الدراسات 20 </w:t>
            </w:r>
            <w:r w:rsidR="00DE1955" w:rsidRPr="00CD1505">
              <w:rPr>
                <w:b/>
                <w:bCs/>
                <w:rtl/>
              </w:rPr>
              <w:t>سلطة</w:t>
            </w:r>
            <w:r w:rsidR="00DE1955" w:rsidRPr="00AF4B40">
              <w:rPr>
                <w:rtl/>
              </w:rPr>
              <w:t xml:space="preserve"> النظر في هذا النص بغرض الموافقة عليه (وفي هذه الحالة، </w:t>
            </w:r>
            <w:r w:rsidR="00066565" w:rsidRPr="00AF4B40">
              <w:rPr>
                <w:rtl/>
              </w:rPr>
              <w:t>تحديد أحد الخيارين</w:t>
            </w:r>
            <w:r w:rsidR="00066565">
              <w:rPr>
                <w:rFonts w:hint="cs"/>
                <w:rtl/>
              </w:rPr>
              <w:t xml:space="preserve"> </w:t>
            </w:r>
            <w:r w:rsidR="00066565" w:rsidRPr="00D911A0">
              <w:rPr>
                <w:rFonts w:ascii="Calibri" w:eastAsia="Times New Roman" w:hAnsi="Calibri" w:cs="Times New Roman"/>
                <w:sz w:val="24"/>
                <w:lang w:val="es-ES" w:eastAsia="en-US" w:bidi="ar-SA"/>
              </w:rPr>
              <w:t xml:space="preserve"> ⃝</w:t>
            </w:r>
            <w:r w:rsidR="00066565" w:rsidRPr="003F764D">
              <w:rPr>
                <w:rFonts w:hint="cs"/>
                <w:rtl/>
              </w:rPr>
              <w:t>)</w:t>
            </w:r>
          </w:p>
          <w:p w14:paraId="28A4CFA8" w14:textId="74BD1C09"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لا توجد تعليقات أو تغييرات مقترحة</w:t>
            </w:r>
          </w:p>
          <w:p w14:paraId="55BF2CD5" w14:textId="54C64946"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التعليقات والتغييرات المقترحة مرفقة طيه</w:t>
            </w:r>
          </w:p>
        </w:tc>
      </w:tr>
      <w:tr w:rsidR="00DE1955" w:rsidRPr="00AF4B40" w14:paraId="23C8E4B4" w14:textId="77777777" w:rsidTr="00DA68D2">
        <w:trPr>
          <w:trHeight w:val="747"/>
        </w:trPr>
        <w:tc>
          <w:tcPr>
            <w:tcW w:w="2063" w:type="dxa"/>
            <w:vMerge/>
            <w:shd w:val="clear" w:color="auto" w:fill="auto"/>
            <w:vAlign w:val="center"/>
          </w:tcPr>
          <w:p w14:paraId="6B37A6FC" w14:textId="77777777" w:rsidR="00DE1955" w:rsidRPr="00CD1505" w:rsidRDefault="00DE1955" w:rsidP="00CD1505">
            <w:pPr>
              <w:pStyle w:val="Tabletexte"/>
              <w:jc w:val="center"/>
              <w:rPr>
                <w:b/>
                <w:bCs/>
              </w:rPr>
            </w:pPr>
          </w:p>
        </w:tc>
        <w:tc>
          <w:tcPr>
            <w:tcW w:w="7566" w:type="dxa"/>
            <w:shd w:val="clear" w:color="auto" w:fill="auto"/>
            <w:vAlign w:val="center"/>
          </w:tcPr>
          <w:p w14:paraId="510E11AC" w14:textId="0B35D4AB" w:rsidR="00DE1955" w:rsidRPr="00AF4B40" w:rsidRDefault="00ED66BE" w:rsidP="00DB137C">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لا تفوض</w:t>
            </w:r>
            <w:r w:rsidR="00DE1955" w:rsidRPr="00AF4B40">
              <w:rPr>
                <w:rtl/>
              </w:rPr>
              <w:t xml:space="preserve"> لجنة الدراسات 20 </w:t>
            </w:r>
            <w:r w:rsidR="00DE1955" w:rsidRPr="00CD1505">
              <w:rPr>
                <w:b/>
                <w:bCs/>
                <w:rtl/>
              </w:rPr>
              <w:t>سلطة</w:t>
            </w:r>
            <w:r w:rsidR="00DE1955" w:rsidRPr="00AF4B40">
              <w:rPr>
                <w:rtl/>
              </w:rPr>
              <w:t xml:space="preserve"> النظر في هذا النص بغرض الموافقة عليه (مرفق طيه أسباب هذا الرأي وموجز للتغييرات الممكنة التي من شأنها أن تمكّن من إحراز تقدم في العمل)</w:t>
            </w:r>
          </w:p>
        </w:tc>
      </w:tr>
      <w:tr w:rsidR="00DE1955" w:rsidRPr="00AF4B40" w14:paraId="415CF38B" w14:textId="77777777" w:rsidTr="00DA68D2">
        <w:trPr>
          <w:trHeight w:val="748"/>
        </w:trPr>
        <w:tc>
          <w:tcPr>
            <w:tcW w:w="2063" w:type="dxa"/>
            <w:vMerge w:val="restart"/>
            <w:shd w:val="clear" w:color="auto" w:fill="auto"/>
            <w:vAlign w:val="center"/>
          </w:tcPr>
          <w:p w14:paraId="6CFA9279" w14:textId="194B204C" w:rsidR="00DE1955" w:rsidRPr="00CD1505" w:rsidRDefault="00DE1955" w:rsidP="00CD1505">
            <w:pPr>
              <w:pStyle w:val="Tabletexte"/>
              <w:jc w:val="center"/>
              <w:rPr>
                <w:b/>
                <w:bCs/>
                <w:lang w:val="ar-SA" w:eastAsia="zh-TW" w:bidi="en-GB"/>
              </w:rPr>
            </w:pPr>
            <w:r w:rsidRPr="00CD1505">
              <w:rPr>
                <w:b/>
                <w:bCs/>
                <w:rtl/>
              </w:rPr>
              <w:t>مشروع التوصية الجديدة ITU-T Y.4708</w:t>
            </w:r>
            <w:r w:rsidR="003B2E4A">
              <w:rPr>
                <w:b/>
                <w:bCs/>
              </w:rPr>
              <w:t xml:space="preserve"> </w:t>
            </w:r>
            <w:r w:rsidRPr="00CD1505">
              <w:rPr>
                <w:b/>
                <w:bCs/>
                <w:rtl/>
              </w:rPr>
              <w:t>(Y.IoT</w:t>
            </w:r>
            <w:r w:rsidR="003B2E4A">
              <w:rPr>
                <w:b/>
                <w:bCs/>
                <w:rtl/>
              </w:rPr>
              <w:noBreakHyphen/>
            </w:r>
            <w:r w:rsidRPr="00CD1505">
              <w:rPr>
                <w:b/>
                <w:bCs/>
                <w:rtl/>
              </w:rPr>
              <w:t>DPE سابقاً</w:t>
            </w:r>
            <w:r w:rsidR="003B2E4A">
              <w:rPr>
                <w:rFonts w:hint="cs"/>
                <w:b/>
                <w:bCs/>
                <w:rtl/>
              </w:rPr>
              <w:t>)</w:t>
            </w:r>
          </w:p>
        </w:tc>
        <w:tc>
          <w:tcPr>
            <w:tcW w:w="7566" w:type="dxa"/>
            <w:shd w:val="clear" w:color="auto" w:fill="auto"/>
            <w:vAlign w:val="center"/>
          </w:tcPr>
          <w:p w14:paraId="376AEA78" w14:textId="77777777" w:rsidR="00066565" w:rsidRPr="00AF4B40" w:rsidRDefault="00ED66BE" w:rsidP="00DB137C">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تفوض</w:t>
            </w:r>
            <w:r w:rsidR="00DE1955" w:rsidRPr="00AF4B40">
              <w:rPr>
                <w:rtl/>
              </w:rPr>
              <w:t xml:space="preserve"> لجنة الدراسات 20 </w:t>
            </w:r>
            <w:r w:rsidR="00DE1955" w:rsidRPr="00CD1505">
              <w:rPr>
                <w:b/>
                <w:bCs/>
                <w:rtl/>
              </w:rPr>
              <w:t>سلطة</w:t>
            </w:r>
            <w:r w:rsidR="00DE1955" w:rsidRPr="00AF4B40">
              <w:rPr>
                <w:rtl/>
              </w:rPr>
              <w:t xml:space="preserve"> النظر في هذا النص بغرض الموافقة عليه (وفي هذه الحالة، </w:t>
            </w:r>
            <w:r w:rsidR="00066565" w:rsidRPr="00AF4B40">
              <w:rPr>
                <w:rtl/>
              </w:rPr>
              <w:t>تحديد أحد الخيارين</w:t>
            </w:r>
            <w:r w:rsidR="00066565">
              <w:rPr>
                <w:rFonts w:hint="cs"/>
                <w:rtl/>
              </w:rPr>
              <w:t xml:space="preserve"> </w:t>
            </w:r>
            <w:r w:rsidR="00066565" w:rsidRPr="00D911A0">
              <w:rPr>
                <w:rFonts w:ascii="Calibri" w:eastAsia="Times New Roman" w:hAnsi="Calibri" w:cs="Times New Roman"/>
                <w:sz w:val="24"/>
                <w:lang w:val="es-ES" w:eastAsia="en-US" w:bidi="ar-SA"/>
              </w:rPr>
              <w:t xml:space="preserve"> ⃝</w:t>
            </w:r>
            <w:r w:rsidR="00066565" w:rsidRPr="003F764D">
              <w:rPr>
                <w:rFonts w:hint="cs"/>
                <w:rtl/>
              </w:rPr>
              <w:t>)</w:t>
            </w:r>
          </w:p>
          <w:p w14:paraId="0DECD590" w14:textId="1BB1C5AD"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لا توجد تعليقات أو تغييرات مقترحة</w:t>
            </w:r>
          </w:p>
          <w:p w14:paraId="51C9AF75" w14:textId="2F3FF285"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التعليقات والتغييرات المقترحة مرفقة طيه</w:t>
            </w:r>
          </w:p>
        </w:tc>
      </w:tr>
      <w:tr w:rsidR="00DE1955" w:rsidRPr="00AF4B40" w14:paraId="450B4174" w14:textId="77777777" w:rsidTr="00DA68D2">
        <w:trPr>
          <w:trHeight w:val="747"/>
        </w:trPr>
        <w:tc>
          <w:tcPr>
            <w:tcW w:w="2063" w:type="dxa"/>
            <w:vMerge/>
            <w:shd w:val="clear" w:color="auto" w:fill="auto"/>
            <w:vAlign w:val="center"/>
          </w:tcPr>
          <w:p w14:paraId="25F805BF" w14:textId="77777777" w:rsidR="00DE1955" w:rsidRPr="00CD1505" w:rsidRDefault="00DE1955" w:rsidP="00CD1505">
            <w:pPr>
              <w:pStyle w:val="Tabletexte"/>
              <w:jc w:val="center"/>
              <w:rPr>
                <w:b/>
                <w:bCs/>
              </w:rPr>
            </w:pPr>
          </w:p>
        </w:tc>
        <w:tc>
          <w:tcPr>
            <w:tcW w:w="7566" w:type="dxa"/>
            <w:shd w:val="clear" w:color="auto" w:fill="auto"/>
            <w:vAlign w:val="center"/>
          </w:tcPr>
          <w:p w14:paraId="37013998" w14:textId="4423FFD9" w:rsidR="00DE1955" w:rsidRPr="00AF4B40" w:rsidRDefault="00ED66BE" w:rsidP="00DB137C">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CD1505">
              <w:rPr>
                <w:b/>
                <w:bCs/>
                <w:rtl/>
              </w:rPr>
              <w:t>لا تفوض</w:t>
            </w:r>
            <w:r w:rsidR="00DE1955" w:rsidRPr="00AF4B40">
              <w:rPr>
                <w:rtl/>
              </w:rPr>
              <w:t xml:space="preserve"> لجنة الدراسات 20 </w:t>
            </w:r>
            <w:r w:rsidR="00DE1955" w:rsidRPr="00A9128C">
              <w:rPr>
                <w:b/>
                <w:bCs/>
                <w:rtl/>
              </w:rPr>
              <w:t>سلطة</w:t>
            </w:r>
            <w:r w:rsidR="00DE1955" w:rsidRPr="00AF4B40">
              <w:rPr>
                <w:rtl/>
              </w:rPr>
              <w:t xml:space="preserve"> النظر في هذا النص بغرض الموافقة عليه (مرفق طيه أسباب هذا الرأي وموجز للتغييرات الممكنة التي من شأنها أن تمكّن من إحراز تقدم في العمل)</w:t>
            </w:r>
          </w:p>
        </w:tc>
      </w:tr>
      <w:tr w:rsidR="00DE1955" w:rsidRPr="00AF4B40" w14:paraId="2368A57E" w14:textId="77777777" w:rsidTr="00DA68D2">
        <w:trPr>
          <w:trHeight w:val="748"/>
        </w:trPr>
        <w:tc>
          <w:tcPr>
            <w:tcW w:w="2063" w:type="dxa"/>
            <w:vMerge w:val="restart"/>
            <w:shd w:val="clear" w:color="auto" w:fill="auto"/>
            <w:vAlign w:val="center"/>
          </w:tcPr>
          <w:p w14:paraId="5BDAD2AF" w14:textId="73887E04" w:rsidR="00DE1955" w:rsidRPr="00CD1505" w:rsidRDefault="00DE1955" w:rsidP="00CD1505">
            <w:pPr>
              <w:pStyle w:val="Tabletexte"/>
              <w:jc w:val="center"/>
              <w:rPr>
                <w:b/>
                <w:bCs/>
                <w:lang w:val="ar-SA" w:eastAsia="zh-TW" w:bidi="en-GB"/>
              </w:rPr>
            </w:pPr>
            <w:r w:rsidRPr="00CD1505">
              <w:rPr>
                <w:b/>
                <w:bCs/>
                <w:rtl/>
              </w:rPr>
              <w:t>مشروع التوصية الجديدة ITU-T Y.4609</w:t>
            </w:r>
            <w:r w:rsidR="003B2E4A">
              <w:rPr>
                <w:b/>
                <w:bCs/>
              </w:rPr>
              <w:t xml:space="preserve"> </w:t>
            </w:r>
            <w:r w:rsidRPr="00CD1505">
              <w:rPr>
                <w:b/>
                <w:bCs/>
                <w:rtl/>
              </w:rPr>
              <w:t>(Y.metadata-EPI سابقاً</w:t>
            </w:r>
            <w:r w:rsidR="003B2E4A">
              <w:rPr>
                <w:rFonts w:hint="cs"/>
                <w:b/>
                <w:bCs/>
                <w:rtl/>
              </w:rPr>
              <w:t>)</w:t>
            </w:r>
          </w:p>
        </w:tc>
        <w:tc>
          <w:tcPr>
            <w:tcW w:w="7566" w:type="dxa"/>
            <w:shd w:val="clear" w:color="auto" w:fill="auto"/>
            <w:vAlign w:val="center"/>
          </w:tcPr>
          <w:p w14:paraId="30249DF1" w14:textId="77777777" w:rsidR="00066565" w:rsidRPr="00AF4B40" w:rsidRDefault="00ED66BE" w:rsidP="00DB137C">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A9128C">
              <w:rPr>
                <w:b/>
                <w:bCs/>
                <w:rtl/>
              </w:rPr>
              <w:t>تفوض</w:t>
            </w:r>
            <w:r w:rsidR="00DE1955" w:rsidRPr="00AF4B40">
              <w:rPr>
                <w:rtl/>
              </w:rPr>
              <w:t xml:space="preserve"> لجنة الدراسات 20 </w:t>
            </w:r>
            <w:r w:rsidR="00DE1955" w:rsidRPr="00A9128C">
              <w:rPr>
                <w:b/>
                <w:bCs/>
                <w:rtl/>
              </w:rPr>
              <w:t>سلطة</w:t>
            </w:r>
            <w:r w:rsidR="00DE1955" w:rsidRPr="00AF4B40">
              <w:rPr>
                <w:rtl/>
              </w:rPr>
              <w:t xml:space="preserve"> النظر في هذا النص بغرض الموافقة عليه (وفي هذه الحالة، </w:t>
            </w:r>
            <w:r w:rsidR="00066565" w:rsidRPr="00AF4B40">
              <w:rPr>
                <w:rtl/>
              </w:rPr>
              <w:t>تحديد أحد الخيارين</w:t>
            </w:r>
            <w:r w:rsidR="00066565">
              <w:rPr>
                <w:rFonts w:hint="cs"/>
                <w:rtl/>
              </w:rPr>
              <w:t xml:space="preserve"> </w:t>
            </w:r>
            <w:r w:rsidR="00066565" w:rsidRPr="00D911A0">
              <w:rPr>
                <w:rFonts w:ascii="Calibri" w:eastAsia="Times New Roman" w:hAnsi="Calibri" w:cs="Times New Roman"/>
                <w:sz w:val="24"/>
                <w:lang w:val="es-ES" w:eastAsia="en-US" w:bidi="ar-SA"/>
              </w:rPr>
              <w:t xml:space="preserve"> ⃝</w:t>
            </w:r>
            <w:r w:rsidR="00066565" w:rsidRPr="003F764D">
              <w:rPr>
                <w:rFonts w:hint="cs"/>
                <w:rtl/>
              </w:rPr>
              <w:t>)</w:t>
            </w:r>
          </w:p>
          <w:p w14:paraId="22047A22" w14:textId="07CBE8B7" w:rsidR="00DE1955" w:rsidRPr="00AF4B40" w:rsidRDefault="00ED66BE" w:rsidP="00CA0655">
            <w:pPr>
              <w:pStyle w:val="Tabletexte"/>
              <w:ind w:left="151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لا توجد تعليقات أو تغييرات مقترحة</w:t>
            </w:r>
          </w:p>
          <w:p w14:paraId="20CE3F8C" w14:textId="3F129BF2"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التعليقات والتغييرات المقترحة مرفقة طيه</w:t>
            </w:r>
          </w:p>
        </w:tc>
      </w:tr>
      <w:tr w:rsidR="00DE1955" w:rsidRPr="00AF4B40" w14:paraId="01D588D4" w14:textId="77777777" w:rsidTr="00DA68D2">
        <w:trPr>
          <w:trHeight w:val="747"/>
        </w:trPr>
        <w:tc>
          <w:tcPr>
            <w:tcW w:w="2063" w:type="dxa"/>
            <w:vMerge/>
            <w:shd w:val="clear" w:color="auto" w:fill="auto"/>
            <w:vAlign w:val="center"/>
          </w:tcPr>
          <w:p w14:paraId="00A19F21" w14:textId="77777777" w:rsidR="00DE1955" w:rsidRPr="00CD1505" w:rsidRDefault="00DE1955" w:rsidP="00CD1505">
            <w:pPr>
              <w:pStyle w:val="Tabletexte"/>
              <w:jc w:val="center"/>
              <w:rPr>
                <w:b/>
                <w:bCs/>
              </w:rPr>
            </w:pPr>
          </w:p>
        </w:tc>
        <w:tc>
          <w:tcPr>
            <w:tcW w:w="7566" w:type="dxa"/>
            <w:shd w:val="clear" w:color="auto" w:fill="auto"/>
            <w:vAlign w:val="center"/>
          </w:tcPr>
          <w:p w14:paraId="53626BFC" w14:textId="683B5263" w:rsidR="00DE1955" w:rsidRPr="00AF4B40" w:rsidRDefault="00ED66BE" w:rsidP="00DB137C">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A9128C">
              <w:rPr>
                <w:b/>
                <w:bCs/>
                <w:rtl/>
              </w:rPr>
              <w:t>لا تفوض</w:t>
            </w:r>
            <w:r w:rsidR="00DE1955" w:rsidRPr="00AF4B40">
              <w:rPr>
                <w:rtl/>
              </w:rPr>
              <w:t xml:space="preserve"> لجنة الدراسات 20 </w:t>
            </w:r>
            <w:r w:rsidR="00DE1955" w:rsidRPr="00A9128C">
              <w:rPr>
                <w:b/>
                <w:bCs/>
                <w:rtl/>
              </w:rPr>
              <w:t>سلطة</w:t>
            </w:r>
            <w:r w:rsidR="00DE1955" w:rsidRPr="00AF4B40">
              <w:rPr>
                <w:rtl/>
              </w:rPr>
              <w:t xml:space="preserve"> النظر في هذا النص بغرض الموافقة عليه (مرفق طيه أسباب هذا الرأي وموجز للتغييرات الممكنة التي من شأنها أن تمكّن من إحراز تقدم في العمل)</w:t>
            </w:r>
          </w:p>
        </w:tc>
      </w:tr>
      <w:tr w:rsidR="00DE1955" w:rsidRPr="00AF4B40" w14:paraId="1ACA50E9" w14:textId="77777777" w:rsidTr="00DA68D2">
        <w:trPr>
          <w:trHeight w:val="748"/>
        </w:trPr>
        <w:tc>
          <w:tcPr>
            <w:tcW w:w="2063" w:type="dxa"/>
            <w:vMerge w:val="restart"/>
            <w:shd w:val="clear" w:color="auto" w:fill="auto"/>
            <w:vAlign w:val="center"/>
          </w:tcPr>
          <w:p w14:paraId="77EEE9A1" w14:textId="42904D60" w:rsidR="00DE1955" w:rsidRPr="00CD1505" w:rsidRDefault="00DE1955" w:rsidP="00CD1505">
            <w:pPr>
              <w:pStyle w:val="Tabletexte"/>
              <w:jc w:val="center"/>
              <w:rPr>
                <w:b/>
                <w:bCs/>
                <w:lang w:val="ar-SA" w:eastAsia="zh-TW" w:bidi="en-GB"/>
              </w:rPr>
            </w:pPr>
            <w:r w:rsidRPr="00CD1505">
              <w:rPr>
                <w:b/>
                <w:bCs/>
                <w:rtl/>
              </w:rPr>
              <w:t>مشروع التوصية الجديدة ITU-T Y.4813</w:t>
            </w:r>
            <w:r w:rsidR="00D921F6">
              <w:rPr>
                <w:b/>
                <w:bCs/>
              </w:rPr>
              <w:t xml:space="preserve"> </w:t>
            </w:r>
            <w:r w:rsidRPr="00CD1505">
              <w:rPr>
                <w:b/>
                <w:bCs/>
                <w:rtl/>
              </w:rPr>
              <w:t>(Y.iepi</w:t>
            </w:r>
            <w:r w:rsidR="00D921F6">
              <w:rPr>
                <w:b/>
                <w:bCs/>
                <w:rtl/>
              </w:rPr>
              <w:noBreakHyphen/>
            </w:r>
            <w:r w:rsidRPr="00CD1505">
              <w:rPr>
                <w:b/>
                <w:bCs/>
                <w:rtl/>
              </w:rPr>
              <w:t>dm-sa سابقاً</w:t>
            </w:r>
            <w:r w:rsidR="00D921F6">
              <w:rPr>
                <w:rFonts w:hint="cs"/>
                <w:b/>
                <w:bCs/>
                <w:rtl/>
              </w:rPr>
              <w:t>)</w:t>
            </w:r>
          </w:p>
        </w:tc>
        <w:tc>
          <w:tcPr>
            <w:tcW w:w="7566" w:type="dxa"/>
            <w:shd w:val="clear" w:color="auto" w:fill="auto"/>
            <w:vAlign w:val="center"/>
          </w:tcPr>
          <w:p w14:paraId="30FBF9F1" w14:textId="77777777" w:rsidR="00066565" w:rsidRPr="00AF4B40" w:rsidRDefault="00ED66BE" w:rsidP="00CA0655">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A9128C">
              <w:rPr>
                <w:b/>
                <w:bCs/>
                <w:rtl/>
              </w:rPr>
              <w:t>تفوض</w:t>
            </w:r>
            <w:r w:rsidR="00DE1955" w:rsidRPr="00AF4B40">
              <w:rPr>
                <w:rtl/>
              </w:rPr>
              <w:t xml:space="preserve"> لجنة الدراسات 20 </w:t>
            </w:r>
            <w:r w:rsidR="00DE1955" w:rsidRPr="00A9128C">
              <w:rPr>
                <w:b/>
                <w:bCs/>
                <w:rtl/>
              </w:rPr>
              <w:t>سلطة</w:t>
            </w:r>
            <w:r w:rsidR="00DE1955" w:rsidRPr="00AF4B40">
              <w:rPr>
                <w:rtl/>
              </w:rPr>
              <w:t xml:space="preserve"> النظر في هذا النص بغرض الموافقة عليه (وفي هذه الحالة، </w:t>
            </w:r>
            <w:r w:rsidR="00066565" w:rsidRPr="00AF4B40">
              <w:rPr>
                <w:rtl/>
              </w:rPr>
              <w:t>تحديد أحد الخيارين</w:t>
            </w:r>
            <w:r w:rsidR="00066565">
              <w:rPr>
                <w:rFonts w:hint="cs"/>
                <w:rtl/>
              </w:rPr>
              <w:t xml:space="preserve"> </w:t>
            </w:r>
            <w:r w:rsidR="00066565" w:rsidRPr="00D911A0">
              <w:rPr>
                <w:rFonts w:ascii="Calibri" w:eastAsia="Times New Roman" w:hAnsi="Calibri" w:cs="Times New Roman"/>
                <w:sz w:val="24"/>
                <w:lang w:val="es-ES" w:eastAsia="en-US" w:bidi="ar-SA"/>
              </w:rPr>
              <w:t xml:space="preserve"> ⃝</w:t>
            </w:r>
            <w:r w:rsidR="00066565" w:rsidRPr="003F764D">
              <w:rPr>
                <w:rFonts w:hint="cs"/>
                <w:rtl/>
              </w:rPr>
              <w:t>)</w:t>
            </w:r>
          </w:p>
          <w:p w14:paraId="5DB0638A" w14:textId="406FADF3"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لا توجد تعليقات أو تغييرات مقترحة</w:t>
            </w:r>
          </w:p>
          <w:p w14:paraId="52E79EF7" w14:textId="17710BA9"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التعليقات والتغييرات المقترحة مرفقة طيه</w:t>
            </w:r>
          </w:p>
        </w:tc>
      </w:tr>
      <w:tr w:rsidR="00DE1955" w:rsidRPr="00AF4B40" w14:paraId="3550618C" w14:textId="77777777" w:rsidTr="00DA68D2">
        <w:trPr>
          <w:trHeight w:val="747"/>
        </w:trPr>
        <w:tc>
          <w:tcPr>
            <w:tcW w:w="2063" w:type="dxa"/>
            <w:vMerge/>
            <w:shd w:val="clear" w:color="auto" w:fill="auto"/>
            <w:vAlign w:val="center"/>
          </w:tcPr>
          <w:p w14:paraId="5E8EB2B0" w14:textId="77777777" w:rsidR="00DE1955" w:rsidRPr="00CD1505" w:rsidRDefault="00DE1955" w:rsidP="00CD1505">
            <w:pPr>
              <w:pStyle w:val="Tabletexte"/>
              <w:jc w:val="center"/>
              <w:rPr>
                <w:b/>
                <w:bCs/>
              </w:rPr>
            </w:pPr>
          </w:p>
        </w:tc>
        <w:tc>
          <w:tcPr>
            <w:tcW w:w="7566" w:type="dxa"/>
            <w:shd w:val="clear" w:color="auto" w:fill="auto"/>
            <w:vAlign w:val="center"/>
          </w:tcPr>
          <w:p w14:paraId="236A050C" w14:textId="06600A10" w:rsidR="00DE1955" w:rsidRPr="00AF4B40" w:rsidRDefault="00ED66BE" w:rsidP="00CA0655">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A9128C">
              <w:rPr>
                <w:b/>
                <w:bCs/>
                <w:rtl/>
              </w:rPr>
              <w:t>لا تفوض</w:t>
            </w:r>
            <w:r w:rsidR="00DE1955" w:rsidRPr="00AF4B40">
              <w:rPr>
                <w:rtl/>
              </w:rPr>
              <w:t xml:space="preserve"> لجنة الدراسات 20 </w:t>
            </w:r>
            <w:r w:rsidR="00DE1955" w:rsidRPr="00A9128C">
              <w:rPr>
                <w:b/>
                <w:bCs/>
                <w:rtl/>
              </w:rPr>
              <w:t>سلطة</w:t>
            </w:r>
            <w:r w:rsidR="00DE1955" w:rsidRPr="00AF4B40">
              <w:rPr>
                <w:rtl/>
              </w:rPr>
              <w:t xml:space="preserve"> النظر في هذا النص بغرض الموافقة عليه (مرفق طيه أسباب هذا الرأي وموجز للتغييرات الممكنة التي من شأنها أن تمكّن من إحراز تقدم في العمل)</w:t>
            </w:r>
          </w:p>
        </w:tc>
      </w:tr>
      <w:tr w:rsidR="00DE1955" w:rsidRPr="00AF4B40" w14:paraId="0C9C3B43" w14:textId="77777777" w:rsidTr="00DA68D2">
        <w:trPr>
          <w:trHeight w:val="748"/>
        </w:trPr>
        <w:tc>
          <w:tcPr>
            <w:tcW w:w="2063" w:type="dxa"/>
            <w:vMerge w:val="restart"/>
            <w:shd w:val="clear" w:color="auto" w:fill="auto"/>
            <w:vAlign w:val="center"/>
          </w:tcPr>
          <w:p w14:paraId="67BAF692" w14:textId="31C1321B" w:rsidR="00DE1955" w:rsidRPr="00CD1505" w:rsidRDefault="00DE1955" w:rsidP="00CD1505">
            <w:pPr>
              <w:pStyle w:val="Tabletexte"/>
              <w:jc w:val="center"/>
              <w:rPr>
                <w:b/>
                <w:bCs/>
                <w:lang w:val="ar-SA" w:eastAsia="zh-TW" w:bidi="en-GB"/>
              </w:rPr>
            </w:pPr>
            <w:r w:rsidRPr="00CD1505">
              <w:rPr>
                <w:b/>
                <w:bCs/>
                <w:rtl/>
              </w:rPr>
              <w:t>مشروع التوصية الجديدة ITU-T Y.4814</w:t>
            </w:r>
            <w:r w:rsidR="00D921F6">
              <w:rPr>
                <w:b/>
                <w:bCs/>
              </w:rPr>
              <w:t xml:space="preserve"> </w:t>
            </w:r>
            <w:r w:rsidRPr="00CD1505">
              <w:rPr>
                <w:b/>
                <w:bCs/>
                <w:rtl/>
              </w:rPr>
              <w:t>(Y.IoT</w:t>
            </w:r>
            <w:r w:rsidR="00D73119">
              <w:rPr>
                <w:b/>
                <w:bCs/>
                <w:rtl/>
              </w:rPr>
              <w:noBreakHyphen/>
            </w:r>
            <w:r w:rsidRPr="00CD1505">
              <w:rPr>
                <w:b/>
                <w:bCs/>
                <w:rtl/>
              </w:rPr>
              <w:t>acs-fra سابقاً</w:t>
            </w:r>
            <w:r w:rsidR="00D73119">
              <w:rPr>
                <w:rFonts w:hint="cs"/>
                <w:b/>
                <w:bCs/>
                <w:rtl/>
              </w:rPr>
              <w:t>)</w:t>
            </w:r>
          </w:p>
        </w:tc>
        <w:tc>
          <w:tcPr>
            <w:tcW w:w="7566" w:type="dxa"/>
            <w:shd w:val="clear" w:color="auto" w:fill="auto"/>
            <w:vAlign w:val="center"/>
          </w:tcPr>
          <w:p w14:paraId="2F3F2B26" w14:textId="77777777" w:rsidR="00066565" w:rsidRPr="00AF4B40" w:rsidRDefault="00ED66BE" w:rsidP="00CA0655">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A9128C">
              <w:rPr>
                <w:b/>
                <w:bCs/>
                <w:rtl/>
              </w:rPr>
              <w:t>تفوض</w:t>
            </w:r>
            <w:r w:rsidR="00DE1955" w:rsidRPr="00AF4B40">
              <w:rPr>
                <w:rtl/>
              </w:rPr>
              <w:t xml:space="preserve"> لجنة الدراسات 20 </w:t>
            </w:r>
            <w:r w:rsidR="00DE1955" w:rsidRPr="00A9128C">
              <w:rPr>
                <w:b/>
                <w:bCs/>
                <w:rtl/>
              </w:rPr>
              <w:t>سلطة</w:t>
            </w:r>
            <w:r w:rsidR="00DE1955" w:rsidRPr="00AF4B40">
              <w:rPr>
                <w:rtl/>
              </w:rPr>
              <w:t xml:space="preserve"> النظر في هذا النص بغرض الموافقة عليه (وفي هذه الحالة، </w:t>
            </w:r>
            <w:r w:rsidR="00066565" w:rsidRPr="00AF4B40">
              <w:rPr>
                <w:rtl/>
              </w:rPr>
              <w:t>تحديد أحد الخيارين</w:t>
            </w:r>
            <w:r w:rsidR="00066565">
              <w:rPr>
                <w:rFonts w:hint="cs"/>
                <w:rtl/>
              </w:rPr>
              <w:t xml:space="preserve"> </w:t>
            </w:r>
            <w:r w:rsidR="00066565" w:rsidRPr="00D911A0">
              <w:rPr>
                <w:rFonts w:ascii="Calibri" w:eastAsia="Times New Roman" w:hAnsi="Calibri" w:cs="Times New Roman"/>
                <w:sz w:val="24"/>
                <w:lang w:val="es-ES" w:eastAsia="en-US" w:bidi="ar-SA"/>
              </w:rPr>
              <w:t xml:space="preserve"> ⃝</w:t>
            </w:r>
            <w:r w:rsidR="00066565" w:rsidRPr="003F764D">
              <w:rPr>
                <w:rFonts w:hint="cs"/>
                <w:rtl/>
              </w:rPr>
              <w:t>)</w:t>
            </w:r>
          </w:p>
          <w:p w14:paraId="27C1DD00" w14:textId="753F1B05"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لا توجد تعليقات أو تغييرات مقترحة</w:t>
            </w:r>
          </w:p>
          <w:p w14:paraId="534802B2" w14:textId="10FC770B"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التعليقات والتغييرات المقترحة مرفقة طيه</w:t>
            </w:r>
          </w:p>
        </w:tc>
      </w:tr>
      <w:tr w:rsidR="00DE1955" w:rsidRPr="00AF4B40" w14:paraId="771457EC" w14:textId="77777777" w:rsidTr="00DA68D2">
        <w:trPr>
          <w:trHeight w:val="747"/>
        </w:trPr>
        <w:tc>
          <w:tcPr>
            <w:tcW w:w="2063" w:type="dxa"/>
            <w:vMerge/>
            <w:shd w:val="clear" w:color="auto" w:fill="auto"/>
            <w:vAlign w:val="center"/>
          </w:tcPr>
          <w:p w14:paraId="609A2F96" w14:textId="77777777" w:rsidR="00DE1955" w:rsidRPr="00CD1505" w:rsidRDefault="00DE1955" w:rsidP="00CD1505">
            <w:pPr>
              <w:pStyle w:val="Tabletexte"/>
              <w:jc w:val="center"/>
              <w:rPr>
                <w:b/>
                <w:bCs/>
              </w:rPr>
            </w:pPr>
          </w:p>
        </w:tc>
        <w:tc>
          <w:tcPr>
            <w:tcW w:w="7566" w:type="dxa"/>
            <w:shd w:val="clear" w:color="auto" w:fill="auto"/>
            <w:vAlign w:val="center"/>
          </w:tcPr>
          <w:p w14:paraId="16207AD1" w14:textId="182FB975" w:rsidR="00DE1955" w:rsidRPr="00AF4B40" w:rsidRDefault="00ED66BE" w:rsidP="00CA0655">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A9128C">
              <w:rPr>
                <w:b/>
                <w:bCs/>
                <w:rtl/>
              </w:rPr>
              <w:t>لا تفوض</w:t>
            </w:r>
            <w:r w:rsidR="00DE1955" w:rsidRPr="00AF4B40">
              <w:rPr>
                <w:rtl/>
              </w:rPr>
              <w:t xml:space="preserve"> لجنة الدراسات 20 </w:t>
            </w:r>
            <w:r w:rsidR="00DE1955" w:rsidRPr="00A9128C">
              <w:rPr>
                <w:b/>
                <w:bCs/>
                <w:rtl/>
              </w:rPr>
              <w:t>سلطة</w:t>
            </w:r>
            <w:r w:rsidR="00DE1955" w:rsidRPr="00AF4B40">
              <w:rPr>
                <w:rtl/>
              </w:rPr>
              <w:t xml:space="preserve"> النظر في هذا النص بغرض الموافقة عليه (مرفق طيه أسباب هذا الرأي وموجز للتغييرات الممكنة التي من شأنها أن تمكّن من إحراز تقدم في العمل)</w:t>
            </w:r>
          </w:p>
        </w:tc>
      </w:tr>
      <w:tr w:rsidR="00DE1955" w:rsidRPr="00AF4B40" w14:paraId="187AA7EA" w14:textId="77777777" w:rsidTr="00DA68D2">
        <w:trPr>
          <w:trHeight w:val="748"/>
        </w:trPr>
        <w:tc>
          <w:tcPr>
            <w:tcW w:w="2063" w:type="dxa"/>
            <w:vMerge w:val="restart"/>
            <w:shd w:val="clear" w:color="auto" w:fill="auto"/>
            <w:vAlign w:val="center"/>
          </w:tcPr>
          <w:p w14:paraId="627DFB2F" w14:textId="7F2CF6EE" w:rsidR="00DE1955" w:rsidRPr="00CD1505" w:rsidRDefault="00DE1955" w:rsidP="00CD1505">
            <w:pPr>
              <w:pStyle w:val="Tabletexte"/>
              <w:jc w:val="center"/>
              <w:rPr>
                <w:b/>
                <w:bCs/>
                <w:lang w:val="ar-SA" w:eastAsia="zh-TW" w:bidi="en-GB"/>
              </w:rPr>
            </w:pPr>
            <w:r w:rsidRPr="00CD1505">
              <w:rPr>
                <w:b/>
                <w:bCs/>
                <w:rtl/>
              </w:rPr>
              <w:t>مشروع التوصية الجديدة ITU-T Y.4911</w:t>
            </w:r>
            <w:r w:rsidR="00D73119">
              <w:rPr>
                <w:b/>
                <w:bCs/>
              </w:rPr>
              <w:t xml:space="preserve"> </w:t>
            </w:r>
            <w:r w:rsidRPr="00CD1505">
              <w:rPr>
                <w:b/>
                <w:bCs/>
                <w:rtl/>
              </w:rPr>
              <w:t>(Y.KPI</w:t>
            </w:r>
            <w:r w:rsidR="00D73119">
              <w:rPr>
                <w:b/>
                <w:bCs/>
                <w:rtl/>
              </w:rPr>
              <w:noBreakHyphen/>
            </w:r>
            <w:r w:rsidRPr="00CD1505">
              <w:rPr>
                <w:b/>
                <w:bCs/>
                <w:rtl/>
              </w:rPr>
              <w:t>Flood سابقاً</w:t>
            </w:r>
            <w:r w:rsidR="00D73119">
              <w:rPr>
                <w:rFonts w:hint="cs"/>
                <w:b/>
                <w:bCs/>
                <w:rtl/>
              </w:rPr>
              <w:t>)</w:t>
            </w:r>
          </w:p>
        </w:tc>
        <w:tc>
          <w:tcPr>
            <w:tcW w:w="7566" w:type="dxa"/>
            <w:shd w:val="clear" w:color="auto" w:fill="auto"/>
            <w:vAlign w:val="center"/>
          </w:tcPr>
          <w:p w14:paraId="25363380" w14:textId="77777777" w:rsidR="00066565" w:rsidRPr="00AF4B40" w:rsidRDefault="00ED66BE" w:rsidP="00633CD9">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A9128C">
              <w:rPr>
                <w:b/>
                <w:bCs/>
                <w:rtl/>
              </w:rPr>
              <w:t>تفوض</w:t>
            </w:r>
            <w:r w:rsidR="00DE1955" w:rsidRPr="00AF4B40">
              <w:rPr>
                <w:rtl/>
              </w:rPr>
              <w:t xml:space="preserve"> لجنة الدراسات 20 </w:t>
            </w:r>
            <w:r w:rsidR="00DE1955" w:rsidRPr="00A9128C">
              <w:rPr>
                <w:b/>
                <w:bCs/>
                <w:rtl/>
              </w:rPr>
              <w:t>سلطة</w:t>
            </w:r>
            <w:r w:rsidR="00DE1955" w:rsidRPr="00AF4B40">
              <w:rPr>
                <w:rtl/>
              </w:rPr>
              <w:t xml:space="preserve"> النظر في هذا النص بغرض الموافقة عليه (وفي هذه الحالة، </w:t>
            </w:r>
            <w:r w:rsidR="00066565" w:rsidRPr="00AF4B40">
              <w:rPr>
                <w:rtl/>
              </w:rPr>
              <w:t>تحديد أحد الخيارين</w:t>
            </w:r>
            <w:r w:rsidR="00066565">
              <w:rPr>
                <w:rFonts w:hint="cs"/>
                <w:rtl/>
              </w:rPr>
              <w:t xml:space="preserve"> </w:t>
            </w:r>
            <w:r w:rsidR="00066565" w:rsidRPr="00D911A0">
              <w:rPr>
                <w:rFonts w:ascii="Calibri" w:eastAsia="Times New Roman" w:hAnsi="Calibri" w:cs="Times New Roman"/>
                <w:sz w:val="24"/>
                <w:lang w:val="es-ES" w:eastAsia="en-US" w:bidi="ar-SA"/>
              </w:rPr>
              <w:t xml:space="preserve"> ⃝</w:t>
            </w:r>
            <w:r w:rsidR="00066565" w:rsidRPr="003F764D">
              <w:rPr>
                <w:rFonts w:hint="cs"/>
                <w:rtl/>
              </w:rPr>
              <w:t>)</w:t>
            </w:r>
          </w:p>
          <w:p w14:paraId="02D979E8" w14:textId="561A0AC1"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لا توجد تعليقات أو تغييرات مقترحة</w:t>
            </w:r>
          </w:p>
          <w:p w14:paraId="6C266842" w14:textId="401B6003" w:rsidR="00DE1955" w:rsidRPr="00AF4B40" w:rsidRDefault="00ED66BE" w:rsidP="00CA0655">
            <w:pPr>
              <w:pStyle w:val="Tabletexte"/>
              <w:ind w:left="720"/>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t>التعليقات والتغييرات المقترحة مرفقة طيه</w:t>
            </w:r>
          </w:p>
        </w:tc>
      </w:tr>
      <w:tr w:rsidR="00DE1955" w:rsidRPr="00AF4B40" w14:paraId="29BA1344" w14:textId="77777777" w:rsidTr="00DA68D2">
        <w:trPr>
          <w:trHeight w:val="747"/>
        </w:trPr>
        <w:tc>
          <w:tcPr>
            <w:tcW w:w="2063" w:type="dxa"/>
            <w:vMerge/>
            <w:shd w:val="clear" w:color="auto" w:fill="auto"/>
            <w:vAlign w:val="center"/>
          </w:tcPr>
          <w:p w14:paraId="348870D5" w14:textId="77777777" w:rsidR="00DE1955" w:rsidRPr="00CD1505" w:rsidRDefault="00DE1955" w:rsidP="00CD1505">
            <w:pPr>
              <w:pStyle w:val="Tabletexte"/>
              <w:jc w:val="center"/>
              <w:rPr>
                <w:b/>
                <w:bCs/>
              </w:rPr>
            </w:pPr>
          </w:p>
        </w:tc>
        <w:tc>
          <w:tcPr>
            <w:tcW w:w="7566" w:type="dxa"/>
            <w:shd w:val="clear" w:color="auto" w:fill="auto"/>
            <w:vAlign w:val="center"/>
          </w:tcPr>
          <w:p w14:paraId="715D7763" w14:textId="25E82410" w:rsidR="00DE1955" w:rsidRPr="00AF4B40" w:rsidRDefault="00ED66BE" w:rsidP="00633CD9">
            <w:pPr>
              <w:pStyle w:val="Tabletexte"/>
              <w:ind w:left="794" w:hanging="794"/>
              <w:rPr>
                <w:lang w:val="ar-SA" w:eastAsia="zh-TW" w:bidi="en-GB"/>
              </w:rPr>
            </w:pPr>
            <w:r w:rsidRPr="004572F7">
              <w:rPr>
                <w:rFonts w:asciiTheme="minorHAnsi" w:hAnsiTheme="minorHAnsi" w:cstheme="minorHAnsi"/>
              </w:rPr>
              <w:fldChar w:fldCharType="begin">
                <w:ffData>
                  <w:name w:val="Check1"/>
                  <w:enabled/>
                  <w:calcOnExit w:val="0"/>
                  <w:checkBox>
                    <w:sizeAuto/>
                    <w:default w:val="0"/>
                  </w:checkBox>
                </w:ffData>
              </w:fldChar>
            </w:r>
            <w:r w:rsidRPr="004572F7">
              <w:rPr>
                <w:rFonts w:asciiTheme="minorHAnsi" w:hAnsiTheme="minorHAnsi" w:cstheme="minorHAnsi"/>
              </w:rPr>
              <w:instrText xml:space="preserve"> FORMCHECKBOX </w:instrText>
            </w:r>
            <w:r w:rsidRPr="004572F7">
              <w:rPr>
                <w:rFonts w:asciiTheme="minorHAnsi" w:hAnsiTheme="minorHAnsi" w:cstheme="minorHAnsi"/>
              </w:rPr>
            </w:r>
            <w:r w:rsidRPr="004572F7">
              <w:rPr>
                <w:rFonts w:asciiTheme="minorHAnsi" w:hAnsiTheme="minorHAnsi" w:cstheme="minorHAnsi"/>
              </w:rPr>
              <w:fldChar w:fldCharType="separate"/>
            </w:r>
            <w:r w:rsidRPr="004572F7">
              <w:rPr>
                <w:rFonts w:asciiTheme="minorHAnsi" w:hAnsiTheme="minorHAnsi" w:cstheme="minorHAnsi"/>
              </w:rPr>
              <w:fldChar w:fldCharType="end"/>
            </w:r>
            <w:r w:rsidR="00DE1955" w:rsidRPr="00AF4B40">
              <w:rPr>
                <w:rtl/>
              </w:rPr>
              <w:tab/>
            </w:r>
            <w:r w:rsidR="00DE1955" w:rsidRPr="00A9128C">
              <w:rPr>
                <w:b/>
                <w:bCs/>
                <w:rtl/>
              </w:rPr>
              <w:t>لا تفوض</w:t>
            </w:r>
            <w:r w:rsidR="00DE1955" w:rsidRPr="00AF4B40">
              <w:rPr>
                <w:rtl/>
              </w:rPr>
              <w:t xml:space="preserve"> لجنة الدراسات 20 </w:t>
            </w:r>
            <w:r w:rsidR="00DE1955" w:rsidRPr="00A9128C">
              <w:rPr>
                <w:b/>
                <w:bCs/>
                <w:rtl/>
              </w:rPr>
              <w:t>سلطة</w:t>
            </w:r>
            <w:r w:rsidR="00DE1955" w:rsidRPr="00AF4B40">
              <w:rPr>
                <w:rtl/>
              </w:rPr>
              <w:t xml:space="preserve"> النظر في هذا النص بغرض الموافقة عليه (مرفق طيه أسباب هذا الرأي وموجز للتغييرات الممكنة التي من شأنها أن تمكّن من إحراز تقدم في العمل)</w:t>
            </w:r>
          </w:p>
        </w:tc>
      </w:tr>
    </w:tbl>
    <w:p w14:paraId="6281ECBF" w14:textId="77777777" w:rsidR="00DE1955" w:rsidRPr="00AF4B40" w:rsidRDefault="00DE1955" w:rsidP="001B2676">
      <w:pPr>
        <w:spacing w:before="100"/>
        <w:textDirection w:val="tbRlV"/>
        <w:rPr>
          <w:lang w:val="ar-SA" w:eastAsia="zh-TW" w:bidi="en-GB"/>
        </w:rPr>
      </w:pPr>
      <w:r w:rsidRPr="00AF4B40">
        <w:rPr>
          <w:rtl/>
        </w:rPr>
        <w:t>وتفضلوا بقبول فائق التقدير والاحترام.</w:t>
      </w:r>
    </w:p>
    <w:p w14:paraId="5BAA2F9C" w14:textId="77777777" w:rsidR="00DE1955" w:rsidRPr="00AF4B40" w:rsidRDefault="00DE1955" w:rsidP="00D73119">
      <w:pPr>
        <w:rPr>
          <w:lang w:val="ar-SA" w:eastAsia="zh-TW" w:bidi="en-GB"/>
        </w:rPr>
      </w:pPr>
      <w:r w:rsidRPr="00AF4B40">
        <w:rPr>
          <w:rtl/>
        </w:rPr>
        <w:t>[الاسم]</w:t>
      </w:r>
    </w:p>
    <w:p w14:paraId="2AF14A11" w14:textId="77777777" w:rsidR="00DE1955" w:rsidRDefault="00DE1955" w:rsidP="00D73119">
      <w:pPr>
        <w:rPr>
          <w:lang w:val="ar-SA" w:eastAsia="zh-TW" w:bidi="en-GB"/>
        </w:rPr>
      </w:pPr>
      <w:r w:rsidRPr="00AF4B40">
        <w:rPr>
          <w:rtl/>
        </w:rPr>
        <w:t>[الدور/المنصب الرسمي]</w:t>
      </w:r>
    </w:p>
    <w:p w14:paraId="0FE65051" w14:textId="733D79EC" w:rsidR="00596808" w:rsidRPr="00D517B2" w:rsidRDefault="00D73119" w:rsidP="0012318E">
      <w:pPr>
        <w:spacing w:before="0"/>
        <w:jc w:val="center"/>
        <w:rPr>
          <w:rtl/>
        </w:rPr>
      </w:pPr>
      <w:r>
        <w:rPr>
          <w:rtl/>
          <w:lang w:val="ar-SA" w:eastAsia="zh-TW"/>
        </w:rPr>
        <w:t>ـ</w:t>
      </w:r>
      <w:r>
        <w:rPr>
          <w:rFonts w:hint="cs"/>
          <w:rtl/>
          <w:lang w:val="ar-SA" w:eastAsia="zh-TW"/>
        </w:rPr>
        <w:t>ـــــــــــــــــــــــــــــــــــــــــــــــــــــــــــــــــــــــــــــــــــــــــــــــــــــــــــــــــــ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65B0" w14:textId="77777777" w:rsidR="009304AA" w:rsidRDefault="009304AA" w:rsidP="006C3242">
      <w:pPr>
        <w:spacing w:before="0" w:line="240" w:lineRule="auto"/>
      </w:pPr>
      <w:r>
        <w:separator/>
      </w:r>
    </w:p>
  </w:endnote>
  <w:endnote w:type="continuationSeparator" w:id="0">
    <w:p w14:paraId="3F753709" w14:textId="77777777" w:rsidR="009304AA" w:rsidRDefault="009304A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2495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4B55" w14:textId="77777777" w:rsidR="009304AA" w:rsidRDefault="009304AA" w:rsidP="006C3242">
      <w:pPr>
        <w:spacing w:before="0" w:line="240" w:lineRule="auto"/>
      </w:pPr>
      <w:r>
        <w:separator/>
      </w:r>
    </w:p>
  </w:footnote>
  <w:footnote w:type="continuationSeparator" w:id="0">
    <w:p w14:paraId="49DAEFEF" w14:textId="77777777" w:rsidR="009304AA" w:rsidRDefault="009304A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DE80" w14:textId="10705253"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F27046">
      <w:rPr>
        <w:sz w:val="20"/>
        <w:szCs w:val="20"/>
        <w:lang w:bidi="ar-EG"/>
      </w:rPr>
      <w:t>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A6"/>
    <w:rsid w:val="00002A63"/>
    <w:rsid w:val="00036CEE"/>
    <w:rsid w:val="0006468A"/>
    <w:rsid w:val="00066565"/>
    <w:rsid w:val="00071DF4"/>
    <w:rsid w:val="00090574"/>
    <w:rsid w:val="000C1C0E"/>
    <w:rsid w:val="000C548A"/>
    <w:rsid w:val="000E2901"/>
    <w:rsid w:val="000E327F"/>
    <w:rsid w:val="000E3A67"/>
    <w:rsid w:val="0012318E"/>
    <w:rsid w:val="00146FE2"/>
    <w:rsid w:val="001532D9"/>
    <w:rsid w:val="001B2676"/>
    <w:rsid w:val="001B4353"/>
    <w:rsid w:val="001C0169"/>
    <w:rsid w:val="001D1D50"/>
    <w:rsid w:val="001D6745"/>
    <w:rsid w:val="001E2788"/>
    <w:rsid w:val="001E446E"/>
    <w:rsid w:val="0020509E"/>
    <w:rsid w:val="002154EE"/>
    <w:rsid w:val="002276D2"/>
    <w:rsid w:val="0023283D"/>
    <w:rsid w:val="002539A4"/>
    <w:rsid w:val="0026373E"/>
    <w:rsid w:val="00271C43"/>
    <w:rsid w:val="00290728"/>
    <w:rsid w:val="002978F4"/>
    <w:rsid w:val="002A093D"/>
    <w:rsid w:val="002B028D"/>
    <w:rsid w:val="002C1E5C"/>
    <w:rsid w:val="002C20FB"/>
    <w:rsid w:val="002E196B"/>
    <w:rsid w:val="002E6541"/>
    <w:rsid w:val="00306D01"/>
    <w:rsid w:val="00334924"/>
    <w:rsid w:val="00336087"/>
    <w:rsid w:val="003409BC"/>
    <w:rsid w:val="00357185"/>
    <w:rsid w:val="0036514A"/>
    <w:rsid w:val="00381378"/>
    <w:rsid w:val="00383829"/>
    <w:rsid w:val="00395387"/>
    <w:rsid w:val="003A3046"/>
    <w:rsid w:val="003A5382"/>
    <w:rsid w:val="003B2E4A"/>
    <w:rsid w:val="003C134E"/>
    <w:rsid w:val="003C7EDF"/>
    <w:rsid w:val="003F4B29"/>
    <w:rsid w:val="003F764D"/>
    <w:rsid w:val="00400EC6"/>
    <w:rsid w:val="0042686F"/>
    <w:rsid w:val="004317D8"/>
    <w:rsid w:val="00434183"/>
    <w:rsid w:val="00443869"/>
    <w:rsid w:val="00447F32"/>
    <w:rsid w:val="004E11DC"/>
    <w:rsid w:val="004E1995"/>
    <w:rsid w:val="00525DDD"/>
    <w:rsid w:val="00531148"/>
    <w:rsid w:val="005409AC"/>
    <w:rsid w:val="0055516A"/>
    <w:rsid w:val="005731DD"/>
    <w:rsid w:val="0058491B"/>
    <w:rsid w:val="00592EA5"/>
    <w:rsid w:val="00595B52"/>
    <w:rsid w:val="00596808"/>
    <w:rsid w:val="005A3170"/>
    <w:rsid w:val="005D4CF3"/>
    <w:rsid w:val="006019C6"/>
    <w:rsid w:val="00601CF5"/>
    <w:rsid w:val="00633CD9"/>
    <w:rsid w:val="006635B2"/>
    <w:rsid w:val="00677396"/>
    <w:rsid w:val="00683E33"/>
    <w:rsid w:val="0069200F"/>
    <w:rsid w:val="00695DE8"/>
    <w:rsid w:val="006A285D"/>
    <w:rsid w:val="006A65CB"/>
    <w:rsid w:val="006B4EEF"/>
    <w:rsid w:val="006C1530"/>
    <w:rsid w:val="006C3242"/>
    <w:rsid w:val="006C79F7"/>
    <w:rsid w:val="006C7CC0"/>
    <w:rsid w:val="006E1BAD"/>
    <w:rsid w:val="006E6264"/>
    <w:rsid w:val="006F63F7"/>
    <w:rsid w:val="007025C7"/>
    <w:rsid w:val="00706D7A"/>
    <w:rsid w:val="007075DF"/>
    <w:rsid w:val="007139D8"/>
    <w:rsid w:val="00722F0D"/>
    <w:rsid w:val="0074420E"/>
    <w:rsid w:val="00783E26"/>
    <w:rsid w:val="007A0944"/>
    <w:rsid w:val="007C3BC7"/>
    <w:rsid w:val="007C3BCD"/>
    <w:rsid w:val="007D4ACF"/>
    <w:rsid w:val="007F0787"/>
    <w:rsid w:val="00807031"/>
    <w:rsid w:val="00810B7B"/>
    <w:rsid w:val="0082358A"/>
    <w:rsid w:val="008235CD"/>
    <w:rsid w:val="008247DE"/>
    <w:rsid w:val="00834CAD"/>
    <w:rsid w:val="00840B10"/>
    <w:rsid w:val="008513CB"/>
    <w:rsid w:val="00853189"/>
    <w:rsid w:val="00854950"/>
    <w:rsid w:val="00873469"/>
    <w:rsid w:val="00877CFA"/>
    <w:rsid w:val="00877F4B"/>
    <w:rsid w:val="00886428"/>
    <w:rsid w:val="00891703"/>
    <w:rsid w:val="008A71E4"/>
    <w:rsid w:val="008A7F84"/>
    <w:rsid w:val="008C41CC"/>
    <w:rsid w:val="008F79EE"/>
    <w:rsid w:val="0091702E"/>
    <w:rsid w:val="00923B0C"/>
    <w:rsid w:val="00926F44"/>
    <w:rsid w:val="009304AA"/>
    <w:rsid w:val="0094021C"/>
    <w:rsid w:val="0094432F"/>
    <w:rsid w:val="00952F86"/>
    <w:rsid w:val="00977427"/>
    <w:rsid w:val="00982B28"/>
    <w:rsid w:val="009A357F"/>
    <w:rsid w:val="009C23A0"/>
    <w:rsid w:val="009D313F"/>
    <w:rsid w:val="00A47A5A"/>
    <w:rsid w:val="00A548EF"/>
    <w:rsid w:val="00A6683B"/>
    <w:rsid w:val="00A7139F"/>
    <w:rsid w:val="00A77C90"/>
    <w:rsid w:val="00A9128C"/>
    <w:rsid w:val="00A9156F"/>
    <w:rsid w:val="00A95EE3"/>
    <w:rsid w:val="00A97F94"/>
    <w:rsid w:val="00AA7EA2"/>
    <w:rsid w:val="00AB0BC9"/>
    <w:rsid w:val="00AD66D6"/>
    <w:rsid w:val="00AF6B5C"/>
    <w:rsid w:val="00B02A6A"/>
    <w:rsid w:val="00B03099"/>
    <w:rsid w:val="00B05BC8"/>
    <w:rsid w:val="00B37DBD"/>
    <w:rsid w:val="00B604F9"/>
    <w:rsid w:val="00B64B47"/>
    <w:rsid w:val="00B701EE"/>
    <w:rsid w:val="00B916A7"/>
    <w:rsid w:val="00B92898"/>
    <w:rsid w:val="00BB0F08"/>
    <w:rsid w:val="00BB49D0"/>
    <w:rsid w:val="00BD4AFA"/>
    <w:rsid w:val="00BD6E43"/>
    <w:rsid w:val="00C002DE"/>
    <w:rsid w:val="00C53BF8"/>
    <w:rsid w:val="00C66157"/>
    <w:rsid w:val="00C674FE"/>
    <w:rsid w:val="00C67501"/>
    <w:rsid w:val="00C75633"/>
    <w:rsid w:val="00C84570"/>
    <w:rsid w:val="00C905B2"/>
    <w:rsid w:val="00CA0655"/>
    <w:rsid w:val="00CB5967"/>
    <w:rsid w:val="00CD1505"/>
    <w:rsid w:val="00CD7FFB"/>
    <w:rsid w:val="00CE1C08"/>
    <w:rsid w:val="00CE2EE1"/>
    <w:rsid w:val="00CE3349"/>
    <w:rsid w:val="00CE36E5"/>
    <w:rsid w:val="00CF27F5"/>
    <w:rsid w:val="00CF3FFD"/>
    <w:rsid w:val="00D10CCF"/>
    <w:rsid w:val="00D22846"/>
    <w:rsid w:val="00D51032"/>
    <w:rsid w:val="00D517B2"/>
    <w:rsid w:val="00D73119"/>
    <w:rsid w:val="00D76170"/>
    <w:rsid w:val="00D77D0F"/>
    <w:rsid w:val="00D911A0"/>
    <w:rsid w:val="00D91466"/>
    <w:rsid w:val="00D921F6"/>
    <w:rsid w:val="00D94F72"/>
    <w:rsid w:val="00DA1CF0"/>
    <w:rsid w:val="00DB137C"/>
    <w:rsid w:val="00DC17D6"/>
    <w:rsid w:val="00DC1E02"/>
    <w:rsid w:val="00DC24B4"/>
    <w:rsid w:val="00DC5FB0"/>
    <w:rsid w:val="00DD0809"/>
    <w:rsid w:val="00DD1EBB"/>
    <w:rsid w:val="00DE1955"/>
    <w:rsid w:val="00DF16DC"/>
    <w:rsid w:val="00E11F75"/>
    <w:rsid w:val="00E20961"/>
    <w:rsid w:val="00E45211"/>
    <w:rsid w:val="00E469E6"/>
    <w:rsid w:val="00E473C5"/>
    <w:rsid w:val="00E52944"/>
    <w:rsid w:val="00E54D5B"/>
    <w:rsid w:val="00E8214B"/>
    <w:rsid w:val="00E84438"/>
    <w:rsid w:val="00E92863"/>
    <w:rsid w:val="00EB796D"/>
    <w:rsid w:val="00ED66BE"/>
    <w:rsid w:val="00F058DC"/>
    <w:rsid w:val="00F24FC4"/>
    <w:rsid w:val="00F2676C"/>
    <w:rsid w:val="00F27046"/>
    <w:rsid w:val="00F52941"/>
    <w:rsid w:val="00F71BA3"/>
    <w:rsid w:val="00F84366"/>
    <w:rsid w:val="00F85089"/>
    <w:rsid w:val="00F974C5"/>
    <w:rsid w:val="00FA60D1"/>
    <w:rsid w:val="00FA6F46"/>
    <w:rsid w:val="00FD25A6"/>
    <w:rsid w:val="00FD565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01A3"/>
  <w15:chartTrackingRefBased/>
  <w15:docId w15:val="{ADEBC415-B636-428B-A19F-2B72810E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title0">
    <w:name w:val="Annex_title"/>
    <w:basedOn w:val="Normal"/>
    <w:next w:val="Normal"/>
    <w:rsid w:val="00DE1955"/>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CG Times" w:cs="Simplified Arabic" w:hint="cs"/>
      <w:b/>
      <w:sz w:val="28"/>
      <w:szCs w:val="30"/>
      <w:lang w:val="en-GB"/>
    </w:rPr>
  </w:style>
  <w:style w:type="character" w:styleId="FollowedHyperlink">
    <w:name w:val="FollowedHyperlink"/>
    <w:basedOn w:val="DefaultParagraphFont"/>
    <w:uiPriority w:val="99"/>
    <w:semiHidden/>
    <w:unhideWhenUsed/>
    <w:rsid w:val="00E11F75"/>
    <w:rPr>
      <w:color w:val="954F72" w:themeColor="followedHyperlink"/>
      <w:u w:val="single"/>
    </w:rPr>
  </w:style>
  <w:style w:type="paragraph" w:styleId="Revision">
    <w:name w:val="Revision"/>
    <w:hidden/>
    <w:uiPriority w:val="99"/>
    <w:semiHidden/>
    <w:rsid w:val="00D94F7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20-R-0004/en" TargetMode="External"/><Relationship Id="rId18" Type="http://schemas.openxmlformats.org/officeDocument/2006/relationships/hyperlink" Target="https://www.itu.int/md/T25-SG20-R-0009/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T25-SG20-R-0003/en" TargetMode="External"/><Relationship Id="rId17" Type="http://schemas.openxmlformats.org/officeDocument/2006/relationships/hyperlink" Target="https://www.itu.int/md/T25-SG20-R-0008/en" TargetMode="External"/><Relationship Id="rId2" Type="http://schemas.openxmlformats.org/officeDocument/2006/relationships/numbering" Target="numbering.xml"/><Relationship Id="rId16" Type="http://schemas.openxmlformats.org/officeDocument/2006/relationships/hyperlink" Target="https://www.itu.int/md/T25-SG20-R-0007/en" TargetMode="External"/><Relationship Id="rId20" Type="http://schemas.openxmlformats.org/officeDocument/2006/relationships/hyperlink" Target="mailto:tsbdir@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T25-SG20-R-0006/en" TargetMode="External"/><Relationship Id="rId23" Type="http://schemas.openxmlformats.org/officeDocument/2006/relationships/fontTable" Target="fontTable.xml"/><Relationship Id="rId10" Type="http://schemas.openxmlformats.org/officeDocument/2006/relationships/hyperlink" Target="https://www.itu.int/ar/ITU-T/ipr/Pages/default.aspx" TargetMode="External"/><Relationship Id="rId19" Type="http://schemas.openxmlformats.org/officeDocument/2006/relationships/hyperlink" Target="https://www.itu.int/md/T25-SG20-R-0010/en"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5-SG20-R-0005/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286</TotalTime>
  <Pages>7</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Braud, Olivia</cp:lastModifiedBy>
  <cp:revision>12</cp:revision>
  <cp:lastPrinted>2025-05-09T11:27:00Z</cp:lastPrinted>
  <dcterms:created xsi:type="dcterms:W3CDTF">2025-04-23T08:32:00Z</dcterms:created>
  <dcterms:modified xsi:type="dcterms:W3CDTF">2025-05-09T11:28:00Z</dcterms:modified>
</cp:coreProperties>
</file>