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352"/>
        <w:gridCol w:w="4950"/>
      </w:tblGrid>
      <w:tr w:rsidR="007B6316" w:rsidRPr="000610EA" w14:paraId="38B29404" w14:textId="77777777" w:rsidTr="008A132C">
        <w:trPr>
          <w:cantSplit/>
          <w:trHeight w:val="340"/>
        </w:trPr>
        <w:tc>
          <w:tcPr>
            <w:tcW w:w="1410" w:type="dxa"/>
            <w:gridSpan w:val="2"/>
          </w:tcPr>
          <w:p w14:paraId="7DF01288" w14:textId="77777777" w:rsidR="007B6316" w:rsidRPr="000610E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610EA">
              <w:rPr>
                <w:noProof/>
                <w:lang w:eastAsia="zh-CN"/>
              </w:rPr>
              <w:drawing>
                <wp:inline distT="0" distB="0" distL="0" distR="0" wp14:anchorId="564133CD" wp14:editId="1E6D12C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gridSpan w:val="2"/>
            <w:vAlign w:val="center"/>
          </w:tcPr>
          <w:p w14:paraId="7E03DF77" w14:textId="77777777" w:rsidR="007B6316" w:rsidRPr="000610EA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610E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5A0E65E" w14:textId="77777777" w:rsidR="007B6316" w:rsidRPr="000610EA" w:rsidRDefault="007B6316" w:rsidP="007B6316">
            <w:pPr>
              <w:spacing w:before="0"/>
            </w:pPr>
            <w:r w:rsidRPr="000610EA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610EA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610E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8A132C" w14:paraId="50E19BEF" w14:textId="77777777" w:rsidTr="008A132C">
        <w:trPr>
          <w:cantSplit/>
          <w:trHeight w:val="340"/>
        </w:trPr>
        <w:tc>
          <w:tcPr>
            <w:tcW w:w="993" w:type="dxa"/>
          </w:tcPr>
          <w:p w14:paraId="35E53EA3" w14:textId="77777777" w:rsidR="007B6316" w:rsidRPr="008A132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69" w:type="dxa"/>
            <w:gridSpan w:val="2"/>
          </w:tcPr>
          <w:p w14:paraId="36A0BD3F" w14:textId="77777777" w:rsidR="007B6316" w:rsidRPr="008A132C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4F88DF0B" w14:textId="77D1D146" w:rsidR="007B6316" w:rsidRPr="008A132C" w:rsidRDefault="007B6316" w:rsidP="008463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Ginebra,</w:t>
            </w:r>
            <w:r w:rsidR="0084631E" w:rsidRPr="008A132C">
              <w:rPr>
                <w:rFonts w:cstheme="minorHAnsi"/>
                <w:sz w:val="22"/>
                <w:szCs w:val="22"/>
              </w:rPr>
              <w:t xml:space="preserve"> 27 de marzo de 2025</w:t>
            </w:r>
          </w:p>
        </w:tc>
      </w:tr>
      <w:tr w:rsidR="001350B9" w:rsidRPr="008A132C" w14:paraId="66A70E44" w14:textId="77777777" w:rsidTr="008A132C">
        <w:trPr>
          <w:cantSplit/>
          <w:trHeight w:val="340"/>
        </w:trPr>
        <w:tc>
          <w:tcPr>
            <w:tcW w:w="993" w:type="dxa"/>
          </w:tcPr>
          <w:p w14:paraId="7A281216" w14:textId="77777777" w:rsidR="001350B9" w:rsidRPr="008A132C" w:rsidRDefault="001350B9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8A132C">
              <w:rPr>
                <w:rFonts w:cstheme="minorHAnsi"/>
                <w:sz w:val="22"/>
                <w:szCs w:val="22"/>
              </w:rPr>
              <w:t>.:</w:t>
            </w:r>
          </w:p>
          <w:p w14:paraId="6E4AD644" w14:textId="77777777" w:rsidR="001350B9" w:rsidRPr="008A132C" w:rsidRDefault="001350B9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69" w:type="dxa"/>
            <w:gridSpan w:val="2"/>
          </w:tcPr>
          <w:p w14:paraId="480AEDB5" w14:textId="5DD68A05" w:rsidR="001350B9" w:rsidRPr="008A132C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8A132C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C85D23" w:rsidRPr="008A132C">
              <w:rPr>
                <w:rFonts w:cstheme="minorHAnsi"/>
                <w:b/>
                <w:sz w:val="22"/>
                <w:szCs w:val="22"/>
              </w:rPr>
              <w:t>38</w:t>
            </w:r>
          </w:p>
          <w:p w14:paraId="664E0E18" w14:textId="7CC1F36F" w:rsidR="001350B9" w:rsidRPr="008A132C" w:rsidRDefault="00C85D23" w:rsidP="00C85D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CE 13/TK</w:t>
            </w:r>
          </w:p>
          <w:p w14:paraId="5B7FAAA6" w14:textId="77777777" w:rsidR="001350B9" w:rsidRPr="008A132C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50" w:type="dxa"/>
            <w:vMerge w:val="restart"/>
          </w:tcPr>
          <w:p w14:paraId="04100DFE" w14:textId="77777777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8A132C">
              <w:rPr>
                <w:rFonts w:cstheme="minorHAnsi"/>
                <w:b/>
                <w:sz w:val="22"/>
                <w:szCs w:val="22"/>
              </w:rPr>
              <w:t>A:</w:t>
            </w:r>
          </w:p>
          <w:p w14:paraId="76F583CA" w14:textId="1951FC5A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  <w:t>Administraciones de los Estados Miembros de la Unión;</w:t>
            </w:r>
          </w:p>
          <w:p w14:paraId="43CDD744" w14:textId="1BB86523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  <w:t>Estado de Palestina (Res. 99 (Rev. Dubái, 2018));</w:t>
            </w:r>
          </w:p>
          <w:p w14:paraId="4AC82159" w14:textId="112150B9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  <w:t>Miembros de Sector del UIT-T;</w:t>
            </w:r>
          </w:p>
          <w:p w14:paraId="7AB41E68" w14:textId="13FA3A81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  <w:t>Asociados del UIT-T;</w:t>
            </w:r>
          </w:p>
          <w:p w14:paraId="6AFF7C22" w14:textId="4D2C159B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  <w:t>Instituciones Académicas de la UIT</w:t>
            </w:r>
          </w:p>
          <w:p w14:paraId="664A0408" w14:textId="77777777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b/>
                <w:sz w:val="22"/>
                <w:szCs w:val="22"/>
              </w:rPr>
              <w:t>Copia a:</w:t>
            </w:r>
          </w:p>
          <w:p w14:paraId="4089A576" w14:textId="3CA37483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8A132C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8A132C">
              <w:rPr>
                <w:rFonts w:cstheme="minorHAnsi"/>
                <w:sz w:val="22"/>
                <w:szCs w:val="22"/>
              </w:rPr>
              <w:t xml:space="preserve"> y </w:t>
            </w:r>
            <w:proofErr w:type="gramStart"/>
            <w:r w:rsidRPr="008A132C">
              <w:rPr>
                <w:rFonts w:cstheme="minorHAnsi"/>
                <w:sz w:val="22"/>
                <w:szCs w:val="22"/>
              </w:rPr>
              <w:t>Vicepresidentes</w:t>
            </w:r>
            <w:proofErr w:type="gramEnd"/>
            <w:r w:rsidRPr="008A132C">
              <w:rPr>
                <w:rFonts w:cstheme="minorHAnsi"/>
                <w:sz w:val="22"/>
                <w:szCs w:val="22"/>
              </w:rPr>
              <w:t xml:space="preserve"> de la Comisión de Estudio 13 del UIT-T;</w:t>
            </w:r>
          </w:p>
          <w:p w14:paraId="7B9D71B0" w14:textId="1079B2E9" w:rsidR="00C85D23" w:rsidRPr="008A132C" w:rsidRDefault="00C85D23" w:rsidP="00C85D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8A132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8A132C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24E7AB65" w14:textId="22435683" w:rsidR="001350B9" w:rsidRPr="008A132C" w:rsidRDefault="00C85D23" w:rsidP="00C85D2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–</w:t>
            </w:r>
            <w:r w:rsidRPr="008A132C">
              <w:rPr>
                <w:rFonts w:cstheme="minorHAnsi"/>
                <w:sz w:val="22"/>
                <w:szCs w:val="22"/>
              </w:rPr>
              <w:tab/>
            </w:r>
            <w:proofErr w:type="gramStart"/>
            <w:r w:rsidRPr="008A132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8A132C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8A132C" w14:paraId="0AA0986C" w14:textId="77777777" w:rsidTr="008A132C">
        <w:trPr>
          <w:cantSplit/>
        </w:trPr>
        <w:tc>
          <w:tcPr>
            <w:tcW w:w="993" w:type="dxa"/>
          </w:tcPr>
          <w:p w14:paraId="31DB38F8" w14:textId="77777777" w:rsidR="001350B9" w:rsidRPr="008A132C" w:rsidRDefault="001350B9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769" w:type="dxa"/>
            <w:gridSpan w:val="2"/>
          </w:tcPr>
          <w:p w14:paraId="42255C02" w14:textId="51FCAB3F" w:rsidR="001350B9" w:rsidRPr="008A132C" w:rsidRDefault="00C85D23" w:rsidP="00C85D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+41 22 730 5126</w:t>
            </w:r>
          </w:p>
        </w:tc>
        <w:tc>
          <w:tcPr>
            <w:tcW w:w="4950" w:type="dxa"/>
            <w:vMerge/>
          </w:tcPr>
          <w:p w14:paraId="2E47915E" w14:textId="77777777" w:rsidR="001350B9" w:rsidRPr="008A132C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8A132C" w14:paraId="2E6AF2BE" w14:textId="77777777" w:rsidTr="008A132C">
        <w:trPr>
          <w:cantSplit/>
        </w:trPr>
        <w:tc>
          <w:tcPr>
            <w:tcW w:w="993" w:type="dxa"/>
          </w:tcPr>
          <w:p w14:paraId="4E040F78" w14:textId="77777777" w:rsidR="001350B9" w:rsidRPr="008A132C" w:rsidRDefault="001350B9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769" w:type="dxa"/>
            <w:gridSpan w:val="2"/>
          </w:tcPr>
          <w:p w14:paraId="0CD25D31" w14:textId="2ABCF765" w:rsidR="001350B9" w:rsidRPr="008A132C" w:rsidRDefault="00C85D23" w:rsidP="00C85D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950" w:type="dxa"/>
            <w:vMerge/>
          </w:tcPr>
          <w:p w14:paraId="7D4DD82B" w14:textId="77777777" w:rsidR="001350B9" w:rsidRPr="008A132C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8A132C" w14:paraId="10EDD647" w14:textId="77777777" w:rsidTr="008A132C">
        <w:trPr>
          <w:cantSplit/>
          <w:trHeight w:val="2331"/>
        </w:trPr>
        <w:tc>
          <w:tcPr>
            <w:tcW w:w="993" w:type="dxa"/>
          </w:tcPr>
          <w:p w14:paraId="57EF2615" w14:textId="77777777" w:rsidR="001350B9" w:rsidRPr="008A132C" w:rsidRDefault="001350B9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769" w:type="dxa"/>
            <w:gridSpan w:val="2"/>
          </w:tcPr>
          <w:p w14:paraId="0C94E347" w14:textId="28FB46A3" w:rsidR="001350B9" w:rsidRPr="008A132C" w:rsidRDefault="00C85D23" w:rsidP="00C85D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8A132C">
                <w:rPr>
                  <w:rStyle w:val="Hyperlink"/>
                  <w:rFonts w:cstheme="minorHAnsi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4950" w:type="dxa"/>
            <w:vMerge/>
          </w:tcPr>
          <w:p w14:paraId="46DFC0A2" w14:textId="77777777" w:rsidR="001350B9" w:rsidRPr="008A132C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8A132C" w14:paraId="7B94DDF3" w14:textId="77777777" w:rsidTr="008A132C">
        <w:trPr>
          <w:cantSplit/>
        </w:trPr>
        <w:tc>
          <w:tcPr>
            <w:tcW w:w="993" w:type="dxa"/>
          </w:tcPr>
          <w:p w14:paraId="153B05FD" w14:textId="77777777" w:rsidR="007B6316" w:rsidRPr="008A132C" w:rsidRDefault="007B6316" w:rsidP="008A132C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8A132C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8A132C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19" w:type="dxa"/>
            <w:gridSpan w:val="3"/>
          </w:tcPr>
          <w:p w14:paraId="146180BF" w14:textId="5197CAD8" w:rsidR="007B6316" w:rsidRPr="008A132C" w:rsidRDefault="00C85D23" w:rsidP="00C85D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A132C">
              <w:rPr>
                <w:rFonts w:cstheme="minorHAnsi"/>
                <w:b/>
                <w:sz w:val="22"/>
                <w:szCs w:val="22"/>
              </w:rPr>
              <w:t>Situación de las Recomendaciones UIT-T Y.2348 (ex Y.NRS-DLT-arch) y UIT-T Y.3211 (ex</w:t>
            </w:r>
            <w:r w:rsidR="0084631E" w:rsidRPr="008A132C">
              <w:rPr>
                <w:rFonts w:cstheme="minorHAnsi"/>
                <w:b/>
                <w:sz w:val="22"/>
                <w:szCs w:val="22"/>
              </w:rPr>
              <w:t> </w:t>
            </w:r>
            <w:proofErr w:type="gramStart"/>
            <w:r w:rsidRPr="008A132C">
              <w:rPr>
                <w:rFonts w:cstheme="minorHAnsi"/>
                <w:b/>
                <w:sz w:val="22"/>
                <w:szCs w:val="22"/>
              </w:rPr>
              <w:t>Y.FMSC</w:t>
            </w:r>
            <w:proofErr w:type="gramEnd"/>
            <w:r w:rsidRPr="008A132C">
              <w:rPr>
                <w:rFonts w:cstheme="minorHAnsi"/>
                <w:b/>
                <w:sz w:val="22"/>
                <w:szCs w:val="22"/>
              </w:rPr>
              <w:t>-ABC-req) tras la reunión de la Comisión de Estudio 13 del UIT-T (Ginebra, 3</w:t>
            </w:r>
            <w:r w:rsidR="0084631E" w:rsidRPr="008A132C">
              <w:rPr>
                <w:rFonts w:cstheme="minorHAnsi"/>
                <w:b/>
                <w:sz w:val="22"/>
                <w:szCs w:val="22"/>
              </w:rPr>
              <w:noBreakHyphen/>
            </w:r>
            <w:r w:rsidRPr="008A132C">
              <w:rPr>
                <w:rFonts w:cstheme="minorHAnsi"/>
                <w:b/>
                <w:sz w:val="22"/>
                <w:szCs w:val="22"/>
              </w:rPr>
              <w:t>14</w:t>
            </w:r>
            <w:r w:rsidR="0084631E" w:rsidRPr="008A132C">
              <w:rPr>
                <w:rFonts w:cstheme="minorHAnsi"/>
                <w:b/>
                <w:sz w:val="22"/>
                <w:szCs w:val="22"/>
              </w:rPr>
              <w:t> </w:t>
            </w:r>
            <w:r w:rsidRPr="008A132C">
              <w:rPr>
                <w:rFonts w:cstheme="minorHAnsi"/>
                <w:b/>
                <w:sz w:val="22"/>
                <w:szCs w:val="22"/>
              </w:rPr>
              <w:t>de marzo de 2025)</w:t>
            </w:r>
          </w:p>
        </w:tc>
      </w:tr>
    </w:tbl>
    <w:p w14:paraId="1913A6D2" w14:textId="4CD21276" w:rsidR="00C34772" w:rsidRPr="008A132C" w:rsidRDefault="00C34772" w:rsidP="008A132C">
      <w:pPr>
        <w:pStyle w:val="Normalaftertitle"/>
        <w:spacing w:before="1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8A132C">
        <w:rPr>
          <w:rFonts w:cstheme="minorHAnsi"/>
          <w:sz w:val="22"/>
          <w:szCs w:val="22"/>
        </w:rPr>
        <w:t>Muy Señora mía/Muy Señor mío</w:t>
      </w:r>
      <w:r w:rsidR="008A132C">
        <w:rPr>
          <w:rFonts w:cstheme="minorHAnsi"/>
          <w:sz w:val="22"/>
          <w:szCs w:val="22"/>
        </w:rPr>
        <w:t>,</w:t>
      </w:r>
    </w:p>
    <w:p w14:paraId="11D59966" w14:textId="306E6EBA" w:rsidR="00C85D23" w:rsidRPr="008A132C" w:rsidRDefault="00C85D23" w:rsidP="0084631E">
      <w:pPr>
        <w:spacing w:after="120"/>
        <w:rPr>
          <w:rFonts w:cstheme="minorHAnsi"/>
          <w:sz w:val="22"/>
          <w:szCs w:val="22"/>
        </w:rPr>
      </w:pPr>
      <w:r w:rsidRPr="008A132C">
        <w:rPr>
          <w:rFonts w:cstheme="minorHAnsi"/>
          <w:sz w:val="22"/>
          <w:szCs w:val="22"/>
        </w:rPr>
        <w:t>1</w:t>
      </w:r>
      <w:r w:rsidRPr="008A132C">
        <w:rPr>
          <w:rFonts w:cstheme="minorHAnsi"/>
          <w:sz w:val="22"/>
          <w:szCs w:val="22"/>
        </w:rPr>
        <w:tab/>
        <w:t xml:space="preserve">En relación con la </w:t>
      </w:r>
      <w:hyperlink r:id="rId10" w:history="1">
        <w:r w:rsidRPr="008A132C">
          <w:rPr>
            <w:rStyle w:val="Hyperlink"/>
            <w:rFonts w:cstheme="minorHAnsi"/>
            <w:sz w:val="22"/>
            <w:szCs w:val="22"/>
          </w:rPr>
          <w:t>Circular TSB 238</w:t>
        </w:r>
      </w:hyperlink>
      <w:r w:rsidRPr="008A132C">
        <w:rPr>
          <w:rFonts w:cstheme="minorHAnsi"/>
          <w:sz w:val="22"/>
          <w:szCs w:val="22"/>
        </w:rPr>
        <w:t xml:space="preserve"> de 7 de octubre de 2024, y de conformidad con lo dispuesto en la cláusula 9.5 de la Resolución 1 (Rev. Ginebra, 2022), me complace informarle de que la Comisión de Estudio 13 del UIT-</w:t>
      </w:r>
      <w:proofErr w:type="gramStart"/>
      <w:r w:rsidRPr="008A132C">
        <w:rPr>
          <w:rFonts w:cstheme="minorHAnsi"/>
          <w:sz w:val="22"/>
          <w:szCs w:val="22"/>
        </w:rPr>
        <w:t>T  tomó</w:t>
      </w:r>
      <w:proofErr w:type="gramEnd"/>
      <w:r w:rsidRPr="008A132C">
        <w:rPr>
          <w:rFonts w:cstheme="minorHAnsi"/>
          <w:sz w:val="22"/>
          <w:szCs w:val="22"/>
        </w:rPr>
        <w:t xml:space="preserve"> las siguientes decisiones en sus sesiones plenarias celebradas el 3 de marzo de 2025 y el 10 de marzo de 2025 en relación con los siguientes proyectos de textos del UIT-T: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4541"/>
        <w:gridCol w:w="2835"/>
      </w:tblGrid>
      <w:tr w:rsidR="00C85D23" w:rsidRPr="008A132C" w14:paraId="1C75D772" w14:textId="77777777" w:rsidTr="00E9109C">
        <w:trPr>
          <w:tblHeader/>
          <w:jc w:val="center"/>
        </w:trPr>
        <w:tc>
          <w:tcPr>
            <w:tcW w:w="11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6A8D1C" w14:textId="77777777" w:rsidR="00C85D23" w:rsidRPr="008A132C" w:rsidRDefault="00C85D23" w:rsidP="00E9109C">
            <w:pPr>
              <w:pStyle w:val="Tablehead0"/>
              <w:rPr>
                <w:rFonts w:cstheme="minorHAnsi"/>
              </w:rPr>
            </w:pPr>
            <w:r w:rsidRPr="008A132C">
              <w:rPr>
                <w:rFonts w:cstheme="minorHAnsi"/>
              </w:rPr>
              <w:t>Número</w:t>
            </w:r>
          </w:p>
        </w:tc>
        <w:tc>
          <w:tcPr>
            <w:tcW w:w="2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B447B5" w14:textId="77777777" w:rsidR="00C85D23" w:rsidRPr="008A132C" w:rsidRDefault="00C85D23" w:rsidP="00E9109C">
            <w:pPr>
              <w:pStyle w:val="Tablehead0"/>
              <w:rPr>
                <w:rFonts w:cstheme="minorHAnsi"/>
              </w:rPr>
            </w:pPr>
            <w:r w:rsidRPr="008A132C">
              <w:rPr>
                <w:rFonts w:cstheme="minorHAnsi"/>
              </w:rPr>
              <w:t>Título</w: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2FD11B" w14:textId="77777777" w:rsidR="00C85D23" w:rsidRPr="008A132C" w:rsidRDefault="00C85D23" w:rsidP="00E9109C">
            <w:pPr>
              <w:pStyle w:val="Tablehead0"/>
              <w:rPr>
                <w:rFonts w:cstheme="minorHAnsi"/>
              </w:rPr>
            </w:pPr>
            <w:r w:rsidRPr="008A132C">
              <w:rPr>
                <w:rFonts w:cstheme="minorHAnsi"/>
              </w:rPr>
              <w:t>Decisión</w:t>
            </w:r>
          </w:p>
        </w:tc>
      </w:tr>
      <w:tr w:rsidR="00C85D23" w:rsidRPr="008A132C" w14:paraId="243EC9B6" w14:textId="77777777" w:rsidTr="00E9109C">
        <w:trPr>
          <w:jc w:val="center"/>
        </w:trPr>
        <w:tc>
          <w:tcPr>
            <w:tcW w:w="11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D6F3B2" w14:textId="4B6996D3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hyperlink r:id="rId11" w:history="1">
              <w:r w:rsidRPr="008A132C">
                <w:rPr>
                  <w:rStyle w:val="Hyperlink"/>
                  <w:rFonts w:cstheme="minorHAnsi"/>
                </w:rPr>
                <w:t>UIT-T Y.2348</w:t>
              </w:r>
            </w:hyperlink>
            <w:r w:rsidRPr="008A132C">
              <w:rPr>
                <w:rFonts w:cstheme="minorHAnsi"/>
              </w:rPr>
              <w:br/>
              <w:t>(ex Y.NRS-DLT-arch)</w:t>
            </w:r>
          </w:p>
        </w:tc>
        <w:tc>
          <w:tcPr>
            <w:tcW w:w="2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4FF837" w14:textId="77777777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r w:rsidRPr="008A132C">
              <w:rPr>
                <w:rFonts w:cstheme="minorHAnsi"/>
              </w:rPr>
              <w:t>Arquitectura funcional de la compartición de recursos de red basada en la tecnología de libro mayor distribuido</w: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F215E5" w14:textId="77777777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r w:rsidRPr="008A132C">
              <w:rPr>
                <w:rFonts w:cstheme="minorHAnsi"/>
              </w:rPr>
              <w:t>Aprobada</w:t>
            </w:r>
            <w:r w:rsidRPr="008A132C">
              <w:rPr>
                <w:rFonts w:cstheme="minorHAnsi"/>
              </w:rPr>
              <w:br/>
              <w:t>(3 de marzo de 2025)</w:t>
            </w:r>
          </w:p>
        </w:tc>
      </w:tr>
      <w:tr w:rsidR="00C85D23" w:rsidRPr="008A132C" w14:paraId="733604CA" w14:textId="77777777" w:rsidTr="00E9109C">
        <w:trPr>
          <w:jc w:val="center"/>
        </w:trPr>
        <w:tc>
          <w:tcPr>
            <w:tcW w:w="1162" w:type="pct"/>
            <w:tcBorders>
              <w:top w:val="single" w:sz="12" w:space="0" w:color="auto"/>
            </w:tcBorders>
            <w:shd w:val="clear" w:color="auto" w:fill="auto"/>
          </w:tcPr>
          <w:p w14:paraId="17CD0497" w14:textId="77777777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hyperlink r:id="rId12" w:history="1">
              <w:r w:rsidRPr="008A132C">
                <w:rPr>
                  <w:rStyle w:val="Hyperlink"/>
                  <w:rFonts w:cstheme="minorHAnsi"/>
                </w:rPr>
                <w:t>UIT-T Y.3211</w:t>
              </w:r>
            </w:hyperlink>
            <w:r w:rsidRPr="008A132C">
              <w:rPr>
                <w:rFonts w:cstheme="minorHAnsi"/>
              </w:rPr>
              <w:t xml:space="preserve"> </w:t>
            </w:r>
            <w:r w:rsidRPr="008A132C">
              <w:rPr>
                <w:rFonts w:cstheme="minorHAnsi"/>
              </w:rPr>
              <w:br/>
              <w:t xml:space="preserve">(ex </w:t>
            </w:r>
            <w:proofErr w:type="gramStart"/>
            <w:r w:rsidRPr="008A132C">
              <w:rPr>
                <w:rFonts w:cstheme="minorHAnsi"/>
              </w:rPr>
              <w:t>Y.FMSC</w:t>
            </w:r>
            <w:proofErr w:type="gramEnd"/>
            <w:r w:rsidRPr="008A132C">
              <w:rPr>
                <w:rFonts w:cstheme="minorHAnsi"/>
              </w:rPr>
              <w:t>-ABC-req)</w:t>
            </w:r>
          </w:p>
        </w:tc>
        <w:tc>
          <w:tcPr>
            <w:tcW w:w="2363" w:type="pct"/>
            <w:tcBorders>
              <w:top w:val="single" w:sz="12" w:space="0" w:color="auto"/>
            </w:tcBorders>
            <w:shd w:val="clear" w:color="auto" w:fill="auto"/>
          </w:tcPr>
          <w:p w14:paraId="2F35D48C" w14:textId="0FA6F6C9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r w:rsidRPr="008A132C">
              <w:rPr>
                <w:rFonts w:cstheme="minorHAnsi"/>
              </w:rPr>
              <w:t>Convergencia de los servicios fijo, móvil y por satélite – Requisitos de apoyo a las comunicaciones aéreas de banda ancha para las redes IMT-20</w:t>
            </w:r>
            <w:r w:rsidR="0084631E" w:rsidRPr="008A132C">
              <w:rPr>
                <w:rFonts w:cstheme="minorHAnsi"/>
              </w:rPr>
              <w:t>2</w:t>
            </w:r>
            <w:r w:rsidRPr="008A132C">
              <w:rPr>
                <w:rFonts w:cstheme="minorHAnsi"/>
              </w:rPr>
              <w:t>0 y posteriores</w:t>
            </w:r>
          </w:p>
        </w:tc>
        <w:tc>
          <w:tcPr>
            <w:tcW w:w="1476" w:type="pct"/>
            <w:tcBorders>
              <w:top w:val="single" w:sz="12" w:space="0" w:color="auto"/>
            </w:tcBorders>
            <w:shd w:val="clear" w:color="auto" w:fill="auto"/>
          </w:tcPr>
          <w:p w14:paraId="3F27C179" w14:textId="77777777" w:rsidR="00C85D23" w:rsidRPr="008A132C" w:rsidRDefault="00C85D23" w:rsidP="00C85D23">
            <w:pPr>
              <w:pStyle w:val="Tabletext0"/>
              <w:rPr>
                <w:rFonts w:cstheme="minorHAnsi"/>
              </w:rPr>
            </w:pPr>
            <w:r w:rsidRPr="008A132C">
              <w:rPr>
                <w:rFonts w:cstheme="minorHAnsi"/>
              </w:rPr>
              <w:t>Aprobada</w:t>
            </w:r>
            <w:r w:rsidRPr="008A132C">
              <w:rPr>
                <w:rFonts w:cstheme="minorHAnsi"/>
              </w:rPr>
              <w:br/>
              <w:t>(10 de marzo de 2025)</w:t>
            </w:r>
          </w:p>
        </w:tc>
      </w:tr>
    </w:tbl>
    <w:p w14:paraId="7A629E4F" w14:textId="45D81BEA" w:rsidR="00C85D23" w:rsidRPr="008A132C" w:rsidRDefault="00C85D23" w:rsidP="00C85D23">
      <w:pPr>
        <w:rPr>
          <w:rFonts w:cstheme="minorHAnsi"/>
          <w:sz w:val="22"/>
          <w:szCs w:val="22"/>
        </w:rPr>
      </w:pPr>
      <w:r w:rsidRPr="008A132C">
        <w:rPr>
          <w:rFonts w:cstheme="minorHAnsi"/>
          <w:sz w:val="22"/>
          <w:szCs w:val="22"/>
        </w:rPr>
        <w:t>2</w:t>
      </w:r>
      <w:r w:rsidRPr="008A132C">
        <w:rPr>
          <w:rFonts w:cstheme="minorHAnsi"/>
          <w:sz w:val="22"/>
          <w:szCs w:val="22"/>
        </w:rPr>
        <w:tab/>
      </w:r>
      <w:proofErr w:type="gramStart"/>
      <w:r w:rsidRPr="008A132C">
        <w:rPr>
          <w:rFonts w:cstheme="minorHAnsi"/>
          <w:sz w:val="22"/>
          <w:szCs w:val="22"/>
        </w:rPr>
        <w:t>Puede</w:t>
      </w:r>
      <w:proofErr w:type="gramEnd"/>
      <w:r w:rsidRPr="008A132C">
        <w:rPr>
          <w:rFonts w:cstheme="minorHAnsi"/>
          <w:sz w:val="22"/>
          <w:szCs w:val="22"/>
        </w:rPr>
        <w:t xml:space="preserve"> consultar la información disponible sobre patentes en línea en el </w:t>
      </w:r>
      <w:hyperlink r:id="rId13" w:history="1">
        <w:r w:rsidRPr="008A132C">
          <w:rPr>
            <w:rStyle w:val="Hyperlink"/>
            <w:rFonts w:cstheme="minorHAnsi"/>
            <w:sz w:val="22"/>
            <w:szCs w:val="22"/>
          </w:rPr>
          <w:t>sitio web del UIT</w:t>
        </w:r>
        <w:r w:rsidRPr="008A132C">
          <w:rPr>
            <w:rStyle w:val="Hyperlink"/>
            <w:rFonts w:cstheme="minorHAnsi"/>
            <w:sz w:val="22"/>
            <w:szCs w:val="22"/>
          </w:rPr>
          <w:noBreakHyphen/>
          <w:t>T</w:t>
        </w:r>
      </w:hyperlink>
      <w:r w:rsidRPr="008A132C">
        <w:rPr>
          <w:rFonts w:cstheme="minorHAnsi"/>
          <w:sz w:val="22"/>
          <w:szCs w:val="22"/>
        </w:rPr>
        <w:t>.</w:t>
      </w:r>
    </w:p>
    <w:p w14:paraId="34603051" w14:textId="77777777" w:rsidR="00C85D23" w:rsidRPr="008A132C" w:rsidRDefault="00C85D23" w:rsidP="00C85D23">
      <w:pPr>
        <w:rPr>
          <w:rFonts w:cstheme="minorHAnsi"/>
          <w:sz w:val="22"/>
          <w:szCs w:val="22"/>
        </w:rPr>
      </w:pPr>
      <w:r w:rsidRPr="008A132C">
        <w:rPr>
          <w:rFonts w:cstheme="minorHAnsi"/>
          <w:sz w:val="22"/>
          <w:szCs w:val="22"/>
        </w:rPr>
        <w:t>3</w:t>
      </w:r>
      <w:r w:rsidRPr="008A132C">
        <w:rPr>
          <w:rFonts w:cstheme="minorHAnsi"/>
          <w:sz w:val="22"/>
          <w:szCs w:val="22"/>
        </w:rPr>
        <w:tab/>
      </w:r>
      <w:proofErr w:type="gramStart"/>
      <w:r w:rsidRPr="008A132C">
        <w:rPr>
          <w:rFonts w:cstheme="minorHAnsi"/>
          <w:sz w:val="22"/>
          <w:szCs w:val="22"/>
        </w:rPr>
        <w:t>El</w:t>
      </w:r>
      <w:proofErr w:type="gramEnd"/>
      <w:r w:rsidRPr="008A132C">
        <w:rPr>
          <w:rFonts w:cstheme="minorHAnsi"/>
          <w:sz w:val="22"/>
          <w:szCs w:val="22"/>
        </w:rPr>
        <w:t xml:space="preserve"> texto de las Recomendaciones prepublicadas está disponible en el sitio web del UIT-T en la dirección </w:t>
      </w:r>
      <w:hyperlink r:id="rId14" w:history="1">
        <w:r w:rsidRPr="008A132C">
          <w:rPr>
            <w:rStyle w:val="Hyperlink"/>
            <w:rFonts w:cstheme="minorHAnsi"/>
            <w:sz w:val="22"/>
            <w:szCs w:val="22"/>
          </w:rPr>
          <w:t>https://itu.int/itu-t/recommendations/</w:t>
        </w:r>
      </w:hyperlink>
      <w:r w:rsidRPr="008A132C">
        <w:rPr>
          <w:rFonts w:cstheme="minorHAnsi"/>
          <w:sz w:val="22"/>
          <w:szCs w:val="22"/>
        </w:rPr>
        <w:t>.</w:t>
      </w:r>
    </w:p>
    <w:p w14:paraId="151D1FAC" w14:textId="3022B9BD" w:rsidR="00C85D23" w:rsidRPr="008A132C" w:rsidRDefault="00C85D23" w:rsidP="0084631E">
      <w:pPr>
        <w:rPr>
          <w:rFonts w:cstheme="minorHAnsi"/>
          <w:sz w:val="22"/>
          <w:szCs w:val="22"/>
        </w:rPr>
      </w:pPr>
      <w:r w:rsidRPr="008A132C">
        <w:rPr>
          <w:rFonts w:cstheme="minorHAnsi"/>
          <w:sz w:val="22"/>
          <w:szCs w:val="22"/>
        </w:rPr>
        <w:t>4</w:t>
      </w:r>
      <w:r w:rsidRPr="008A132C">
        <w:rPr>
          <w:rFonts w:cstheme="minorHAnsi"/>
          <w:sz w:val="22"/>
          <w:szCs w:val="22"/>
        </w:rPr>
        <w:tab/>
      </w:r>
      <w:proofErr w:type="gramStart"/>
      <w:r w:rsidRPr="008A132C">
        <w:rPr>
          <w:rFonts w:cstheme="minorHAnsi"/>
          <w:sz w:val="22"/>
          <w:szCs w:val="22"/>
        </w:rPr>
        <w:t>La</w:t>
      </w:r>
      <w:proofErr w:type="gramEnd"/>
      <w:r w:rsidRPr="008A132C">
        <w:rPr>
          <w:rFonts w:cstheme="minorHAnsi"/>
          <w:sz w:val="22"/>
          <w:szCs w:val="22"/>
        </w:rPr>
        <w:t xml:space="preserve"> UIT publicará las Recomendaciones aprobadas a la mayor brevedad.</w:t>
      </w:r>
    </w:p>
    <w:p w14:paraId="1954B685" w14:textId="101EA031" w:rsidR="007B6316" w:rsidRPr="008A132C" w:rsidRDefault="007B6316" w:rsidP="007B6316">
      <w:pPr>
        <w:rPr>
          <w:rFonts w:cstheme="minorHAnsi"/>
          <w:sz w:val="22"/>
          <w:szCs w:val="22"/>
        </w:rPr>
      </w:pPr>
      <w:r w:rsidRPr="008A132C">
        <w:rPr>
          <w:rFonts w:cstheme="minorHAnsi"/>
          <w:sz w:val="22"/>
          <w:szCs w:val="22"/>
        </w:rPr>
        <w:t>Atentamente,</w:t>
      </w:r>
    </w:p>
    <w:p w14:paraId="33942AF8" w14:textId="01F42BCE" w:rsidR="00401C20" w:rsidRPr="008A132C" w:rsidRDefault="0015234F" w:rsidP="008A132C">
      <w:pPr>
        <w:spacing w:before="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01F7E2" wp14:editId="41376959">
            <wp:simplePos x="0" y="0"/>
            <wp:positionH relativeFrom="column">
              <wp:posOffset>-66040</wp:posOffset>
            </wp:positionH>
            <wp:positionV relativeFrom="paragraph">
              <wp:posOffset>41275</wp:posOffset>
            </wp:positionV>
            <wp:extent cx="825542" cy="330217"/>
            <wp:effectExtent l="0" t="0" r="0" b="0"/>
            <wp:wrapNone/>
            <wp:docPr id="191028155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1551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8A132C">
        <w:rPr>
          <w:rFonts w:cstheme="minorHAnsi"/>
          <w:sz w:val="22"/>
          <w:szCs w:val="22"/>
        </w:rPr>
        <w:t>Seizo Onoe</w:t>
      </w:r>
      <w:r w:rsidR="007B6316" w:rsidRPr="008A132C">
        <w:rPr>
          <w:rFonts w:cstheme="minorHAnsi"/>
          <w:sz w:val="22"/>
          <w:szCs w:val="22"/>
        </w:rPr>
        <w:br/>
      </w:r>
      <w:proofErr w:type="gramStart"/>
      <w:r w:rsidR="007B6316" w:rsidRPr="008A132C">
        <w:rPr>
          <w:rFonts w:cstheme="minorHAnsi"/>
          <w:sz w:val="22"/>
          <w:szCs w:val="22"/>
        </w:rPr>
        <w:t>Director</w:t>
      </w:r>
      <w:proofErr w:type="gramEnd"/>
      <w:r w:rsidR="007B6316" w:rsidRPr="008A132C">
        <w:rPr>
          <w:rFonts w:cstheme="minorHAnsi"/>
          <w:sz w:val="22"/>
          <w:szCs w:val="22"/>
        </w:rPr>
        <w:t xml:space="preserve"> de la Oficina de </w:t>
      </w:r>
      <w:r w:rsidR="007B6316" w:rsidRPr="008A132C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8A132C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33B2" w14:textId="77777777" w:rsidR="00C85D23" w:rsidRDefault="00C85D23">
      <w:r>
        <w:separator/>
      </w:r>
    </w:p>
  </w:endnote>
  <w:endnote w:type="continuationSeparator" w:id="0">
    <w:p w14:paraId="41878137" w14:textId="77777777" w:rsidR="00C85D23" w:rsidRDefault="00C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E7E5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8033" w14:textId="77777777" w:rsidR="00C85D23" w:rsidRDefault="00C85D23">
      <w:r>
        <w:t>____________________</w:t>
      </w:r>
    </w:p>
  </w:footnote>
  <w:footnote w:type="continuationSeparator" w:id="0">
    <w:p w14:paraId="6DEBF7E8" w14:textId="77777777" w:rsidR="00C85D23" w:rsidRDefault="00C8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1BDA" w14:textId="311A5CAC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B620641" w14:textId="033D266D" w:rsidR="0084631E" w:rsidRPr="00303D62" w:rsidRDefault="0084631E">
    <w:pPr>
      <w:pStyle w:val="Header"/>
      <w:rPr>
        <w:sz w:val="18"/>
        <w:szCs w:val="18"/>
      </w:rPr>
    </w:pPr>
    <w:r>
      <w:rPr>
        <w:noProof/>
        <w:sz w:val="18"/>
        <w:szCs w:val="16"/>
      </w:rPr>
      <w:t>Circular TSB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826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0A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0A4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B4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BA2A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E2F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66DB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20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2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26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028678512">
    <w:abstractNumId w:val="10"/>
  </w:num>
  <w:num w:numId="2" w16cid:durableId="2051492708">
    <w:abstractNumId w:val="13"/>
  </w:num>
  <w:num w:numId="3" w16cid:durableId="1205020608">
    <w:abstractNumId w:val="12"/>
  </w:num>
  <w:num w:numId="4" w16cid:durableId="1172187498">
    <w:abstractNumId w:val="11"/>
  </w:num>
  <w:num w:numId="5" w16cid:durableId="669724024">
    <w:abstractNumId w:val="9"/>
  </w:num>
  <w:num w:numId="6" w16cid:durableId="1577589473">
    <w:abstractNumId w:val="7"/>
  </w:num>
  <w:num w:numId="7" w16cid:durableId="1072973572">
    <w:abstractNumId w:val="6"/>
  </w:num>
  <w:num w:numId="8" w16cid:durableId="865944492">
    <w:abstractNumId w:val="5"/>
  </w:num>
  <w:num w:numId="9" w16cid:durableId="489952626">
    <w:abstractNumId w:val="4"/>
  </w:num>
  <w:num w:numId="10" w16cid:durableId="910653127">
    <w:abstractNumId w:val="8"/>
  </w:num>
  <w:num w:numId="11" w16cid:durableId="84693571">
    <w:abstractNumId w:val="3"/>
  </w:num>
  <w:num w:numId="12" w16cid:durableId="97721959">
    <w:abstractNumId w:val="2"/>
  </w:num>
  <w:num w:numId="13" w16cid:durableId="1065639200">
    <w:abstractNumId w:val="1"/>
  </w:num>
  <w:num w:numId="14" w16cid:durableId="17435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23"/>
    <w:rsid w:val="00002529"/>
    <w:rsid w:val="000610EA"/>
    <w:rsid w:val="00085662"/>
    <w:rsid w:val="000C382F"/>
    <w:rsid w:val="001173CC"/>
    <w:rsid w:val="001350B9"/>
    <w:rsid w:val="0014464D"/>
    <w:rsid w:val="0015234F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82531"/>
    <w:rsid w:val="004A7957"/>
    <w:rsid w:val="004C4144"/>
    <w:rsid w:val="0055719E"/>
    <w:rsid w:val="0066474A"/>
    <w:rsid w:val="006969B4"/>
    <w:rsid w:val="006E4F7B"/>
    <w:rsid w:val="00781E2A"/>
    <w:rsid w:val="007933A2"/>
    <w:rsid w:val="007B6316"/>
    <w:rsid w:val="00814503"/>
    <w:rsid w:val="008258C2"/>
    <w:rsid w:val="0084631E"/>
    <w:rsid w:val="008505BD"/>
    <w:rsid w:val="00850C78"/>
    <w:rsid w:val="00876165"/>
    <w:rsid w:val="00884D12"/>
    <w:rsid w:val="008A132C"/>
    <w:rsid w:val="008C17AD"/>
    <w:rsid w:val="008D02CD"/>
    <w:rsid w:val="00907006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85D23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3936B7"/>
  <w15:docId w15:val="{78C20196-E29B-432C-8784-EF6F039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5D23"/>
    <w:rPr>
      <w:color w:val="605E5C"/>
      <w:shd w:val="clear" w:color="auto" w:fill="E1DFDD"/>
    </w:rPr>
  </w:style>
  <w:style w:type="table" w:styleId="TableGrid">
    <w:name w:val="Table Grid"/>
    <w:basedOn w:val="TableNormal"/>
    <w:rsid w:val="00C85D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Theme="minorEastAsia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215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2135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22-TSB-CIR-0238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15</TotalTime>
  <Pages>1</Pages>
  <Words>326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TSB (RC)</dc:creator>
  <cp:lastModifiedBy>Braud, Olivia</cp:lastModifiedBy>
  <cp:revision>6</cp:revision>
  <cp:lastPrinted>2025-04-09T11:47:00Z</cp:lastPrinted>
  <dcterms:created xsi:type="dcterms:W3CDTF">2025-04-04T12:40:00Z</dcterms:created>
  <dcterms:modified xsi:type="dcterms:W3CDTF">2025-04-09T11:48:00Z</dcterms:modified>
</cp:coreProperties>
</file>