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9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3233"/>
        <w:gridCol w:w="5257"/>
      </w:tblGrid>
      <w:tr w:rsidR="00EF6A23" w:rsidRPr="002F64C1" w14:paraId="3FDAE1F3" w14:textId="77777777" w:rsidTr="0021772B">
        <w:trPr>
          <w:cantSplit/>
        </w:trPr>
        <w:tc>
          <w:tcPr>
            <w:tcW w:w="1369" w:type="dxa"/>
            <w:vAlign w:val="center"/>
          </w:tcPr>
          <w:p w14:paraId="3DE42CAA" w14:textId="77777777" w:rsidR="00EF6A23" w:rsidRPr="002F64C1" w:rsidRDefault="00EF6A23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2F64C1">
              <w:rPr>
                <w:noProof/>
                <w:lang w:eastAsia="zh-CN"/>
              </w:rPr>
              <w:drawing>
                <wp:inline distT="0" distB="0" distL="0" distR="0" wp14:anchorId="05764050" wp14:editId="248DEEAB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14:paraId="75924CEF" w14:textId="77777777" w:rsidR="00EF6A23" w:rsidRPr="002F64C1" w:rsidRDefault="00EF6A23" w:rsidP="00EF6A23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2F64C1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89E66D0" w14:textId="77777777" w:rsidR="00EF6A23" w:rsidRPr="002F64C1" w:rsidRDefault="00EF6A23" w:rsidP="00EF6A23">
            <w:pPr>
              <w:spacing w:before="0"/>
              <w:rPr>
                <w:color w:val="FFFFFF"/>
                <w:sz w:val="26"/>
                <w:szCs w:val="26"/>
              </w:rPr>
            </w:pPr>
            <w:r w:rsidRPr="002F64C1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2F64C1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</w:tr>
      <w:tr w:rsidR="00BE6A12" w:rsidRPr="002C0E21" w14:paraId="18B25741" w14:textId="77777777" w:rsidTr="0021772B">
        <w:trPr>
          <w:cantSplit/>
        </w:trPr>
        <w:tc>
          <w:tcPr>
            <w:tcW w:w="1369" w:type="dxa"/>
          </w:tcPr>
          <w:p w14:paraId="4B1AFD72" w14:textId="77777777" w:rsidR="00036F4F" w:rsidRPr="002C0E21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</w:p>
        </w:tc>
        <w:tc>
          <w:tcPr>
            <w:tcW w:w="3297" w:type="dxa"/>
          </w:tcPr>
          <w:p w14:paraId="6579D3E8" w14:textId="77777777" w:rsidR="00036F4F" w:rsidRPr="002C0E21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5153" w:type="dxa"/>
          </w:tcPr>
          <w:p w14:paraId="0DC34ECA" w14:textId="48E8CF90" w:rsidR="00036F4F" w:rsidRPr="002C0E21" w:rsidRDefault="00036F4F" w:rsidP="002352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240"/>
              <w:ind w:left="288" w:hanging="230"/>
              <w:rPr>
                <w:sz w:val="22"/>
                <w:szCs w:val="22"/>
              </w:rPr>
            </w:pPr>
            <w:r w:rsidRPr="002C0E21">
              <w:rPr>
                <w:sz w:val="22"/>
                <w:szCs w:val="22"/>
              </w:rPr>
              <w:t>Genève, le</w:t>
            </w:r>
            <w:r w:rsidR="004419E9" w:rsidRPr="002C0E21">
              <w:rPr>
                <w:sz w:val="22"/>
                <w:szCs w:val="22"/>
              </w:rPr>
              <w:t xml:space="preserve"> </w:t>
            </w:r>
            <w:r w:rsidR="000B6CEC" w:rsidRPr="002C0E21">
              <w:rPr>
                <w:sz w:val="22"/>
                <w:szCs w:val="22"/>
              </w:rPr>
              <w:t>12 mars 2025</w:t>
            </w:r>
          </w:p>
        </w:tc>
      </w:tr>
      <w:tr w:rsidR="00BE6A12" w:rsidRPr="002C0E21" w14:paraId="16CDDFEF" w14:textId="77777777" w:rsidTr="0021772B">
        <w:trPr>
          <w:cantSplit/>
          <w:trHeight w:val="340"/>
        </w:trPr>
        <w:tc>
          <w:tcPr>
            <w:tcW w:w="1369" w:type="dxa"/>
          </w:tcPr>
          <w:p w14:paraId="3EFF375D" w14:textId="58556577" w:rsidR="000B6CEC" w:rsidRPr="002C0E21" w:rsidRDefault="000B6CEC" w:rsidP="00307FB4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2C0E21">
              <w:rPr>
                <w:b/>
                <w:bCs/>
                <w:sz w:val="22"/>
                <w:szCs w:val="22"/>
              </w:rPr>
              <w:t>Réf.:</w:t>
            </w:r>
            <w:proofErr w:type="gramEnd"/>
          </w:p>
        </w:tc>
        <w:tc>
          <w:tcPr>
            <w:tcW w:w="3297" w:type="dxa"/>
          </w:tcPr>
          <w:p w14:paraId="577F6DA2" w14:textId="76469D6A" w:rsidR="000B6CEC" w:rsidRPr="002C0E21" w:rsidRDefault="000B6CEC" w:rsidP="00FB4D9A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  <w:r w:rsidRPr="002C0E21">
              <w:rPr>
                <w:b/>
                <w:sz w:val="22"/>
                <w:szCs w:val="22"/>
              </w:rPr>
              <w:t>Circulaire TSB 36</w:t>
            </w:r>
            <w:r w:rsidR="00FB4D9A" w:rsidRPr="002C0E21">
              <w:rPr>
                <w:b/>
                <w:sz w:val="22"/>
                <w:szCs w:val="22"/>
              </w:rPr>
              <w:br/>
            </w:r>
            <w:r w:rsidR="00BE6A12" w:rsidRPr="002C0E21">
              <w:rPr>
                <w:sz w:val="22"/>
                <w:szCs w:val="22"/>
              </w:rPr>
              <w:t>Manifestations du TSB</w:t>
            </w:r>
            <w:r w:rsidR="009A1987" w:rsidRPr="002C0E21">
              <w:rPr>
                <w:sz w:val="22"/>
                <w:szCs w:val="22"/>
              </w:rPr>
              <w:t>/</w:t>
            </w:r>
            <w:r w:rsidRPr="002C0E21">
              <w:rPr>
                <w:sz w:val="22"/>
                <w:szCs w:val="22"/>
              </w:rPr>
              <w:t>FW</w:t>
            </w:r>
          </w:p>
        </w:tc>
        <w:tc>
          <w:tcPr>
            <w:tcW w:w="5153" w:type="dxa"/>
            <w:vMerge w:val="restart"/>
          </w:tcPr>
          <w:p w14:paraId="24196961" w14:textId="215FDF1D" w:rsidR="000B6CEC" w:rsidRPr="002C0E21" w:rsidRDefault="000B6CEC" w:rsidP="00BE6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47" w:hanging="490"/>
              <w:rPr>
                <w:sz w:val="22"/>
                <w:szCs w:val="22"/>
              </w:rPr>
            </w:pPr>
            <w:bookmarkStart w:id="0" w:name="Addressee_F"/>
            <w:bookmarkEnd w:id="0"/>
            <w:r w:rsidRPr="002C0E21">
              <w:rPr>
                <w:sz w:val="22"/>
                <w:szCs w:val="22"/>
              </w:rPr>
              <w:t>–</w:t>
            </w:r>
            <w:r w:rsidRPr="002C0E21">
              <w:rPr>
                <w:sz w:val="22"/>
                <w:szCs w:val="22"/>
              </w:rPr>
              <w:tab/>
              <w:t xml:space="preserve">Aux États Membres de </w:t>
            </w:r>
            <w:proofErr w:type="gramStart"/>
            <w:r w:rsidRPr="002C0E21">
              <w:rPr>
                <w:sz w:val="22"/>
                <w:szCs w:val="22"/>
              </w:rPr>
              <w:t>l'UIT</w:t>
            </w:r>
            <w:r w:rsidR="00BE6A12" w:rsidRPr="002C0E21">
              <w:rPr>
                <w:sz w:val="22"/>
                <w:szCs w:val="22"/>
              </w:rPr>
              <w:t>;</w:t>
            </w:r>
            <w:proofErr w:type="gramEnd"/>
          </w:p>
          <w:p w14:paraId="7DEC805B" w14:textId="49A5F290" w:rsidR="000B6CEC" w:rsidRPr="002C0E21" w:rsidRDefault="000B6CEC" w:rsidP="00BE6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47" w:hanging="490"/>
              <w:rPr>
                <w:sz w:val="22"/>
                <w:szCs w:val="22"/>
              </w:rPr>
            </w:pPr>
            <w:r w:rsidRPr="002C0E21">
              <w:rPr>
                <w:sz w:val="22"/>
                <w:szCs w:val="22"/>
              </w:rPr>
              <w:t>–</w:t>
            </w:r>
            <w:r w:rsidRPr="002C0E21">
              <w:rPr>
                <w:sz w:val="22"/>
                <w:szCs w:val="22"/>
              </w:rPr>
              <w:tab/>
              <w:t>À l'État de Palestine (Rés</w:t>
            </w:r>
            <w:r w:rsidR="00BE6A12" w:rsidRPr="002C0E21">
              <w:rPr>
                <w:sz w:val="22"/>
                <w:szCs w:val="22"/>
              </w:rPr>
              <w:t>olution</w:t>
            </w:r>
            <w:r w:rsidRPr="002C0E21">
              <w:rPr>
                <w:sz w:val="22"/>
                <w:szCs w:val="22"/>
              </w:rPr>
              <w:t xml:space="preserve"> 99 (Rév.</w:t>
            </w:r>
            <w:r w:rsidR="00BE6A12" w:rsidRPr="002C0E21">
              <w:rPr>
                <w:sz w:val="22"/>
                <w:szCs w:val="22"/>
              </w:rPr>
              <w:t> </w:t>
            </w:r>
            <w:r w:rsidRPr="002C0E21">
              <w:rPr>
                <w:sz w:val="22"/>
                <w:szCs w:val="22"/>
              </w:rPr>
              <w:t>Dubaï, 2018)</w:t>
            </w:r>
            <w:proofErr w:type="gramStart"/>
            <w:r w:rsidR="00BE6A12" w:rsidRPr="002C0E21">
              <w:rPr>
                <w:sz w:val="22"/>
                <w:szCs w:val="22"/>
              </w:rPr>
              <w:t>)</w:t>
            </w:r>
            <w:r w:rsidRPr="002C0E21">
              <w:rPr>
                <w:sz w:val="22"/>
                <w:szCs w:val="22"/>
              </w:rPr>
              <w:t>;</w:t>
            </w:r>
            <w:proofErr w:type="gramEnd"/>
          </w:p>
          <w:p w14:paraId="75052641" w14:textId="4EF32E34" w:rsidR="000B6CEC" w:rsidRPr="002C0E21" w:rsidRDefault="000B6CEC" w:rsidP="00BE6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47" w:hanging="490"/>
              <w:rPr>
                <w:sz w:val="22"/>
                <w:szCs w:val="22"/>
              </w:rPr>
            </w:pPr>
            <w:r w:rsidRPr="002C0E21">
              <w:rPr>
                <w:sz w:val="22"/>
                <w:szCs w:val="22"/>
              </w:rPr>
              <w:t>–</w:t>
            </w:r>
            <w:r w:rsidRPr="002C0E21">
              <w:rPr>
                <w:sz w:val="22"/>
                <w:szCs w:val="22"/>
              </w:rPr>
              <w:tab/>
              <w:t xml:space="preserve">Aux Membres de Secteur de </w:t>
            </w:r>
            <w:proofErr w:type="gramStart"/>
            <w:r w:rsidRPr="002C0E21">
              <w:rPr>
                <w:sz w:val="22"/>
                <w:szCs w:val="22"/>
              </w:rPr>
              <w:t>l'UIT;</w:t>
            </w:r>
            <w:proofErr w:type="gramEnd"/>
          </w:p>
          <w:p w14:paraId="61998DE9" w14:textId="5AF97D30" w:rsidR="000B6CEC" w:rsidRPr="002C0E21" w:rsidRDefault="000B6CEC" w:rsidP="00BE6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47" w:hanging="490"/>
              <w:rPr>
                <w:sz w:val="22"/>
                <w:szCs w:val="22"/>
              </w:rPr>
            </w:pPr>
            <w:r w:rsidRPr="002C0E21">
              <w:rPr>
                <w:sz w:val="22"/>
                <w:szCs w:val="22"/>
              </w:rPr>
              <w:t>–</w:t>
            </w:r>
            <w:r w:rsidRPr="002C0E21">
              <w:rPr>
                <w:sz w:val="22"/>
                <w:szCs w:val="22"/>
              </w:rPr>
              <w:tab/>
              <w:t xml:space="preserve">Aux Associés de l'UIT et aux établissements universitaires participant aux travaux de </w:t>
            </w:r>
            <w:proofErr w:type="gramStart"/>
            <w:r w:rsidRPr="002C0E21">
              <w:rPr>
                <w:sz w:val="22"/>
                <w:szCs w:val="22"/>
              </w:rPr>
              <w:t>l'Union;</w:t>
            </w:r>
            <w:proofErr w:type="gramEnd"/>
          </w:p>
          <w:p w14:paraId="5AE61F0D" w14:textId="51102CB8" w:rsidR="000B6CEC" w:rsidRPr="002C0E21" w:rsidRDefault="000B6CEC" w:rsidP="00BE6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47" w:hanging="490"/>
              <w:rPr>
                <w:sz w:val="22"/>
                <w:szCs w:val="22"/>
              </w:rPr>
            </w:pPr>
            <w:r w:rsidRPr="002C0E21">
              <w:rPr>
                <w:sz w:val="22"/>
                <w:szCs w:val="22"/>
              </w:rPr>
              <w:t>–</w:t>
            </w:r>
            <w:r w:rsidRPr="002C0E21">
              <w:rPr>
                <w:sz w:val="22"/>
                <w:szCs w:val="22"/>
              </w:rPr>
              <w:tab/>
              <w:t xml:space="preserve">Aux missions permanentes et aux ambassades à </w:t>
            </w:r>
            <w:proofErr w:type="gramStart"/>
            <w:r w:rsidRPr="002C0E21">
              <w:rPr>
                <w:sz w:val="22"/>
                <w:szCs w:val="22"/>
              </w:rPr>
              <w:t>Genève;</w:t>
            </w:r>
            <w:proofErr w:type="gramEnd"/>
          </w:p>
          <w:p w14:paraId="494215C8" w14:textId="24EBB458" w:rsidR="000B6CEC" w:rsidRPr="002C0E21" w:rsidRDefault="000B6CEC" w:rsidP="00BE6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47" w:hanging="490"/>
              <w:rPr>
                <w:sz w:val="22"/>
                <w:szCs w:val="22"/>
              </w:rPr>
            </w:pPr>
            <w:r w:rsidRPr="002C0E21">
              <w:rPr>
                <w:sz w:val="22"/>
                <w:szCs w:val="22"/>
              </w:rPr>
              <w:t>–</w:t>
            </w:r>
            <w:r w:rsidRPr="002C0E21">
              <w:rPr>
                <w:sz w:val="22"/>
                <w:szCs w:val="22"/>
              </w:rPr>
              <w:tab/>
              <w:t xml:space="preserve">Aux organisations internationales, régionales et nationales </w:t>
            </w:r>
            <w:proofErr w:type="gramStart"/>
            <w:r w:rsidRPr="002C0E21">
              <w:rPr>
                <w:sz w:val="22"/>
                <w:szCs w:val="22"/>
              </w:rPr>
              <w:t>compétentes;</w:t>
            </w:r>
            <w:proofErr w:type="gramEnd"/>
          </w:p>
          <w:p w14:paraId="074A6E41" w14:textId="3B9DEC1B" w:rsidR="000B6CEC" w:rsidRPr="002C0E21" w:rsidRDefault="000B6CEC" w:rsidP="00BE6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47" w:hanging="490"/>
              <w:rPr>
                <w:sz w:val="22"/>
                <w:szCs w:val="22"/>
              </w:rPr>
            </w:pPr>
            <w:r w:rsidRPr="002C0E21">
              <w:rPr>
                <w:sz w:val="22"/>
                <w:szCs w:val="22"/>
              </w:rPr>
              <w:t>–</w:t>
            </w:r>
            <w:r w:rsidRPr="002C0E21">
              <w:rPr>
                <w:sz w:val="22"/>
                <w:szCs w:val="22"/>
              </w:rPr>
              <w:tab/>
              <w:t xml:space="preserve">Aux organisations intergouvernementales exploitant des systèmes à </w:t>
            </w:r>
            <w:proofErr w:type="gramStart"/>
            <w:r w:rsidRPr="002C0E21">
              <w:rPr>
                <w:sz w:val="22"/>
                <w:szCs w:val="22"/>
              </w:rPr>
              <w:t>satellites;</w:t>
            </w:r>
            <w:proofErr w:type="gramEnd"/>
          </w:p>
          <w:p w14:paraId="4D7469DC" w14:textId="6BB7F807" w:rsidR="000B6CEC" w:rsidRPr="002C0E21" w:rsidRDefault="000B6CEC" w:rsidP="00BE6A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47" w:hanging="490"/>
              <w:rPr>
                <w:sz w:val="22"/>
                <w:szCs w:val="22"/>
              </w:rPr>
            </w:pPr>
            <w:r w:rsidRPr="002C0E21">
              <w:rPr>
                <w:sz w:val="22"/>
                <w:szCs w:val="22"/>
              </w:rPr>
              <w:t>–</w:t>
            </w:r>
            <w:r w:rsidRPr="002C0E21">
              <w:rPr>
                <w:sz w:val="22"/>
                <w:szCs w:val="22"/>
              </w:rPr>
              <w:tab/>
              <w:t xml:space="preserve">À l'Organisation des Nations </w:t>
            </w:r>
            <w:proofErr w:type="gramStart"/>
            <w:r w:rsidRPr="002C0E21">
              <w:rPr>
                <w:sz w:val="22"/>
                <w:szCs w:val="22"/>
              </w:rPr>
              <w:t>Unies;</w:t>
            </w:r>
            <w:proofErr w:type="gramEnd"/>
          </w:p>
          <w:p w14:paraId="461460AE" w14:textId="6FC125B9" w:rsidR="000B6CEC" w:rsidRPr="002C0E21" w:rsidRDefault="000B6CEC" w:rsidP="00F477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120"/>
              <w:ind w:left="547" w:hanging="490"/>
              <w:rPr>
                <w:sz w:val="22"/>
                <w:szCs w:val="22"/>
              </w:rPr>
            </w:pPr>
            <w:r w:rsidRPr="002C0E21">
              <w:rPr>
                <w:sz w:val="22"/>
                <w:szCs w:val="22"/>
              </w:rPr>
              <w:t>–</w:t>
            </w:r>
            <w:r w:rsidRPr="002C0E21">
              <w:rPr>
                <w:sz w:val="22"/>
                <w:szCs w:val="22"/>
              </w:rPr>
              <w:tab/>
              <w:t>Aux institutions spécialisées des Nations Unies et à l'Agence internationale de l'énergie atomique</w:t>
            </w:r>
          </w:p>
        </w:tc>
      </w:tr>
      <w:tr w:rsidR="00BE6A12" w:rsidRPr="002C0E21" w14:paraId="06A3F0E7" w14:textId="77777777" w:rsidTr="0021772B">
        <w:trPr>
          <w:cantSplit/>
          <w:trHeight w:val="340"/>
        </w:trPr>
        <w:tc>
          <w:tcPr>
            <w:tcW w:w="1369" w:type="dxa"/>
          </w:tcPr>
          <w:p w14:paraId="5CF43A7B" w14:textId="3933CF6D" w:rsidR="000B6CEC" w:rsidRPr="0021772B" w:rsidRDefault="000B6CEC" w:rsidP="00A5280F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  <w:proofErr w:type="gramStart"/>
            <w:r w:rsidRPr="0021772B">
              <w:rPr>
                <w:sz w:val="22"/>
                <w:szCs w:val="22"/>
              </w:rPr>
              <w:t>Contact:</w:t>
            </w:r>
            <w:proofErr w:type="gramEnd"/>
          </w:p>
        </w:tc>
        <w:tc>
          <w:tcPr>
            <w:tcW w:w="3297" w:type="dxa"/>
          </w:tcPr>
          <w:p w14:paraId="2074781F" w14:textId="086DCDA2" w:rsidR="000B6CEC" w:rsidRPr="002C0E21" w:rsidRDefault="000B6CEC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  <w:r w:rsidRPr="002C0E21">
              <w:rPr>
                <w:b/>
                <w:sz w:val="22"/>
                <w:szCs w:val="22"/>
              </w:rPr>
              <w:t>Fred Werner</w:t>
            </w:r>
          </w:p>
        </w:tc>
        <w:tc>
          <w:tcPr>
            <w:tcW w:w="5153" w:type="dxa"/>
            <w:vMerge/>
          </w:tcPr>
          <w:p w14:paraId="2F310545" w14:textId="77777777" w:rsidR="000B6CEC" w:rsidRPr="002C0E21" w:rsidRDefault="000B6CEC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</w:p>
        </w:tc>
      </w:tr>
      <w:tr w:rsidR="00BE6A12" w:rsidRPr="002C0E21" w14:paraId="724FD23E" w14:textId="77777777" w:rsidTr="0021772B">
        <w:trPr>
          <w:cantSplit/>
        </w:trPr>
        <w:tc>
          <w:tcPr>
            <w:tcW w:w="1369" w:type="dxa"/>
          </w:tcPr>
          <w:p w14:paraId="73149CCD" w14:textId="77777777" w:rsidR="000B6CEC" w:rsidRPr="0021772B" w:rsidRDefault="000B6CEC" w:rsidP="00A5280F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  <w:proofErr w:type="gramStart"/>
            <w:r w:rsidRPr="0021772B">
              <w:rPr>
                <w:sz w:val="22"/>
                <w:szCs w:val="22"/>
              </w:rPr>
              <w:t>Tél.:</w:t>
            </w:r>
            <w:proofErr w:type="gramEnd"/>
          </w:p>
        </w:tc>
        <w:tc>
          <w:tcPr>
            <w:tcW w:w="3297" w:type="dxa"/>
          </w:tcPr>
          <w:p w14:paraId="78D06186" w14:textId="564F5EF6" w:rsidR="000B6CEC" w:rsidRPr="002C0E21" w:rsidRDefault="000B6CEC" w:rsidP="00A5280F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2C0E21">
              <w:rPr>
                <w:sz w:val="22"/>
                <w:szCs w:val="22"/>
              </w:rPr>
              <w:t>+41 22 730 5572</w:t>
            </w:r>
          </w:p>
        </w:tc>
        <w:tc>
          <w:tcPr>
            <w:tcW w:w="5153" w:type="dxa"/>
            <w:vMerge/>
          </w:tcPr>
          <w:p w14:paraId="6D3A5806" w14:textId="77777777" w:rsidR="000B6CEC" w:rsidRPr="002C0E21" w:rsidRDefault="000B6CEC" w:rsidP="00A5280F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sz w:val="22"/>
                <w:szCs w:val="22"/>
              </w:rPr>
            </w:pPr>
          </w:p>
        </w:tc>
      </w:tr>
      <w:tr w:rsidR="00BE6A12" w:rsidRPr="002C0E21" w14:paraId="030F9AE5" w14:textId="77777777" w:rsidTr="0021772B">
        <w:trPr>
          <w:cantSplit/>
          <w:trHeight w:val="198"/>
        </w:trPr>
        <w:tc>
          <w:tcPr>
            <w:tcW w:w="1369" w:type="dxa"/>
          </w:tcPr>
          <w:p w14:paraId="7B417C4C" w14:textId="77777777" w:rsidR="000B6CEC" w:rsidRPr="0021772B" w:rsidRDefault="000B6CEC" w:rsidP="00A5280F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  <w:proofErr w:type="gramStart"/>
            <w:r w:rsidRPr="0021772B">
              <w:rPr>
                <w:sz w:val="22"/>
                <w:szCs w:val="22"/>
              </w:rPr>
              <w:t>Télécopie:</w:t>
            </w:r>
            <w:proofErr w:type="gramEnd"/>
          </w:p>
        </w:tc>
        <w:tc>
          <w:tcPr>
            <w:tcW w:w="3297" w:type="dxa"/>
          </w:tcPr>
          <w:p w14:paraId="1A4A5F7B" w14:textId="77777777" w:rsidR="000B6CEC" w:rsidRPr="002C0E21" w:rsidRDefault="000B6CEC" w:rsidP="00A5280F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2C0E21">
              <w:rPr>
                <w:sz w:val="22"/>
                <w:szCs w:val="22"/>
              </w:rPr>
              <w:t>+41 22 730 5853</w:t>
            </w:r>
          </w:p>
        </w:tc>
        <w:tc>
          <w:tcPr>
            <w:tcW w:w="5153" w:type="dxa"/>
            <w:vMerge/>
          </w:tcPr>
          <w:p w14:paraId="323DAC81" w14:textId="77777777" w:rsidR="000B6CEC" w:rsidRPr="002C0E21" w:rsidRDefault="000B6CEC" w:rsidP="00A5280F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sz w:val="22"/>
                <w:szCs w:val="22"/>
              </w:rPr>
            </w:pPr>
          </w:p>
        </w:tc>
      </w:tr>
      <w:tr w:rsidR="00BE6A12" w:rsidRPr="002C0E21" w14:paraId="640FB6B9" w14:textId="77777777" w:rsidTr="0021772B">
        <w:trPr>
          <w:cantSplit/>
        </w:trPr>
        <w:tc>
          <w:tcPr>
            <w:tcW w:w="1369" w:type="dxa"/>
          </w:tcPr>
          <w:p w14:paraId="15527369" w14:textId="0865F49A" w:rsidR="000B6CEC" w:rsidRPr="0021772B" w:rsidRDefault="000B6CEC" w:rsidP="00A5280F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  <w:proofErr w:type="gramStart"/>
            <w:r w:rsidRPr="0021772B">
              <w:rPr>
                <w:sz w:val="22"/>
                <w:szCs w:val="22"/>
              </w:rPr>
              <w:t>Courriel:</w:t>
            </w:r>
            <w:proofErr w:type="gramEnd"/>
          </w:p>
        </w:tc>
        <w:tc>
          <w:tcPr>
            <w:tcW w:w="3297" w:type="dxa"/>
          </w:tcPr>
          <w:p w14:paraId="172249CE" w14:textId="6D94B3ED" w:rsidR="000B6CEC" w:rsidRPr="002C0E21" w:rsidRDefault="000B6CEC" w:rsidP="00A5280F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hyperlink r:id="rId9" w:history="1">
              <w:r w:rsidRPr="002C0E21">
                <w:rPr>
                  <w:rStyle w:val="Hyperlink"/>
                  <w:sz w:val="22"/>
                  <w:szCs w:val="22"/>
                </w:rPr>
                <w:t>ai-calls@itu.int</w:t>
              </w:r>
            </w:hyperlink>
          </w:p>
        </w:tc>
        <w:tc>
          <w:tcPr>
            <w:tcW w:w="5153" w:type="dxa"/>
            <w:vMerge/>
          </w:tcPr>
          <w:p w14:paraId="19762254" w14:textId="5FD10D43" w:rsidR="000B6CEC" w:rsidRPr="002C0E21" w:rsidRDefault="000B6CEC" w:rsidP="00307FB4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sz w:val="22"/>
                <w:szCs w:val="22"/>
              </w:rPr>
            </w:pPr>
          </w:p>
        </w:tc>
      </w:tr>
      <w:tr w:rsidR="00517A03" w:rsidRPr="002C0E21" w14:paraId="5435C04A" w14:textId="77777777" w:rsidTr="0021772B">
        <w:trPr>
          <w:cantSplit/>
          <w:trHeight w:val="397"/>
        </w:trPr>
        <w:tc>
          <w:tcPr>
            <w:tcW w:w="1369" w:type="dxa"/>
          </w:tcPr>
          <w:p w14:paraId="2A0B9B4F" w14:textId="77777777" w:rsidR="00517A03" w:rsidRPr="002C0E21" w:rsidRDefault="00517A03" w:rsidP="00307FB4">
            <w:pPr>
              <w:tabs>
                <w:tab w:val="left" w:pos="4111"/>
              </w:tabs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2C0E21">
              <w:rPr>
                <w:b/>
                <w:bCs/>
                <w:sz w:val="22"/>
                <w:szCs w:val="22"/>
              </w:rPr>
              <w:t>Objet:</w:t>
            </w:r>
            <w:proofErr w:type="gramEnd"/>
          </w:p>
        </w:tc>
        <w:tc>
          <w:tcPr>
            <w:tcW w:w="0" w:type="auto"/>
            <w:gridSpan w:val="2"/>
          </w:tcPr>
          <w:p w14:paraId="1A51EE75" w14:textId="43248101" w:rsidR="00517A03" w:rsidRPr="002C0E21" w:rsidRDefault="000B6CEC" w:rsidP="0048088B">
            <w:pPr>
              <w:tabs>
                <w:tab w:val="left" w:pos="4111"/>
              </w:tabs>
              <w:spacing w:after="120"/>
              <w:ind w:left="57"/>
              <w:rPr>
                <w:b/>
                <w:bCs/>
                <w:sz w:val="22"/>
                <w:szCs w:val="22"/>
              </w:rPr>
            </w:pPr>
            <w:r w:rsidRPr="002C0E21">
              <w:rPr>
                <w:b/>
                <w:bCs/>
                <w:sz w:val="22"/>
                <w:szCs w:val="22"/>
              </w:rPr>
              <w:t>Invitation à participer aux travaux du Groupe d</w:t>
            </w:r>
            <w:r w:rsidR="009A1987" w:rsidRPr="002C0E21">
              <w:rPr>
                <w:b/>
                <w:bCs/>
                <w:sz w:val="22"/>
                <w:szCs w:val="22"/>
              </w:rPr>
              <w:t>'</w:t>
            </w:r>
            <w:r w:rsidRPr="002C0E21">
              <w:rPr>
                <w:b/>
                <w:bCs/>
                <w:sz w:val="22"/>
                <w:szCs w:val="22"/>
              </w:rPr>
              <w:t>experts de l</w:t>
            </w:r>
            <w:r w:rsidR="009A1987" w:rsidRPr="002C0E21">
              <w:rPr>
                <w:b/>
                <w:bCs/>
                <w:sz w:val="22"/>
                <w:szCs w:val="22"/>
              </w:rPr>
              <w:t>'</w:t>
            </w:r>
            <w:r w:rsidRPr="002C0E21">
              <w:rPr>
                <w:b/>
                <w:bCs/>
                <w:sz w:val="22"/>
                <w:szCs w:val="22"/>
              </w:rPr>
              <w:t>UIT sur l</w:t>
            </w:r>
            <w:r w:rsidR="009A1987" w:rsidRPr="002C0E21">
              <w:rPr>
                <w:b/>
                <w:bCs/>
                <w:sz w:val="22"/>
                <w:szCs w:val="22"/>
              </w:rPr>
              <w:t>'</w:t>
            </w:r>
            <w:r w:rsidRPr="002C0E21">
              <w:rPr>
                <w:b/>
                <w:bCs/>
                <w:sz w:val="22"/>
                <w:szCs w:val="22"/>
              </w:rPr>
              <w:t>amélioration du cadre de préparation à l</w:t>
            </w:r>
            <w:r w:rsidR="009A1987" w:rsidRPr="002C0E21">
              <w:rPr>
                <w:b/>
                <w:bCs/>
                <w:sz w:val="22"/>
                <w:szCs w:val="22"/>
              </w:rPr>
              <w:t>'</w:t>
            </w:r>
            <w:r w:rsidRPr="002C0E21">
              <w:rPr>
                <w:b/>
                <w:bCs/>
                <w:sz w:val="22"/>
                <w:szCs w:val="22"/>
              </w:rPr>
              <w:t>intelligence artificielle</w:t>
            </w:r>
          </w:p>
        </w:tc>
      </w:tr>
    </w:tbl>
    <w:p w14:paraId="2D1EC328" w14:textId="77777777" w:rsidR="00517A03" w:rsidRPr="002C0E21" w:rsidRDefault="00517A03" w:rsidP="002352BA">
      <w:pPr>
        <w:pStyle w:val="Normalaftertitle"/>
        <w:spacing w:before="120"/>
        <w:rPr>
          <w:sz w:val="22"/>
          <w:szCs w:val="22"/>
        </w:rPr>
      </w:pPr>
      <w:bookmarkStart w:id="1" w:name="StartTyping_F"/>
      <w:bookmarkEnd w:id="1"/>
      <w:r w:rsidRPr="002C0E21">
        <w:rPr>
          <w:sz w:val="22"/>
          <w:szCs w:val="22"/>
        </w:rPr>
        <w:t>Madame, Monsieur,</w:t>
      </w:r>
    </w:p>
    <w:p w14:paraId="22C7EBBE" w14:textId="2EDFFA45" w:rsidR="000B6CEC" w:rsidRPr="002C0E21" w:rsidRDefault="000B6CEC" w:rsidP="00BE6A12">
      <w:pPr>
        <w:rPr>
          <w:sz w:val="22"/>
          <w:szCs w:val="22"/>
        </w:rPr>
      </w:pPr>
      <w:r w:rsidRPr="002C0E21">
        <w:rPr>
          <w:sz w:val="22"/>
          <w:szCs w:val="22"/>
        </w:rPr>
        <w:t>J</w:t>
      </w:r>
      <w:r w:rsidR="009A1987" w:rsidRPr="002C0E21">
        <w:rPr>
          <w:sz w:val="22"/>
          <w:szCs w:val="22"/>
        </w:rPr>
        <w:t>'</w:t>
      </w:r>
      <w:r w:rsidRPr="002C0E21">
        <w:rPr>
          <w:sz w:val="22"/>
          <w:szCs w:val="22"/>
        </w:rPr>
        <w:t>ai l</w:t>
      </w:r>
      <w:r w:rsidR="009A1987" w:rsidRPr="002C0E21">
        <w:rPr>
          <w:sz w:val="22"/>
          <w:szCs w:val="22"/>
        </w:rPr>
        <w:t>'</w:t>
      </w:r>
      <w:r w:rsidRPr="002C0E21">
        <w:rPr>
          <w:sz w:val="22"/>
          <w:szCs w:val="22"/>
        </w:rPr>
        <w:t>honneur de vous inviter à faire partie du Groupe d</w:t>
      </w:r>
      <w:r w:rsidR="009A1987" w:rsidRPr="002C0E21">
        <w:rPr>
          <w:sz w:val="22"/>
          <w:szCs w:val="22"/>
        </w:rPr>
        <w:t>'</w:t>
      </w:r>
      <w:r w:rsidRPr="002C0E21">
        <w:rPr>
          <w:sz w:val="22"/>
          <w:szCs w:val="22"/>
        </w:rPr>
        <w:t>experts que l</w:t>
      </w:r>
      <w:r w:rsidR="009A1987" w:rsidRPr="002C0E21">
        <w:rPr>
          <w:sz w:val="22"/>
          <w:szCs w:val="22"/>
        </w:rPr>
        <w:t>'</w:t>
      </w:r>
      <w:r w:rsidRPr="002C0E21">
        <w:rPr>
          <w:sz w:val="22"/>
          <w:szCs w:val="22"/>
        </w:rPr>
        <w:t xml:space="preserve">Union internationale des télécommunications (UIT) entend constituer dans le cadre de ses efforts visant à améliorer le </w:t>
      </w:r>
      <w:hyperlink r:id="rId10" w:history="1">
        <w:r w:rsidRPr="002C0E21">
          <w:rPr>
            <w:rStyle w:val="Hyperlink"/>
            <w:bCs/>
            <w:sz w:val="22"/>
            <w:szCs w:val="22"/>
          </w:rPr>
          <w:t>Cadre</w:t>
        </w:r>
        <w:r w:rsidR="00FB4D9A" w:rsidRPr="002C0E21">
          <w:rPr>
            <w:rStyle w:val="Hyperlink"/>
            <w:bCs/>
            <w:sz w:val="22"/>
            <w:szCs w:val="22"/>
          </w:rPr>
          <w:t> </w:t>
        </w:r>
        <w:r w:rsidRPr="002C0E21">
          <w:rPr>
            <w:rStyle w:val="Hyperlink"/>
            <w:bCs/>
            <w:sz w:val="22"/>
            <w:szCs w:val="22"/>
          </w:rPr>
          <w:t>de préparation de l</w:t>
        </w:r>
        <w:r w:rsidR="009A1987" w:rsidRPr="002C0E21">
          <w:rPr>
            <w:rStyle w:val="Hyperlink"/>
            <w:bCs/>
            <w:sz w:val="22"/>
            <w:szCs w:val="22"/>
          </w:rPr>
          <w:t>'</w:t>
        </w:r>
        <w:r w:rsidRPr="002C0E21">
          <w:rPr>
            <w:rStyle w:val="Hyperlink"/>
            <w:bCs/>
            <w:sz w:val="22"/>
            <w:szCs w:val="22"/>
          </w:rPr>
          <w:t>UIT en matière d</w:t>
        </w:r>
        <w:r w:rsidR="009A1987" w:rsidRPr="002C0E21">
          <w:rPr>
            <w:rStyle w:val="Hyperlink"/>
            <w:bCs/>
            <w:sz w:val="22"/>
            <w:szCs w:val="22"/>
          </w:rPr>
          <w:t>'</w:t>
        </w:r>
        <w:r w:rsidRPr="002C0E21">
          <w:rPr>
            <w:rStyle w:val="Hyperlink"/>
            <w:bCs/>
            <w:sz w:val="22"/>
            <w:szCs w:val="22"/>
          </w:rPr>
          <w:t>intelligence artificielle (IA)</w:t>
        </w:r>
      </w:hyperlink>
      <w:r w:rsidRPr="002C0E21">
        <w:rPr>
          <w:sz w:val="22"/>
          <w:szCs w:val="22"/>
        </w:rPr>
        <w:t>, lequel a été publié pour la première fois en septembre 2024. Ce cadre s</w:t>
      </w:r>
      <w:r w:rsidR="009A1987" w:rsidRPr="002C0E21">
        <w:rPr>
          <w:sz w:val="22"/>
          <w:szCs w:val="22"/>
        </w:rPr>
        <w:t>'</w:t>
      </w:r>
      <w:r w:rsidRPr="002C0E21">
        <w:rPr>
          <w:sz w:val="22"/>
          <w:szCs w:val="22"/>
        </w:rPr>
        <w:t>est révélé être un outil essentiel pour évaluer l</w:t>
      </w:r>
      <w:r w:rsidR="009A1987" w:rsidRPr="002C0E21">
        <w:rPr>
          <w:sz w:val="22"/>
          <w:szCs w:val="22"/>
        </w:rPr>
        <w:t>'</w:t>
      </w:r>
      <w:r w:rsidRPr="002C0E21">
        <w:rPr>
          <w:sz w:val="22"/>
          <w:szCs w:val="22"/>
        </w:rPr>
        <w:t>intégration de l</w:t>
      </w:r>
      <w:r w:rsidR="009A1987" w:rsidRPr="002C0E21">
        <w:rPr>
          <w:sz w:val="22"/>
          <w:szCs w:val="22"/>
        </w:rPr>
        <w:t>'</w:t>
      </w:r>
      <w:r w:rsidRPr="002C0E21">
        <w:rPr>
          <w:sz w:val="22"/>
          <w:szCs w:val="22"/>
        </w:rPr>
        <w:t>IA dans divers domaines et pour fournir des orientations sur les facteurs fondamentaux qui permettent d</w:t>
      </w:r>
      <w:r w:rsidR="009A1987" w:rsidRPr="002C0E21">
        <w:rPr>
          <w:sz w:val="22"/>
          <w:szCs w:val="22"/>
        </w:rPr>
        <w:t>'</w:t>
      </w:r>
      <w:r w:rsidRPr="002C0E21">
        <w:rPr>
          <w:sz w:val="22"/>
          <w:szCs w:val="22"/>
        </w:rPr>
        <w:t>améliorer la préparation à cette technologie. Pour assurer la pertinence et l'efficacité continues de cet outil, nous œuvrons actuellement à l</w:t>
      </w:r>
      <w:r w:rsidR="009A1987" w:rsidRPr="002C0E21">
        <w:rPr>
          <w:sz w:val="22"/>
          <w:szCs w:val="22"/>
        </w:rPr>
        <w:t>'</w:t>
      </w:r>
      <w:r w:rsidRPr="002C0E21">
        <w:rPr>
          <w:sz w:val="22"/>
          <w:szCs w:val="22"/>
        </w:rPr>
        <w:t>élaboration d</w:t>
      </w:r>
      <w:r w:rsidR="009A1987" w:rsidRPr="002C0E21">
        <w:rPr>
          <w:sz w:val="22"/>
          <w:szCs w:val="22"/>
        </w:rPr>
        <w:t>'</w:t>
      </w:r>
      <w:r w:rsidRPr="002C0E21">
        <w:rPr>
          <w:sz w:val="22"/>
          <w:szCs w:val="22"/>
        </w:rPr>
        <w:t>une version plus complète du cadre, qui intégrera de nouveaux indicateurs, en mettant l</w:t>
      </w:r>
      <w:r w:rsidR="009A1987" w:rsidRPr="002C0E21">
        <w:rPr>
          <w:sz w:val="22"/>
          <w:szCs w:val="22"/>
        </w:rPr>
        <w:t>'</w:t>
      </w:r>
      <w:r w:rsidRPr="002C0E21">
        <w:rPr>
          <w:sz w:val="22"/>
          <w:szCs w:val="22"/>
        </w:rPr>
        <w:t>accent sur la normalisation.</w:t>
      </w:r>
    </w:p>
    <w:p w14:paraId="6AAB91CA" w14:textId="020D94CB" w:rsidR="000B6CEC" w:rsidRPr="002C0E21" w:rsidRDefault="000B6CEC" w:rsidP="00BE6A12">
      <w:pPr>
        <w:rPr>
          <w:sz w:val="22"/>
          <w:szCs w:val="22"/>
        </w:rPr>
      </w:pPr>
      <w:r w:rsidRPr="002C0E21">
        <w:rPr>
          <w:sz w:val="22"/>
          <w:szCs w:val="22"/>
        </w:rPr>
        <w:t>Le Cadre amélioré de l</w:t>
      </w:r>
      <w:r w:rsidR="009A1987" w:rsidRPr="002C0E21">
        <w:rPr>
          <w:sz w:val="22"/>
          <w:szCs w:val="22"/>
        </w:rPr>
        <w:t>'</w:t>
      </w:r>
      <w:r w:rsidRPr="002C0E21">
        <w:rPr>
          <w:sz w:val="22"/>
          <w:szCs w:val="22"/>
        </w:rPr>
        <w:t>UIT pour la préparation à l'IA vise à procéder à une évaluation complète du développement de l</w:t>
      </w:r>
      <w:r w:rsidR="009A1987" w:rsidRPr="002C0E21">
        <w:rPr>
          <w:sz w:val="22"/>
          <w:szCs w:val="22"/>
        </w:rPr>
        <w:t>'</w:t>
      </w:r>
      <w:r w:rsidRPr="002C0E21">
        <w:rPr>
          <w:sz w:val="22"/>
          <w:szCs w:val="22"/>
        </w:rPr>
        <w:t>intelligence artificielle en intégrant des indicateurs sociétaux, économiques et scientifiques, permettant aux États Membres et aux entités d</w:t>
      </w:r>
      <w:r w:rsidR="009A1987" w:rsidRPr="002C0E21">
        <w:rPr>
          <w:sz w:val="22"/>
          <w:szCs w:val="22"/>
        </w:rPr>
        <w:t>'</w:t>
      </w:r>
      <w:r w:rsidRPr="002C0E21">
        <w:rPr>
          <w:sz w:val="22"/>
          <w:szCs w:val="22"/>
        </w:rPr>
        <w:t>évaluer les incidences de l</w:t>
      </w:r>
      <w:r w:rsidR="009A1987" w:rsidRPr="002C0E21">
        <w:rPr>
          <w:sz w:val="22"/>
          <w:szCs w:val="22"/>
        </w:rPr>
        <w:t>'</w:t>
      </w:r>
      <w:r w:rsidRPr="002C0E21">
        <w:rPr>
          <w:sz w:val="22"/>
          <w:szCs w:val="22"/>
        </w:rPr>
        <w:t>intelligence artificielle et de surmonter les obstacles à l</w:t>
      </w:r>
      <w:r w:rsidR="009A1987" w:rsidRPr="002C0E21">
        <w:rPr>
          <w:sz w:val="22"/>
          <w:szCs w:val="22"/>
        </w:rPr>
        <w:t>'</w:t>
      </w:r>
      <w:r w:rsidRPr="002C0E21">
        <w:rPr>
          <w:sz w:val="22"/>
          <w:szCs w:val="22"/>
        </w:rPr>
        <w:t>intégration, tout en stimulant l</w:t>
      </w:r>
      <w:r w:rsidR="009A1987" w:rsidRPr="002C0E21">
        <w:rPr>
          <w:sz w:val="22"/>
          <w:szCs w:val="22"/>
        </w:rPr>
        <w:t>'</w:t>
      </w:r>
      <w:r w:rsidRPr="002C0E21">
        <w:rPr>
          <w:sz w:val="22"/>
          <w:szCs w:val="22"/>
        </w:rPr>
        <w:t>innovation dans le domaine de l</w:t>
      </w:r>
      <w:r w:rsidR="009A1987" w:rsidRPr="002C0E21">
        <w:rPr>
          <w:sz w:val="22"/>
          <w:szCs w:val="22"/>
        </w:rPr>
        <w:t>'</w:t>
      </w:r>
      <w:r w:rsidRPr="002C0E21">
        <w:rPr>
          <w:sz w:val="22"/>
          <w:szCs w:val="22"/>
        </w:rPr>
        <w:t>intelligence artificielle. Ce cadre, qui mettra davantage l</w:t>
      </w:r>
      <w:r w:rsidR="009A1987" w:rsidRPr="002C0E21">
        <w:rPr>
          <w:sz w:val="22"/>
          <w:szCs w:val="22"/>
        </w:rPr>
        <w:t>'</w:t>
      </w:r>
      <w:r w:rsidRPr="002C0E21">
        <w:rPr>
          <w:sz w:val="22"/>
          <w:szCs w:val="22"/>
        </w:rPr>
        <w:t>accent sur la normalisation des technologies IA, orientera l</w:t>
      </w:r>
      <w:r w:rsidR="009A1987" w:rsidRPr="002C0E21">
        <w:rPr>
          <w:sz w:val="22"/>
          <w:szCs w:val="22"/>
        </w:rPr>
        <w:t>'</w:t>
      </w:r>
      <w:r w:rsidRPr="002C0E21">
        <w:rPr>
          <w:sz w:val="22"/>
          <w:szCs w:val="22"/>
        </w:rPr>
        <w:t>élaboration et l</w:t>
      </w:r>
      <w:r w:rsidR="009A1987" w:rsidRPr="002C0E21">
        <w:rPr>
          <w:sz w:val="22"/>
          <w:szCs w:val="22"/>
        </w:rPr>
        <w:t>'</w:t>
      </w:r>
      <w:r w:rsidRPr="002C0E21">
        <w:rPr>
          <w:sz w:val="22"/>
          <w:szCs w:val="22"/>
        </w:rPr>
        <w:t>adoption de bonnes pratiques reconnues à l</w:t>
      </w:r>
      <w:r w:rsidR="009A1987" w:rsidRPr="002C0E21">
        <w:rPr>
          <w:sz w:val="22"/>
          <w:szCs w:val="22"/>
        </w:rPr>
        <w:t>'</w:t>
      </w:r>
      <w:r w:rsidRPr="002C0E21">
        <w:rPr>
          <w:sz w:val="22"/>
          <w:szCs w:val="22"/>
        </w:rPr>
        <w:t>échelle mondiale et garantira le déploiement responsable de ces technologies. En outre, il encouragera la coopération mondiale, en s</w:t>
      </w:r>
      <w:r w:rsidR="009A1987" w:rsidRPr="002C0E21">
        <w:rPr>
          <w:sz w:val="22"/>
          <w:szCs w:val="22"/>
        </w:rPr>
        <w:t>'</w:t>
      </w:r>
      <w:r w:rsidRPr="002C0E21">
        <w:rPr>
          <w:sz w:val="22"/>
          <w:szCs w:val="22"/>
        </w:rPr>
        <w:t>adaptant à divers contextes régionaux grâce à la collaboration avec des experts du domaine. La mise en place d</w:t>
      </w:r>
      <w:r w:rsidR="009A1987" w:rsidRPr="002C0E21">
        <w:rPr>
          <w:sz w:val="22"/>
          <w:szCs w:val="22"/>
        </w:rPr>
        <w:t>'</w:t>
      </w:r>
      <w:r w:rsidRPr="002C0E21">
        <w:rPr>
          <w:sz w:val="22"/>
          <w:szCs w:val="22"/>
        </w:rPr>
        <w:t>outils d</w:t>
      </w:r>
      <w:r w:rsidR="009A1987" w:rsidRPr="002C0E21">
        <w:rPr>
          <w:sz w:val="22"/>
          <w:szCs w:val="22"/>
        </w:rPr>
        <w:t>'</w:t>
      </w:r>
      <w:r w:rsidRPr="002C0E21">
        <w:rPr>
          <w:sz w:val="22"/>
          <w:szCs w:val="22"/>
        </w:rPr>
        <w:t>autoévaluation permettra aux États Membres et aux entités d</w:t>
      </w:r>
      <w:r w:rsidR="009A1987" w:rsidRPr="002C0E21">
        <w:rPr>
          <w:sz w:val="22"/>
          <w:szCs w:val="22"/>
        </w:rPr>
        <w:t>'</w:t>
      </w:r>
      <w:r w:rsidRPr="002C0E21">
        <w:rPr>
          <w:sz w:val="22"/>
          <w:szCs w:val="22"/>
        </w:rPr>
        <w:t>évaluer de manière indépendante leur état de préparation à l</w:t>
      </w:r>
      <w:r w:rsidR="009A1987" w:rsidRPr="002C0E21">
        <w:rPr>
          <w:sz w:val="22"/>
          <w:szCs w:val="22"/>
        </w:rPr>
        <w:t>'</w:t>
      </w:r>
      <w:r w:rsidRPr="002C0E21">
        <w:rPr>
          <w:sz w:val="22"/>
          <w:szCs w:val="22"/>
        </w:rPr>
        <w:t>IA, d</w:t>
      </w:r>
      <w:r w:rsidR="009A1987" w:rsidRPr="002C0E21">
        <w:rPr>
          <w:sz w:val="22"/>
          <w:szCs w:val="22"/>
        </w:rPr>
        <w:t>'</w:t>
      </w:r>
      <w:r w:rsidRPr="002C0E21">
        <w:rPr>
          <w:sz w:val="22"/>
          <w:szCs w:val="22"/>
        </w:rPr>
        <w:t>identifier les lacunes dans l</w:t>
      </w:r>
      <w:r w:rsidR="009A1987" w:rsidRPr="002C0E21">
        <w:rPr>
          <w:sz w:val="22"/>
          <w:szCs w:val="22"/>
        </w:rPr>
        <w:t>'</w:t>
      </w:r>
      <w:r w:rsidRPr="002C0E21">
        <w:rPr>
          <w:sz w:val="22"/>
          <w:szCs w:val="22"/>
        </w:rPr>
        <w:t>infrastructure, les normes et les politiques IA, et de faciliter le renforcement ciblé des capacités en matière d</w:t>
      </w:r>
      <w:r w:rsidR="009A1987" w:rsidRPr="002C0E21">
        <w:rPr>
          <w:sz w:val="22"/>
          <w:szCs w:val="22"/>
        </w:rPr>
        <w:t>'</w:t>
      </w:r>
      <w:r w:rsidRPr="002C0E21">
        <w:rPr>
          <w:sz w:val="22"/>
          <w:szCs w:val="22"/>
        </w:rPr>
        <w:t>IA.</w:t>
      </w:r>
    </w:p>
    <w:p w14:paraId="5304F44F" w14:textId="77777777" w:rsidR="000B6CEC" w:rsidRPr="002C0E21" w:rsidRDefault="000B6CEC" w:rsidP="00BE6A12">
      <w:pPr>
        <w:rPr>
          <w:sz w:val="22"/>
          <w:szCs w:val="22"/>
        </w:rPr>
      </w:pPr>
      <w:r w:rsidRPr="002C0E21">
        <w:rPr>
          <w:sz w:val="22"/>
          <w:szCs w:val="22"/>
        </w:rPr>
        <w:t xml:space="preserve">Le projet est mené avec l'appui du Royaume d'Arabie saoudite et du </w:t>
      </w:r>
      <w:proofErr w:type="gramStart"/>
      <w:r w:rsidRPr="002C0E21">
        <w:rPr>
          <w:sz w:val="22"/>
          <w:szCs w:val="22"/>
        </w:rPr>
        <w:t>Ministère de l'industrie</w:t>
      </w:r>
      <w:proofErr w:type="gramEnd"/>
      <w:r w:rsidRPr="002C0E21">
        <w:rPr>
          <w:sz w:val="22"/>
          <w:szCs w:val="22"/>
        </w:rPr>
        <w:t xml:space="preserve"> et des technologies de l'information (MIIT) de la République populaire de Chine.</w:t>
      </w:r>
    </w:p>
    <w:p w14:paraId="001D5332" w14:textId="28868F41" w:rsidR="000B6CEC" w:rsidRPr="002C0E21" w:rsidRDefault="000B6CEC" w:rsidP="00944F78">
      <w:pPr>
        <w:pStyle w:val="headingb"/>
        <w:rPr>
          <w:sz w:val="22"/>
          <w:szCs w:val="22"/>
        </w:rPr>
      </w:pPr>
      <w:r w:rsidRPr="002C0E21">
        <w:rPr>
          <w:sz w:val="22"/>
          <w:szCs w:val="22"/>
        </w:rPr>
        <w:t xml:space="preserve">Constitution du Groupe </w:t>
      </w:r>
      <w:proofErr w:type="gramStart"/>
      <w:r w:rsidRPr="002C0E21">
        <w:rPr>
          <w:sz w:val="22"/>
          <w:szCs w:val="22"/>
        </w:rPr>
        <w:t>d</w:t>
      </w:r>
      <w:r w:rsidR="009A1987" w:rsidRPr="002C0E21">
        <w:rPr>
          <w:sz w:val="22"/>
          <w:szCs w:val="22"/>
        </w:rPr>
        <w:t>'</w:t>
      </w:r>
      <w:r w:rsidRPr="002C0E21">
        <w:rPr>
          <w:sz w:val="22"/>
          <w:szCs w:val="22"/>
        </w:rPr>
        <w:t>experts:</w:t>
      </w:r>
      <w:proofErr w:type="gramEnd"/>
    </w:p>
    <w:p w14:paraId="000D4623" w14:textId="24A91054" w:rsidR="000B6CEC" w:rsidRPr="002C0E21" w:rsidRDefault="000B6CEC" w:rsidP="00BE6A12">
      <w:pPr>
        <w:rPr>
          <w:sz w:val="22"/>
          <w:szCs w:val="22"/>
        </w:rPr>
      </w:pPr>
      <w:r w:rsidRPr="002C0E21">
        <w:rPr>
          <w:sz w:val="22"/>
          <w:szCs w:val="22"/>
        </w:rPr>
        <w:t>Pour appuyer cette initiative essentielle, nous constituons un Groupe d</w:t>
      </w:r>
      <w:r w:rsidR="009A1987" w:rsidRPr="002C0E21">
        <w:rPr>
          <w:sz w:val="22"/>
          <w:szCs w:val="22"/>
        </w:rPr>
        <w:t>'</w:t>
      </w:r>
      <w:r w:rsidRPr="002C0E21">
        <w:rPr>
          <w:sz w:val="22"/>
          <w:szCs w:val="22"/>
        </w:rPr>
        <w:t xml:space="preserve">experts composé de professionnels et de chercheurs issus de différents domaines, comme </w:t>
      </w:r>
      <w:proofErr w:type="gramStart"/>
      <w:r w:rsidRPr="002C0E21">
        <w:rPr>
          <w:sz w:val="22"/>
          <w:szCs w:val="22"/>
        </w:rPr>
        <w:t>suit:</w:t>
      </w:r>
      <w:proofErr w:type="gramEnd"/>
    </w:p>
    <w:p w14:paraId="18485D33" w14:textId="0746AAC7" w:rsidR="000B6CEC" w:rsidRPr="002C0E21" w:rsidRDefault="000B6CEC" w:rsidP="00944F78">
      <w:pPr>
        <w:pStyle w:val="enumlev1"/>
        <w:rPr>
          <w:sz w:val="22"/>
          <w:szCs w:val="22"/>
        </w:rPr>
      </w:pPr>
      <w:r w:rsidRPr="002C0E21">
        <w:rPr>
          <w:sz w:val="22"/>
          <w:szCs w:val="22"/>
        </w:rPr>
        <w:lastRenderedPageBreak/>
        <w:t>•</w:t>
      </w:r>
      <w:r w:rsidRPr="002C0E21">
        <w:rPr>
          <w:sz w:val="22"/>
          <w:szCs w:val="22"/>
        </w:rPr>
        <w:tab/>
        <w:t xml:space="preserve">Technologies d'intelligence </w:t>
      </w:r>
      <w:proofErr w:type="gramStart"/>
      <w:r w:rsidRPr="002C0E21">
        <w:rPr>
          <w:sz w:val="22"/>
          <w:szCs w:val="22"/>
        </w:rPr>
        <w:t>artificielle:</w:t>
      </w:r>
      <w:proofErr w:type="gramEnd"/>
      <w:r w:rsidRPr="002C0E21">
        <w:rPr>
          <w:sz w:val="22"/>
          <w:szCs w:val="22"/>
        </w:rPr>
        <w:t xml:space="preserve"> </w:t>
      </w:r>
      <w:r w:rsidR="00944F78" w:rsidRPr="002C0E21">
        <w:rPr>
          <w:sz w:val="22"/>
          <w:szCs w:val="22"/>
        </w:rPr>
        <w:t>d</w:t>
      </w:r>
      <w:r w:rsidRPr="002C0E21">
        <w:rPr>
          <w:sz w:val="22"/>
          <w:szCs w:val="22"/>
        </w:rPr>
        <w:t>es experts qui seraient en mesure de donner une vue d'ensemble des technologies IA, du secteur et des progrès pouvant être accomplis dans les domaines relevant des ODD.</w:t>
      </w:r>
    </w:p>
    <w:p w14:paraId="2B2C1D05" w14:textId="3DD4564D" w:rsidR="000B6CEC" w:rsidRPr="002C0E21" w:rsidRDefault="000B6CEC" w:rsidP="00944F78">
      <w:pPr>
        <w:pStyle w:val="enumlev1"/>
        <w:rPr>
          <w:sz w:val="22"/>
          <w:szCs w:val="22"/>
        </w:rPr>
      </w:pPr>
      <w:r w:rsidRPr="002C0E21">
        <w:rPr>
          <w:sz w:val="22"/>
          <w:szCs w:val="22"/>
        </w:rPr>
        <w:t>•</w:t>
      </w:r>
      <w:r w:rsidRPr="002C0E21">
        <w:rPr>
          <w:sz w:val="22"/>
          <w:szCs w:val="22"/>
        </w:rPr>
        <w:tab/>
      </w:r>
      <w:proofErr w:type="gramStart"/>
      <w:r w:rsidRPr="002C0E21">
        <w:rPr>
          <w:sz w:val="22"/>
          <w:szCs w:val="22"/>
        </w:rPr>
        <w:t>Indicateurs:</w:t>
      </w:r>
      <w:proofErr w:type="gramEnd"/>
      <w:r w:rsidRPr="002C0E21">
        <w:rPr>
          <w:sz w:val="22"/>
          <w:szCs w:val="22"/>
        </w:rPr>
        <w:t xml:space="preserve"> </w:t>
      </w:r>
      <w:r w:rsidR="00944F78" w:rsidRPr="002C0E21">
        <w:rPr>
          <w:sz w:val="22"/>
          <w:szCs w:val="22"/>
        </w:rPr>
        <w:t>d</w:t>
      </w:r>
      <w:r w:rsidRPr="002C0E21">
        <w:rPr>
          <w:sz w:val="22"/>
          <w:szCs w:val="22"/>
        </w:rPr>
        <w:t>es spécialistes chargés de concevoir des indicateurs mesurables et de réaliser des analyses et des visualisations de données qui aideront les pays à évaluer leur état de préparation à l</w:t>
      </w:r>
      <w:r w:rsidR="009A1987" w:rsidRPr="002C0E21">
        <w:rPr>
          <w:sz w:val="22"/>
          <w:szCs w:val="22"/>
        </w:rPr>
        <w:t>'</w:t>
      </w:r>
      <w:r w:rsidRPr="002C0E21">
        <w:rPr>
          <w:sz w:val="22"/>
          <w:szCs w:val="22"/>
        </w:rPr>
        <w:t>IA de manière globale, sur la base des données.</w:t>
      </w:r>
    </w:p>
    <w:p w14:paraId="56622273" w14:textId="42C0CB0B" w:rsidR="000B6CEC" w:rsidRPr="002C0E21" w:rsidRDefault="000B6CEC" w:rsidP="00944F78">
      <w:pPr>
        <w:pStyle w:val="enumlev1"/>
        <w:rPr>
          <w:sz w:val="22"/>
          <w:szCs w:val="22"/>
        </w:rPr>
      </w:pPr>
      <w:r w:rsidRPr="002C0E21">
        <w:rPr>
          <w:sz w:val="22"/>
          <w:szCs w:val="22"/>
        </w:rPr>
        <w:t>•</w:t>
      </w:r>
      <w:r w:rsidRPr="002C0E21">
        <w:rPr>
          <w:sz w:val="22"/>
          <w:szCs w:val="22"/>
        </w:rPr>
        <w:tab/>
        <w:t xml:space="preserve">Économie et </w:t>
      </w:r>
      <w:proofErr w:type="gramStart"/>
      <w:r w:rsidRPr="002C0E21">
        <w:rPr>
          <w:sz w:val="22"/>
          <w:szCs w:val="22"/>
        </w:rPr>
        <w:t>société:</w:t>
      </w:r>
      <w:proofErr w:type="gramEnd"/>
      <w:r w:rsidRPr="002C0E21">
        <w:rPr>
          <w:sz w:val="22"/>
          <w:szCs w:val="22"/>
        </w:rPr>
        <w:t xml:space="preserve"> </w:t>
      </w:r>
      <w:r w:rsidR="00944F78" w:rsidRPr="002C0E21">
        <w:rPr>
          <w:sz w:val="22"/>
          <w:szCs w:val="22"/>
        </w:rPr>
        <w:t>d</w:t>
      </w:r>
      <w:r w:rsidRPr="002C0E21">
        <w:rPr>
          <w:sz w:val="22"/>
          <w:szCs w:val="22"/>
        </w:rPr>
        <w:t>es économistes, qui évalueront les incidences économiques de l</w:t>
      </w:r>
      <w:r w:rsidR="009A1987" w:rsidRPr="002C0E21">
        <w:rPr>
          <w:sz w:val="22"/>
          <w:szCs w:val="22"/>
        </w:rPr>
        <w:t>'</w:t>
      </w:r>
      <w:r w:rsidRPr="002C0E21">
        <w:rPr>
          <w:sz w:val="22"/>
          <w:szCs w:val="22"/>
        </w:rPr>
        <w:t>IA, y</w:t>
      </w:r>
      <w:r w:rsidR="00BE6A12" w:rsidRPr="002C0E21">
        <w:rPr>
          <w:sz w:val="22"/>
          <w:szCs w:val="22"/>
        </w:rPr>
        <w:t> </w:t>
      </w:r>
      <w:r w:rsidRPr="002C0E21">
        <w:rPr>
          <w:sz w:val="22"/>
          <w:szCs w:val="22"/>
        </w:rPr>
        <w:t>compris sur les plans de la croissance, de l</w:t>
      </w:r>
      <w:r w:rsidR="009A1987" w:rsidRPr="002C0E21">
        <w:rPr>
          <w:sz w:val="22"/>
          <w:szCs w:val="22"/>
        </w:rPr>
        <w:t>'</w:t>
      </w:r>
      <w:r w:rsidRPr="002C0E21">
        <w:rPr>
          <w:sz w:val="22"/>
          <w:szCs w:val="22"/>
        </w:rPr>
        <w:t>innovation et de la durabilité, et des chercheurs en sciences sociales qui se pencheront sur les impacts sociétaux de l</w:t>
      </w:r>
      <w:r w:rsidR="009A1987" w:rsidRPr="002C0E21">
        <w:rPr>
          <w:sz w:val="22"/>
          <w:szCs w:val="22"/>
        </w:rPr>
        <w:t>'</w:t>
      </w:r>
      <w:r w:rsidRPr="002C0E21">
        <w:rPr>
          <w:sz w:val="22"/>
          <w:szCs w:val="22"/>
        </w:rPr>
        <w:t>IA, tels que son influence sur l</w:t>
      </w:r>
      <w:r w:rsidR="009A1987" w:rsidRPr="002C0E21">
        <w:rPr>
          <w:sz w:val="22"/>
          <w:szCs w:val="22"/>
        </w:rPr>
        <w:t>'</w:t>
      </w:r>
      <w:r w:rsidRPr="002C0E21">
        <w:rPr>
          <w:sz w:val="22"/>
          <w:szCs w:val="22"/>
        </w:rPr>
        <w:t>éducation, l</w:t>
      </w:r>
      <w:r w:rsidR="009A1987" w:rsidRPr="002C0E21">
        <w:rPr>
          <w:sz w:val="22"/>
          <w:szCs w:val="22"/>
        </w:rPr>
        <w:t>'</w:t>
      </w:r>
      <w:r w:rsidRPr="002C0E21">
        <w:rPr>
          <w:sz w:val="22"/>
          <w:szCs w:val="22"/>
        </w:rPr>
        <w:t>emploi et l</w:t>
      </w:r>
      <w:r w:rsidR="009A1987" w:rsidRPr="002C0E21">
        <w:rPr>
          <w:sz w:val="22"/>
          <w:szCs w:val="22"/>
        </w:rPr>
        <w:t>'</w:t>
      </w:r>
      <w:r w:rsidRPr="002C0E21">
        <w:rPr>
          <w:sz w:val="22"/>
          <w:szCs w:val="22"/>
        </w:rPr>
        <w:t>équité sociale.</w:t>
      </w:r>
    </w:p>
    <w:p w14:paraId="0DD0710B" w14:textId="4EBB57E4" w:rsidR="000B6CEC" w:rsidRPr="002C0E21" w:rsidRDefault="000B6CEC" w:rsidP="00944F78">
      <w:pPr>
        <w:pStyle w:val="enumlev1"/>
        <w:rPr>
          <w:sz w:val="22"/>
          <w:szCs w:val="22"/>
        </w:rPr>
      </w:pPr>
      <w:r w:rsidRPr="002C0E21">
        <w:rPr>
          <w:sz w:val="22"/>
          <w:szCs w:val="22"/>
        </w:rPr>
        <w:t>•</w:t>
      </w:r>
      <w:r w:rsidRPr="002C0E21">
        <w:rPr>
          <w:sz w:val="22"/>
          <w:szCs w:val="22"/>
        </w:rPr>
        <w:tab/>
      </w:r>
      <w:proofErr w:type="gramStart"/>
      <w:r w:rsidRPr="002C0E21">
        <w:rPr>
          <w:sz w:val="22"/>
          <w:szCs w:val="22"/>
        </w:rPr>
        <w:t>Éthique:</w:t>
      </w:r>
      <w:proofErr w:type="gramEnd"/>
      <w:r w:rsidRPr="002C0E21">
        <w:rPr>
          <w:sz w:val="22"/>
          <w:szCs w:val="22"/>
        </w:rPr>
        <w:t xml:space="preserve"> </w:t>
      </w:r>
      <w:r w:rsidR="00944F78" w:rsidRPr="002C0E21">
        <w:rPr>
          <w:sz w:val="22"/>
          <w:szCs w:val="22"/>
        </w:rPr>
        <w:t>d</w:t>
      </w:r>
      <w:r w:rsidRPr="002C0E21">
        <w:rPr>
          <w:sz w:val="22"/>
          <w:szCs w:val="22"/>
        </w:rPr>
        <w:t>es spécialistes de l</w:t>
      </w:r>
      <w:r w:rsidR="009A1987" w:rsidRPr="002C0E21">
        <w:rPr>
          <w:sz w:val="22"/>
          <w:szCs w:val="22"/>
        </w:rPr>
        <w:t>'</w:t>
      </w:r>
      <w:r w:rsidRPr="002C0E21">
        <w:rPr>
          <w:sz w:val="22"/>
          <w:szCs w:val="22"/>
        </w:rPr>
        <w:t>éthique de l</w:t>
      </w:r>
      <w:r w:rsidR="009A1987" w:rsidRPr="002C0E21">
        <w:rPr>
          <w:sz w:val="22"/>
          <w:szCs w:val="22"/>
        </w:rPr>
        <w:t>'</w:t>
      </w:r>
      <w:r w:rsidRPr="002C0E21">
        <w:rPr>
          <w:sz w:val="22"/>
          <w:szCs w:val="22"/>
        </w:rPr>
        <w:t>IA, qui auront pour but de s</w:t>
      </w:r>
      <w:r w:rsidR="009A1987" w:rsidRPr="002C0E21">
        <w:rPr>
          <w:sz w:val="22"/>
          <w:szCs w:val="22"/>
        </w:rPr>
        <w:t>'</w:t>
      </w:r>
      <w:r w:rsidRPr="002C0E21">
        <w:rPr>
          <w:sz w:val="22"/>
          <w:szCs w:val="22"/>
        </w:rPr>
        <w:t>assurer que le cadre encourage une utilisation responsable de l</w:t>
      </w:r>
      <w:r w:rsidR="009A1987" w:rsidRPr="002C0E21">
        <w:rPr>
          <w:sz w:val="22"/>
          <w:szCs w:val="22"/>
        </w:rPr>
        <w:t>'</w:t>
      </w:r>
      <w:r w:rsidRPr="002C0E21">
        <w:rPr>
          <w:sz w:val="22"/>
          <w:szCs w:val="22"/>
        </w:rPr>
        <w:t>IA, en répondant aux préoccupations relatives à l</w:t>
      </w:r>
      <w:r w:rsidR="009A1987" w:rsidRPr="002C0E21">
        <w:rPr>
          <w:sz w:val="22"/>
          <w:szCs w:val="22"/>
        </w:rPr>
        <w:t>'</w:t>
      </w:r>
      <w:r w:rsidRPr="002C0E21">
        <w:rPr>
          <w:sz w:val="22"/>
          <w:szCs w:val="22"/>
        </w:rPr>
        <w:t>équité, à la transparence, à la responsabilité et aux biais.</w:t>
      </w:r>
    </w:p>
    <w:p w14:paraId="108D6F9E" w14:textId="77777777" w:rsidR="000B6CEC" w:rsidRPr="002C0E21" w:rsidRDefault="000B6CEC" w:rsidP="00944F78">
      <w:pPr>
        <w:pStyle w:val="headingb"/>
        <w:rPr>
          <w:sz w:val="22"/>
          <w:szCs w:val="22"/>
        </w:rPr>
      </w:pPr>
      <w:proofErr w:type="gramStart"/>
      <w:r w:rsidRPr="002C0E21">
        <w:rPr>
          <w:sz w:val="22"/>
          <w:szCs w:val="22"/>
        </w:rPr>
        <w:t>Responsabilités:</w:t>
      </w:r>
      <w:proofErr w:type="gramEnd"/>
    </w:p>
    <w:p w14:paraId="1CFFB1DB" w14:textId="7F982F9E" w:rsidR="000B6CEC" w:rsidRPr="002C0E21" w:rsidRDefault="000B6CEC" w:rsidP="00BE6A12">
      <w:pPr>
        <w:rPr>
          <w:sz w:val="22"/>
          <w:szCs w:val="22"/>
        </w:rPr>
      </w:pPr>
      <w:r w:rsidRPr="002C0E21">
        <w:rPr>
          <w:sz w:val="22"/>
          <w:szCs w:val="22"/>
        </w:rPr>
        <w:t>En tant que membre du Groupe d</w:t>
      </w:r>
      <w:r w:rsidR="009A1987" w:rsidRPr="002C0E21">
        <w:rPr>
          <w:sz w:val="22"/>
          <w:szCs w:val="22"/>
        </w:rPr>
        <w:t>'</w:t>
      </w:r>
      <w:r w:rsidRPr="002C0E21">
        <w:rPr>
          <w:sz w:val="22"/>
          <w:szCs w:val="22"/>
        </w:rPr>
        <w:t xml:space="preserve">experts, vos contributions seront déterminantes </w:t>
      </w:r>
      <w:proofErr w:type="gramStart"/>
      <w:r w:rsidRPr="002C0E21">
        <w:rPr>
          <w:sz w:val="22"/>
          <w:szCs w:val="22"/>
        </w:rPr>
        <w:t>pour:</w:t>
      </w:r>
      <w:proofErr w:type="gramEnd"/>
    </w:p>
    <w:p w14:paraId="1856CD8B" w14:textId="018E7A21" w:rsidR="000B6CEC" w:rsidRPr="002C0E21" w:rsidRDefault="000B6CEC" w:rsidP="00944F78">
      <w:pPr>
        <w:pStyle w:val="enumlev1"/>
        <w:rPr>
          <w:sz w:val="22"/>
          <w:szCs w:val="22"/>
        </w:rPr>
      </w:pPr>
      <w:r w:rsidRPr="002C0E21">
        <w:rPr>
          <w:sz w:val="22"/>
          <w:szCs w:val="22"/>
        </w:rPr>
        <w:t>•</w:t>
      </w:r>
      <w:r w:rsidRPr="002C0E21">
        <w:rPr>
          <w:sz w:val="22"/>
          <w:szCs w:val="22"/>
        </w:rPr>
        <w:tab/>
        <w:t>Identifier et évaluer de nouveaux indicateurs et de nouvelles méthodes d</w:t>
      </w:r>
      <w:r w:rsidR="009A1987" w:rsidRPr="002C0E21">
        <w:rPr>
          <w:sz w:val="22"/>
          <w:szCs w:val="22"/>
        </w:rPr>
        <w:t>'</w:t>
      </w:r>
      <w:r w:rsidRPr="002C0E21">
        <w:rPr>
          <w:sz w:val="22"/>
          <w:szCs w:val="22"/>
        </w:rPr>
        <w:t>évaluation portant sur différents aspects</w:t>
      </w:r>
      <w:r w:rsidR="009A1987" w:rsidRPr="002C0E21">
        <w:rPr>
          <w:sz w:val="22"/>
          <w:szCs w:val="22"/>
        </w:rPr>
        <w:t>.</w:t>
      </w:r>
    </w:p>
    <w:p w14:paraId="5517FCB3" w14:textId="7EC73876" w:rsidR="000B6CEC" w:rsidRPr="002C0E21" w:rsidRDefault="000B6CEC" w:rsidP="00944F78">
      <w:pPr>
        <w:pStyle w:val="enumlev1"/>
        <w:rPr>
          <w:sz w:val="22"/>
          <w:szCs w:val="22"/>
        </w:rPr>
      </w:pPr>
      <w:r w:rsidRPr="002C0E21">
        <w:rPr>
          <w:sz w:val="22"/>
          <w:szCs w:val="22"/>
        </w:rPr>
        <w:t>•</w:t>
      </w:r>
      <w:r w:rsidRPr="002C0E21">
        <w:rPr>
          <w:sz w:val="22"/>
          <w:szCs w:val="22"/>
        </w:rPr>
        <w:tab/>
        <w:t>Participer à des réunions en ligne toutes les deux semaines et à une réunion en présentiel pendant le Sommet mondial sur l</w:t>
      </w:r>
      <w:r w:rsidR="009A1987" w:rsidRPr="002C0E21">
        <w:rPr>
          <w:sz w:val="22"/>
          <w:szCs w:val="22"/>
        </w:rPr>
        <w:t>'</w:t>
      </w:r>
      <w:r w:rsidRPr="002C0E21">
        <w:rPr>
          <w:sz w:val="22"/>
          <w:szCs w:val="22"/>
        </w:rPr>
        <w:t>intelligence artificielle au service du bien social de 2025 pour examiner les progrès accomplis et fournir des orientations.</w:t>
      </w:r>
    </w:p>
    <w:p w14:paraId="14464981" w14:textId="77777777" w:rsidR="000B6CEC" w:rsidRPr="002C0E21" w:rsidRDefault="000B6CEC" w:rsidP="00944F78">
      <w:pPr>
        <w:pStyle w:val="enumlev1"/>
        <w:rPr>
          <w:sz w:val="22"/>
          <w:szCs w:val="22"/>
        </w:rPr>
      </w:pPr>
      <w:r w:rsidRPr="002C0E21">
        <w:rPr>
          <w:sz w:val="22"/>
          <w:szCs w:val="22"/>
        </w:rPr>
        <w:t>•</w:t>
      </w:r>
      <w:r w:rsidRPr="002C0E21">
        <w:rPr>
          <w:sz w:val="22"/>
          <w:szCs w:val="22"/>
        </w:rPr>
        <w:tab/>
        <w:t>Appuyer la collaboration internationale et les efforts de normalisation, en alignant le cadre sur les critères de référence mondiaux.</w:t>
      </w:r>
    </w:p>
    <w:p w14:paraId="677E919C" w14:textId="66C1B403" w:rsidR="000B6CEC" w:rsidRPr="002C0E21" w:rsidRDefault="000B6CEC" w:rsidP="00944F78">
      <w:pPr>
        <w:pStyle w:val="enumlev1"/>
        <w:rPr>
          <w:sz w:val="22"/>
          <w:szCs w:val="22"/>
        </w:rPr>
      </w:pPr>
      <w:r w:rsidRPr="002C0E21">
        <w:rPr>
          <w:sz w:val="22"/>
          <w:szCs w:val="22"/>
        </w:rPr>
        <w:t>•</w:t>
      </w:r>
      <w:r w:rsidRPr="002C0E21">
        <w:rPr>
          <w:sz w:val="22"/>
          <w:szCs w:val="22"/>
        </w:rPr>
        <w:tab/>
        <w:t>Examiner et améliorer le rapport sur le Cadre de préparation à l</w:t>
      </w:r>
      <w:r w:rsidR="009A1987" w:rsidRPr="002C0E21">
        <w:rPr>
          <w:sz w:val="22"/>
          <w:szCs w:val="22"/>
        </w:rPr>
        <w:t>'</w:t>
      </w:r>
      <w:r w:rsidRPr="002C0E21">
        <w:rPr>
          <w:sz w:val="22"/>
          <w:szCs w:val="22"/>
        </w:rPr>
        <w:t>IA et contribuer à améliorer le cadre sur la base des points de vue au niveau mondial.</w:t>
      </w:r>
    </w:p>
    <w:p w14:paraId="7DA4ECE7" w14:textId="198628D8" w:rsidR="000B6CEC" w:rsidRPr="002C0E21" w:rsidRDefault="000B6CEC" w:rsidP="00944F78">
      <w:pPr>
        <w:pStyle w:val="enumlev1"/>
        <w:rPr>
          <w:sz w:val="22"/>
          <w:szCs w:val="22"/>
        </w:rPr>
      </w:pPr>
      <w:r w:rsidRPr="002C0E21">
        <w:rPr>
          <w:sz w:val="22"/>
          <w:szCs w:val="22"/>
        </w:rPr>
        <w:t>•</w:t>
      </w:r>
      <w:r w:rsidRPr="002C0E21">
        <w:rPr>
          <w:sz w:val="22"/>
          <w:szCs w:val="22"/>
        </w:rPr>
        <w:tab/>
        <w:t>En contribuant à ce projet, le Groupe d</w:t>
      </w:r>
      <w:r w:rsidR="009A1987" w:rsidRPr="002C0E21">
        <w:rPr>
          <w:sz w:val="22"/>
          <w:szCs w:val="22"/>
        </w:rPr>
        <w:t>'</w:t>
      </w:r>
      <w:r w:rsidRPr="002C0E21">
        <w:rPr>
          <w:sz w:val="22"/>
          <w:szCs w:val="22"/>
        </w:rPr>
        <w:t>experts jouera un rôle déterminant dans l</w:t>
      </w:r>
      <w:r w:rsidR="009A1987" w:rsidRPr="002C0E21">
        <w:rPr>
          <w:sz w:val="22"/>
          <w:szCs w:val="22"/>
        </w:rPr>
        <w:t>'</w:t>
      </w:r>
      <w:r w:rsidRPr="002C0E21">
        <w:rPr>
          <w:sz w:val="22"/>
          <w:szCs w:val="22"/>
        </w:rPr>
        <w:t>élaboration de l</w:t>
      </w:r>
      <w:r w:rsidR="009A1987" w:rsidRPr="002C0E21">
        <w:rPr>
          <w:sz w:val="22"/>
          <w:szCs w:val="22"/>
        </w:rPr>
        <w:t>'</w:t>
      </w:r>
      <w:r w:rsidRPr="002C0E21">
        <w:rPr>
          <w:sz w:val="22"/>
          <w:szCs w:val="22"/>
        </w:rPr>
        <w:t>état de préparation futur à l</w:t>
      </w:r>
      <w:r w:rsidR="009A1987" w:rsidRPr="002C0E21">
        <w:rPr>
          <w:sz w:val="22"/>
          <w:szCs w:val="22"/>
        </w:rPr>
        <w:t>'</w:t>
      </w:r>
      <w:r w:rsidRPr="002C0E21">
        <w:rPr>
          <w:sz w:val="22"/>
          <w:szCs w:val="22"/>
        </w:rPr>
        <w:t>IA à l</w:t>
      </w:r>
      <w:r w:rsidR="009A1987" w:rsidRPr="002C0E21">
        <w:rPr>
          <w:sz w:val="22"/>
          <w:szCs w:val="22"/>
        </w:rPr>
        <w:t>'</w:t>
      </w:r>
      <w:r w:rsidRPr="002C0E21">
        <w:rPr>
          <w:sz w:val="22"/>
          <w:szCs w:val="22"/>
        </w:rPr>
        <w:t>échelle internationale, en aidant les États Membres et les entités à évaluer et à renforcer leurs capacités en matière d</w:t>
      </w:r>
      <w:r w:rsidR="009A1987" w:rsidRPr="002C0E21">
        <w:rPr>
          <w:sz w:val="22"/>
          <w:szCs w:val="22"/>
        </w:rPr>
        <w:t>'</w:t>
      </w:r>
      <w:r w:rsidRPr="002C0E21">
        <w:rPr>
          <w:sz w:val="22"/>
          <w:szCs w:val="22"/>
        </w:rPr>
        <w:t>IA de manière responsable et efficace.</w:t>
      </w:r>
    </w:p>
    <w:p w14:paraId="3B2154F3" w14:textId="3D5F7939" w:rsidR="000B6CEC" w:rsidRPr="002C0E21" w:rsidRDefault="000B6CEC" w:rsidP="00BE6A12">
      <w:pPr>
        <w:keepNext/>
        <w:keepLines/>
        <w:rPr>
          <w:sz w:val="22"/>
          <w:szCs w:val="22"/>
        </w:rPr>
      </w:pPr>
      <w:r w:rsidRPr="002C0E21">
        <w:rPr>
          <w:sz w:val="22"/>
          <w:szCs w:val="22"/>
        </w:rPr>
        <w:t>Je vous invite à vous associer à ce projet important en nous faisant part, d'ici au 15 avril, de votre intérêt en vue de participer aux travaux du Groupe d</w:t>
      </w:r>
      <w:r w:rsidR="009A1987" w:rsidRPr="002C0E21">
        <w:rPr>
          <w:sz w:val="22"/>
          <w:szCs w:val="22"/>
        </w:rPr>
        <w:t>'</w:t>
      </w:r>
      <w:r w:rsidRPr="002C0E21">
        <w:rPr>
          <w:sz w:val="22"/>
          <w:szCs w:val="22"/>
        </w:rPr>
        <w:t>experts. Veuillez utiliser le formulaire fourni</w:t>
      </w:r>
      <w:r w:rsidR="00BE6A12" w:rsidRPr="002C0E21">
        <w:rPr>
          <w:sz w:val="22"/>
          <w:szCs w:val="22"/>
        </w:rPr>
        <w:t> </w:t>
      </w:r>
      <w:hyperlink r:id="rId11" w:anchor="/fr" w:history="1">
        <w:r w:rsidRPr="002C0E21">
          <w:rPr>
            <w:rStyle w:val="Hyperlink"/>
            <w:bCs/>
            <w:sz w:val="22"/>
            <w:szCs w:val="22"/>
          </w:rPr>
          <w:t>ici</w:t>
        </w:r>
      </w:hyperlink>
      <w:r w:rsidRPr="002C0E21">
        <w:rPr>
          <w:sz w:val="22"/>
          <w:szCs w:val="22"/>
        </w:rPr>
        <w:t xml:space="preserve"> pour soumettre votre candidature. Les soumissions incomplètes ne seront pas acceptées.</w:t>
      </w:r>
    </w:p>
    <w:p w14:paraId="46F2C3C2" w14:textId="0D1385D4" w:rsidR="00307FB4" w:rsidRPr="002C0E21" w:rsidRDefault="000B6CEC" w:rsidP="00BE6A12">
      <w:pPr>
        <w:keepNext/>
        <w:keepLines/>
        <w:rPr>
          <w:sz w:val="22"/>
          <w:szCs w:val="22"/>
        </w:rPr>
      </w:pPr>
      <w:r w:rsidRPr="002C0E21">
        <w:rPr>
          <w:sz w:val="22"/>
          <w:szCs w:val="22"/>
        </w:rPr>
        <w:t xml:space="preserve">Pour toute demande en matière de parrainage, veuillez contacter </w:t>
      </w:r>
      <w:hyperlink r:id="rId12" w:history="1">
        <w:r w:rsidR="00944F78" w:rsidRPr="002C0E21">
          <w:rPr>
            <w:rStyle w:val="Hyperlink"/>
            <w:bCs/>
            <w:sz w:val="22"/>
            <w:szCs w:val="22"/>
          </w:rPr>
          <w:t>ai-calls@itu.int</w:t>
        </w:r>
      </w:hyperlink>
      <w:r w:rsidR="00944F78" w:rsidRPr="002C0E21">
        <w:rPr>
          <w:sz w:val="22"/>
          <w:szCs w:val="22"/>
        </w:rPr>
        <w:t>.</w:t>
      </w:r>
    </w:p>
    <w:p w14:paraId="6A4CD67F" w14:textId="3B3A4369" w:rsidR="00307FB4" w:rsidRPr="002C0E21" w:rsidRDefault="00307FB4" w:rsidP="00BE6A12">
      <w:pPr>
        <w:keepNext/>
        <w:keepLines/>
        <w:rPr>
          <w:sz w:val="22"/>
          <w:szCs w:val="22"/>
        </w:rPr>
      </w:pPr>
      <w:r w:rsidRPr="002C0E21">
        <w:rPr>
          <w:sz w:val="22"/>
          <w:szCs w:val="22"/>
        </w:rPr>
        <w:t>Veuillez agréer, Madame, Monsieur, l'assurance de ma considération distinguée.</w:t>
      </w:r>
    </w:p>
    <w:p w14:paraId="558FB742" w14:textId="64975609" w:rsidR="002937DB" w:rsidRPr="002C0E21" w:rsidRDefault="00AC5F27" w:rsidP="002352BA">
      <w:pPr>
        <w:spacing w:before="72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CCC8D0F" wp14:editId="4C4647D2">
            <wp:simplePos x="0" y="0"/>
            <wp:positionH relativeFrom="margin">
              <wp:align>left</wp:align>
            </wp:positionH>
            <wp:positionV relativeFrom="paragraph">
              <wp:posOffset>39370</wp:posOffset>
            </wp:positionV>
            <wp:extent cx="692186" cy="330217"/>
            <wp:effectExtent l="0" t="0" r="0" b="0"/>
            <wp:wrapNone/>
            <wp:docPr id="597603282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603282" name="Picture 1" descr="A black text on a white background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86" cy="330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7FB4" w:rsidRPr="002C0E21">
        <w:rPr>
          <w:sz w:val="22"/>
          <w:szCs w:val="22"/>
        </w:rPr>
        <w:t>Seizo Onoe</w:t>
      </w:r>
      <w:r w:rsidR="00B60868" w:rsidRPr="002C0E21">
        <w:rPr>
          <w:sz w:val="22"/>
          <w:szCs w:val="22"/>
        </w:rPr>
        <w:br/>
      </w:r>
      <w:r w:rsidR="00307FB4" w:rsidRPr="002C0E21">
        <w:rPr>
          <w:sz w:val="22"/>
          <w:szCs w:val="22"/>
        </w:rPr>
        <w:t>Directeur du Bureau de la normalisation</w:t>
      </w:r>
      <w:r w:rsidR="00B60868" w:rsidRPr="002C0E21">
        <w:rPr>
          <w:sz w:val="22"/>
          <w:szCs w:val="22"/>
        </w:rPr>
        <w:br/>
      </w:r>
      <w:r w:rsidR="00307FB4" w:rsidRPr="002C0E21">
        <w:rPr>
          <w:sz w:val="22"/>
          <w:szCs w:val="22"/>
        </w:rPr>
        <w:t>des télécommunications</w:t>
      </w:r>
    </w:p>
    <w:sectPr w:rsidR="002937DB" w:rsidRPr="002C0E21" w:rsidSect="00A1517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B62FA" w14:textId="77777777" w:rsidR="002F29EB" w:rsidRDefault="002F29EB">
      <w:r>
        <w:separator/>
      </w:r>
    </w:p>
  </w:endnote>
  <w:endnote w:type="continuationSeparator" w:id="0">
    <w:p w14:paraId="36756550" w14:textId="77777777" w:rsidR="002F29EB" w:rsidRDefault="002F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D5517" w14:textId="77777777" w:rsidR="002C0E21" w:rsidRDefault="002C0E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5C4F0" w14:textId="77777777" w:rsidR="002C0E21" w:rsidRDefault="002C0E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1A9C5" w14:textId="658A0682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</w:r>
    <w:proofErr w:type="gramStart"/>
    <w:r w:rsidRPr="003E66AD">
      <w:rPr>
        <w:color w:val="0070C0"/>
        <w:sz w:val="18"/>
        <w:szCs w:val="18"/>
        <w:lang w:val="fr-CH"/>
      </w:rPr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>:</w:t>
    </w:r>
    <w:proofErr w:type="gramEnd"/>
    <w:r w:rsidRPr="003E66AD">
      <w:rPr>
        <w:color w:val="0070C0"/>
        <w:sz w:val="18"/>
        <w:szCs w:val="18"/>
        <w:lang w:val="fr-CH"/>
      </w:rPr>
      <w:t xml:space="preserve"> +41 22 730 5111 • </w:t>
    </w:r>
    <w:proofErr w:type="gramStart"/>
    <w:r w:rsidRPr="003E66AD">
      <w:rPr>
        <w:color w:val="0070C0"/>
        <w:sz w:val="18"/>
        <w:szCs w:val="18"/>
        <w:lang w:val="fr-CH"/>
      </w:rPr>
      <w:t>Fax:</w:t>
    </w:r>
    <w:proofErr w:type="gramEnd"/>
    <w:r w:rsidRPr="003E66AD">
      <w:rPr>
        <w:color w:val="0070C0"/>
        <w:sz w:val="18"/>
        <w:szCs w:val="18"/>
        <w:lang w:val="fr-CH"/>
      </w:rPr>
      <w:t xml:space="preserve"> +41 22 733 7256 • </w:t>
    </w:r>
    <w:proofErr w:type="gramStart"/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>:</w:t>
    </w:r>
    <w:proofErr w:type="gramEnd"/>
    <w:r w:rsidRPr="003E66AD">
      <w:rPr>
        <w:color w:val="0070C0"/>
        <w:sz w:val="18"/>
        <w:szCs w:val="18"/>
        <w:lang w:val="fr-CH"/>
      </w:rPr>
      <w:t xml:space="preserve"> </w:t>
    </w:r>
    <w:hyperlink r:id="rId1" w:history="1">
      <w:r w:rsidR="000B6CEC">
        <w:rPr>
          <w:rStyle w:val="Hyperlink"/>
          <w:color w:val="0070C0"/>
          <w:sz w:val="18"/>
          <w:szCs w:val="18"/>
        </w:rPr>
        <w:t>tsb</w:t>
      </w:r>
      <w:r w:rsidRPr="003E66AD">
        <w:rPr>
          <w:rStyle w:val="Hyperlink"/>
          <w:color w:val="0070C0"/>
          <w:sz w:val="18"/>
          <w:szCs w:val="18"/>
        </w:rPr>
        <w:t>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C3C50" w14:textId="77777777" w:rsidR="002F29EB" w:rsidRDefault="002F29EB">
      <w:r>
        <w:t>____________________</w:t>
      </w:r>
    </w:p>
  </w:footnote>
  <w:footnote w:type="continuationSeparator" w:id="0">
    <w:p w14:paraId="65A50A6C" w14:textId="77777777" w:rsidR="002F29EB" w:rsidRDefault="002F2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F1810" w14:textId="77777777" w:rsidR="002C0E21" w:rsidRDefault="002C0E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D5492" w14:textId="5B619D06" w:rsidR="00697BC1" w:rsidRPr="00697BC1" w:rsidRDefault="00AC5F27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C0E21">
          <w:rPr>
            <w:rFonts w:hint="eastAsia"/>
            <w:sz w:val="18"/>
            <w:szCs w:val="16"/>
            <w:lang w:eastAsia="zh-CN"/>
          </w:rPr>
          <w:t xml:space="preserve">-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36F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  <w:r w:rsidR="002C0E21">
          <w:rPr>
            <w:rFonts w:hint="eastAsia"/>
            <w:noProof/>
            <w:sz w:val="18"/>
            <w:szCs w:val="16"/>
            <w:lang w:eastAsia="zh-CN"/>
          </w:rPr>
          <w:t xml:space="preserve"> -</w:t>
        </w:r>
      </w:sdtContent>
    </w:sdt>
    <w:r w:rsidR="00AF0D7D">
      <w:rPr>
        <w:noProof/>
        <w:sz w:val="18"/>
        <w:szCs w:val="16"/>
      </w:rPr>
      <w:br/>
      <w:t xml:space="preserve">Circulaire TSB </w:t>
    </w:r>
    <w:r w:rsidR="000B6CEC">
      <w:rPr>
        <w:noProof/>
        <w:sz w:val="18"/>
        <w:szCs w:val="16"/>
      </w:rPr>
      <w:t>36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1A808" w14:textId="77777777" w:rsidR="002C0E21" w:rsidRDefault="002C0E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5120867">
    <w:abstractNumId w:val="1"/>
  </w:num>
  <w:num w:numId="2" w16cid:durableId="2119984868">
    <w:abstractNumId w:val="3"/>
  </w:num>
  <w:num w:numId="3" w16cid:durableId="2075545744">
    <w:abstractNumId w:val="2"/>
  </w:num>
  <w:num w:numId="4" w16cid:durableId="187144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E9"/>
    <w:rsid w:val="000039EE"/>
    <w:rsid w:val="00005622"/>
    <w:rsid w:val="0002519E"/>
    <w:rsid w:val="00035B43"/>
    <w:rsid w:val="00036F4F"/>
    <w:rsid w:val="000758B3"/>
    <w:rsid w:val="00085F5A"/>
    <w:rsid w:val="000B0D96"/>
    <w:rsid w:val="000B59D8"/>
    <w:rsid w:val="000B6CEC"/>
    <w:rsid w:val="000C1F6B"/>
    <w:rsid w:val="000C25CC"/>
    <w:rsid w:val="000C56BE"/>
    <w:rsid w:val="001026FD"/>
    <w:rsid w:val="001048A7"/>
    <w:rsid w:val="001077FD"/>
    <w:rsid w:val="00115DD7"/>
    <w:rsid w:val="00167472"/>
    <w:rsid w:val="00167F92"/>
    <w:rsid w:val="00173738"/>
    <w:rsid w:val="001B79A3"/>
    <w:rsid w:val="002152A3"/>
    <w:rsid w:val="0021772B"/>
    <w:rsid w:val="002352BA"/>
    <w:rsid w:val="0023667A"/>
    <w:rsid w:val="002379A4"/>
    <w:rsid w:val="002937DB"/>
    <w:rsid w:val="002A55E3"/>
    <w:rsid w:val="002C0E21"/>
    <w:rsid w:val="002E395D"/>
    <w:rsid w:val="002F29EB"/>
    <w:rsid w:val="002F64C1"/>
    <w:rsid w:val="00305DDA"/>
    <w:rsid w:val="00307FB4"/>
    <w:rsid w:val="003131F0"/>
    <w:rsid w:val="00333A80"/>
    <w:rsid w:val="00341117"/>
    <w:rsid w:val="00364E95"/>
    <w:rsid w:val="00372875"/>
    <w:rsid w:val="003742F8"/>
    <w:rsid w:val="003B1E80"/>
    <w:rsid w:val="003B66E8"/>
    <w:rsid w:val="003E66AD"/>
    <w:rsid w:val="004033F1"/>
    <w:rsid w:val="00414B0C"/>
    <w:rsid w:val="00423C21"/>
    <w:rsid w:val="004257AC"/>
    <w:rsid w:val="0043711B"/>
    <w:rsid w:val="004419E9"/>
    <w:rsid w:val="00445B68"/>
    <w:rsid w:val="0048088B"/>
    <w:rsid w:val="004977C9"/>
    <w:rsid w:val="004B732E"/>
    <w:rsid w:val="004D51F4"/>
    <w:rsid w:val="004D64E0"/>
    <w:rsid w:val="005120A2"/>
    <w:rsid w:val="0051210D"/>
    <w:rsid w:val="005136D2"/>
    <w:rsid w:val="00517A03"/>
    <w:rsid w:val="005A3DD9"/>
    <w:rsid w:val="005B1DFC"/>
    <w:rsid w:val="00601682"/>
    <w:rsid w:val="00603470"/>
    <w:rsid w:val="00625E79"/>
    <w:rsid w:val="006333F7"/>
    <w:rsid w:val="006427A1"/>
    <w:rsid w:val="00644741"/>
    <w:rsid w:val="00697BC1"/>
    <w:rsid w:val="006A6FFE"/>
    <w:rsid w:val="006C017C"/>
    <w:rsid w:val="006C5A91"/>
    <w:rsid w:val="006F52F7"/>
    <w:rsid w:val="00716BBC"/>
    <w:rsid w:val="007321BC"/>
    <w:rsid w:val="007546B0"/>
    <w:rsid w:val="00760063"/>
    <w:rsid w:val="00775E4B"/>
    <w:rsid w:val="0079553B"/>
    <w:rsid w:val="00795679"/>
    <w:rsid w:val="007A40FE"/>
    <w:rsid w:val="00810105"/>
    <w:rsid w:val="008157E0"/>
    <w:rsid w:val="00850477"/>
    <w:rsid w:val="00854E1D"/>
    <w:rsid w:val="00887FA6"/>
    <w:rsid w:val="008C4397"/>
    <w:rsid w:val="008C465A"/>
    <w:rsid w:val="008F2C9B"/>
    <w:rsid w:val="00923CD6"/>
    <w:rsid w:val="00935AA8"/>
    <w:rsid w:val="00944F78"/>
    <w:rsid w:val="00971C9A"/>
    <w:rsid w:val="009A1987"/>
    <w:rsid w:val="009D51FA"/>
    <w:rsid w:val="009F1E23"/>
    <w:rsid w:val="00A15179"/>
    <w:rsid w:val="00A51537"/>
    <w:rsid w:val="00A5280F"/>
    <w:rsid w:val="00A5645A"/>
    <w:rsid w:val="00A60FC1"/>
    <w:rsid w:val="00A97C37"/>
    <w:rsid w:val="00AA131B"/>
    <w:rsid w:val="00AB2DD9"/>
    <w:rsid w:val="00AC37B5"/>
    <w:rsid w:val="00AC5F27"/>
    <w:rsid w:val="00AD752F"/>
    <w:rsid w:val="00AF08A4"/>
    <w:rsid w:val="00AF0D7D"/>
    <w:rsid w:val="00B27B41"/>
    <w:rsid w:val="00B42659"/>
    <w:rsid w:val="00B46F2D"/>
    <w:rsid w:val="00B60868"/>
    <w:rsid w:val="00B8573E"/>
    <w:rsid w:val="00B97E3D"/>
    <w:rsid w:val="00BB24C0"/>
    <w:rsid w:val="00BD6ECF"/>
    <w:rsid w:val="00BE6A12"/>
    <w:rsid w:val="00C26F2E"/>
    <w:rsid w:val="00C302E3"/>
    <w:rsid w:val="00C41B89"/>
    <w:rsid w:val="00C45376"/>
    <w:rsid w:val="00C9028F"/>
    <w:rsid w:val="00CA0416"/>
    <w:rsid w:val="00CB1125"/>
    <w:rsid w:val="00CB4E80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62CEA"/>
    <w:rsid w:val="00E72AE1"/>
    <w:rsid w:val="00ED6A7A"/>
    <w:rsid w:val="00EE4C36"/>
    <w:rsid w:val="00EF6A23"/>
    <w:rsid w:val="00F346CE"/>
    <w:rsid w:val="00F34F98"/>
    <w:rsid w:val="00F40540"/>
    <w:rsid w:val="00F477A3"/>
    <w:rsid w:val="00F67402"/>
    <w:rsid w:val="00F766A2"/>
    <w:rsid w:val="00F9451D"/>
    <w:rsid w:val="00FB4D9A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64031F"/>
  <w15:docId w15:val="{C0C524F5-3929-45CC-8FD1-E984F510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超级链接,CEO_Hyperlink,超?级链,Style 58,超????,하이퍼링크2,超链接1"/>
    <w:uiPriority w:val="99"/>
    <w:qFormat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7F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07F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ai-calls@itu.in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iforgood.itu.int/ai-readines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dms_pub/itu-t/opb/ai4g/T-AI4G-AI4GOOD-2024-2-PDF-E.pd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ai-calls@itu.int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824F-16C0-45D0-B266-61AC5B6D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PF_TSB_Circular.dotx</Template>
  <TotalTime>39</TotalTime>
  <Pages>2</Pages>
  <Words>855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6146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Braud, Olivia</cp:lastModifiedBy>
  <cp:revision>11</cp:revision>
  <cp:lastPrinted>2025-06-26T14:20:00Z</cp:lastPrinted>
  <dcterms:created xsi:type="dcterms:W3CDTF">2025-03-13T13:54:00Z</dcterms:created>
  <dcterms:modified xsi:type="dcterms:W3CDTF">2025-06-26T14:21:00Z</dcterms:modified>
</cp:coreProperties>
</file>