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276"/>
        <w:gridCol w:w="3402"/>
        <w:gridCol w:w="3119"/>
        <w:gridCol w:w="1984"/>
      </w:tblGrid>
      <w:tr w:rsidR="00FA46A0" w14:paraId="4557A839" w14:textId="77777777">
        <w:trPr>
          <w:trHeight w:val="1282"/>
        </w:trPr>
        <w:tc>
          <w:tcPr>
            <w:tcW w:w="1276" w:type="dxa"/>
            <w:shd w:val="clear" w:color="auto" w:fill="auto"/>
            <w:tcMar>
              <w:left w:w="0" w:type="dxa"/>
              <w:right w:w="0" w:type="dxa"/>
            </w:tcMar>
            <w:vAlign w:val="center"/>
          </w:tcPr>
          <w:p w14:paraId="53D39E6B" w14:textId="77777777" w:rsidR="00FA46A0" w:rsidRDefault="009747C5">
            <w:pPr>
              <w:pStyle w:val="Tabletext"/>
              <w:jc w:val="center"/>
            </w:pPr>
            <w:r>
              <w:rPr>
                <w:noProof/>
                <w:lang w:val="en-US" w:eastAsia="zh-CN"/>
              </w:rPr>
              <w:drawing>
                <wp:inline distT="0" distB="0" distL="0" distR="0" wp14:anchorId="52839729" wp14:editId="1D4ADF4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78715AD7" w14:textId="77777777" w:rsidR="00FA46A0" w:rsidRDefault="00B61012">
            <w:pPr>
              <w:spacing w:before="0"/>
              <w:rPr>
                <w:rFonts w:cs="Times New Roman Bold"/>
                <w:b/>
                <w:bCs/>
                <w:smallCaps/>
                <w:sz w:val="26"/>
                <w:szCs w:val="26"/>
              </w:rPr>
            </w:pPr>
            <w:r>
              <w:rPr>
                <w:rFonts w:cs="Times New Roman Bold"/>
                <w:b/>
                <w:bCs/>
                <w:smallCaps/>
                <w:sz w:val="36"/>
                <w:szCs w:val="36"/>
              </w:rPr>
              <w:t>International telecommunication union</w:t>
            </w:r>
          </w:p>
          <w:p w14:paraId="2FB6E07E" w14:textId="77777777" w:rsidR="00FA46A0" w:rsidRDefault="00B61012">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shd w:val="clear" w:color="auto" w:fill="auto"/>
            <w:vAlign w:val="center"/>
          </w:tcPr>
          <w:p w14:paraId="15CF1B51" w14:textId="77777777" w:rsidR="00FA46A0" w:rsidRDefault="00FA46A0">
            <w:pPr>
              <w:spacing w:before="0"/>
              <w:jc w:val="right"/>
              <w:rPr>
                <w:rFonts w:ascii="Verdana" w:hAnsi="Verdana"/>
                <w:color w:val="FFFFFF"/>
                <w:sz w:val="26"/>
                <w:szCs w:val="26"/>
              </w:rPr>
            </w:pPr>
          </w:p>
        </w:tc>
      </w:tr>
      <w:tr w:rsidR="00FA46A0" w:rsidRPr="00F539DD" w14:paraId="2222A766" w14:textId="77777777" w:rsidTr="00534857">
        <w:trPr>
          <w:cantSplit/>
          <w:trHeight w:val="80"/>
        </w:trPr>
        <w:tc>
          <w:tcPr>
            <w:tcW w:w="4678" w:type="dxa"/>
            <w:gridSpan w:val="2"/>
            <w:shd w:val="clear" w:color="auto" w:fill="auto"/>
            <w:vAlign w:val="center"/>
          </w:tcPr>
          <w:p w14:paraId="4EDD7C95" w14:textId="77777777" w:rsidR="00FA46A0" w:rsidRPr="00F539DD" w:rsidRDefault="00FA46A0">
            <w:pPr>
              <w:pStyle w:val="Tabletext"/>
              <w:jc w:val="right"/>
              <w:rPr>
                <w:sz w:val="22"/>
                <w:szCs w:val="22"/>
              </w:rPr>
            </w:pPr>
          </w:p>
        </w:tc>
        <w:tc>
          <w:tcPr>
            <w:tcW w:w="5103" w:type="dxa"/>
            <w:gridSpan w:val="2"/>
            <w:shd w:val="clear" w:color="auto" w:fill="auto"/>
            <w:vAlign w:val="center"/>
          </w:tcPr>
          <w:p w14:paraId="22012CDC" w14:textId="7DF75BAD" w:rsidR="00FA46A0" w:rsidRPr="00F539DD" w:rsidRDefault="00B61012" w:rsidP="00F539DD">
            <w:pPr>
              <w:pStyle w:val="Tabletext"/>
              <w:spacing w:before="120" w:after="120"/>
              <w:ind w:left="-108"/>
              <w:rPr>
                <w:sz w:val="22"/>
                <w:szCs w:val="22"/>
                <w:lang w:eastAsia="zh-CN"/>
              </w:rPr>
            </w:pPr>
            <w:r w:rsidRPr="00F539DD">
              <w:rPr>
                <w:sz w:val="22"/>
                <w:szCs w:val="22"/>
              </w:rPr>
              <w:t>Geneva</w:t>
            </w:r>
            <w:r w:rsidR="00534857" w:rsidRPr="00F539DD">
              <w:rPr>
                <w:sz w:val="22"/>
                <w:szCs w:val="22"/>
              </w:rPr>
              <w:t xml:space="preserve">, </w:t>
            </w:r>
            <w:r w:rsidR="00A85415">
              <w:rPr>
                <w:rFonts w:hint="eastAsia"/>
                <w:sz w:val="22"/>
                <w:szCs w:val="22"/>
                <w:lang w:eastAsia="zh-CN"/>
              </w:rPr>
              <w:t>1</w:t>
            </w:r>
            <w:r w:rsidR="00083AD2">
              <w:rPr>
                <w:sz w:val="22"/>
                <w:szCs w:val="22"/>
                <w:lang w:eastAsia="zh-CN"/>
              </w:rPr>
              <w:t>2</w:t>
            </w:r>
            <w:r w:rsidR="00534857" w:rsidRPr="00F539DD">
              <w:rPr>
                <w:sz w:val="22"/>
                <w:szCs w:val="22"/>
              </w:rPr>
              <w:t xml:space="preserve"> </w:t>
            </w:r>
            <w:r w:rsidR="00A85415">
              <w:rPr>
                <w:rFonts w:hint="eastAsia"/>
                <w:sz w:val="22"/>
                <w:szCs w:val="22"/>
                <w:lang w:val="en-US" w:eastAsia="zh-CN"/>
              </w:rPr>
              <w:t>March</w:t>
            </w:r>
            <w:r w:rsidR="006F03A0">
              <w:rPr>
                <w:sz w:val="22"/>
                <w:szCs w:val="22"/>
                <w:lang w:val="en-US" w:eastAsia="zh-CN"/>
              </w:rPr>
              <w:t xml:space="preserve"> </w:t>
            </w:r>
            <w:r w:rsidR="00534857" w:rsidRPr="00F539DD">
              <w:rPr>
                <w:rFonts w:hint="eastAsia"/>
                <w:sz w:val="22"/>
                <w:szCs w:val="22"/>
                <w:lang w:eastAsia="zh-CN"/>
              </w:rPr>
              <w:t>2</w:t>
            </w:r>
            <w:r w:rsidR="00534857" w:rsidRPr="00F539DD">
              <w:rPr>
                <w:sz w:val="22"/>
                <w:szCs w:val="22"/>
              </w:rPr>
              <w:t>02</w:t>
            </w:r>
            <w:r w:rsidR="00A85415">
              <w:rPr>
                <w:rFonts w:hint="eastAsia"/>
                <w:sz w:val="22"/>
                <w:szCs w:val="22"/>
                <w:lang w:eastAsia="zh-CN"/>
              </w:rPr>
              <w:t>5</w:t>
            </w:r>
          </w:p>
        </w:tc>
      </w:tr>
      <w:tr w:rsidR="00FA46A0" w:rsidRPr="00F539DD" w14:paraId="2F8A1B93" w14:textId="77777777" w:rsidTr="00F539DD">
        <w:trPr>
          <w:cantSplit/>
          <w:trHeight w:val="746"/>
        </w:trPr>
        <w:tc>
          <w:tcPr>
            <w:tcW w:w="1276" w:type="dxa"/>
          </w:tcPr>
          <w:p w14:paraId="42F3024B" w14:textId="77777777" w:rsidR="00F539DD" w:rsidRPr="00F539DD" w:rsidRDefault="00B61012" w:rsidP="00F539DD">
            <w:pPr>
              <w:pStyle w:val="Tabletext"/>
              <w:ind w:left="-105"/>
              <w:rPr>
                <w:b/>
                <w:sz w:val="22"/>
                <w:szCs w:val="22"/>
              </w:rPr>
            </w:pPr>
            <w:r w:rsidRPr="00F539DD">
              <w:rPr>
                <w:b/>
                <w:sz w:val="22"/>
                <w:szCs w:val="22"/>
              </w:rPr>
              <w:t>Ref:</w:t>
            </w:r>
          </w:p>
          <w:p w14:paraId="7D758B2E" w14:textId="77777777" w:rsidR="00F539DD" w:rsidRPr="00F539DD" w:rsidRDefault="00F539DD" w:rsidP="00F539DD">
            <w:pPr>
              <w:pStyle w:val="Tabletext"/>
              <w:ind w:left="-105"/>
              <w:rPr>
                <w:b/>
                <w:sz w:val="22"/>
                <w:szCs w:val="22"/>
              </w:rPr>
            </w:pPr>
          </w:p>
          <w:p w14:paraId="267CC5BA" w14:textId="7FABD0C8" w:rsidR="00FA46A0" w:rsidRPr="00F539DD" w:rsidRDefault="00534857" w:rsidP="00F539DD">
            <w:pPr>
              <w:pStyle w:val="Tabletext"/>
              <w:ind w:left="-105"/>
              <w:rPr>
                <w:sz w:val="22"/>
                <w:szCs w:val="22"/>
              </w:rPr>
            </w:pPr>
            <w:r w:rsidRPr="00F539DD">
              <w:rPr>
                <w:b/>
                <w:sz w:val="22"/>
                <w:szCs w:val="22"/>
              </w:rPr>
              <w:t xml:space="preserve">Contact: </w:t>
            </w:r>
          </w:p>
        </w:tc>
        <w:tc>
          <w:tcPr>
            <w:tcW w:w="3402" w:type="dxa"/>
          </w:tcPr>
          <w:p w14:paraId="4332AD0B" w14:textId="6B5C779C" w:rsidR="00F539DD" w:rsidRPr="00F539DD" w:rsidRDefault="00B61012" w:rsidP="00FC1C19">
            <w:pPr>
              <w:pStyle w:val="Tabletext"/>
              <w:rPr>
                <w:b/>
                <w:bCs/>
                <w:sz w:val="22"/>
                <w:szCs w:val="22"/>
              </w:rPr>
            </w:pPr>
            <w:r w:rsidRPr="00F539DD">
              <w:rPr>
                <w:b/>
                <w:bCs/>
                <w:sz w:val="22"/>
                <w:szCs w:val="22"/>
              </w:rPr>
              <w:t xml:space="preserve">TSB Circular </w:t>
            </w:r>
            <w:r w:rsidR="007E2AFB" w:rsidRPr="007E2AFB">
              <w:rPr>
                <w:b/>
                <w:bCs/>
                <w:sz w:val="22"/>
                <w:szCs w:val="22"/>
                <w:lang w:eastAsia="zh-CN"/>
              </w:rPr>
              <w:t>36</w:t>
            </w:r>
            <w:r w:rsidR="00534857" w:rsidRPr="00F539DD">
              <w:rPr>
                <w:b/>
                <w:bCs/>
                <w:sz w:val="22"/>
                <w:szCs w:val="22"/>
              </w:rPr>
              <w:br/>
            </w:r>
            <w:r w:rsidR="00534857" w:rsidRPr="00F539DD">
              <w:rPr>
                <w:sz w:val="22"/>
                <w:szCs w:val="22"/>
              </w:rPr>
              <w:t>TSB Events / FW</w:t>
            </w:r>
          </w:p>
          <w:p w14:paraId="1BBA49F6" w14:textId="7C8631D5" w:rsidR="00FA46A0" w:rsidRPr="00F539DD" w:rsidRDefault="00534857" w:rsidP="00FC1C19">
            <w:pPr>
              <w:pStyle w:val="Tabletext"/>
              <w:rPr>
                <w:b/>
                <w:bCs/>
                <w:sz w:val="22"/>
                <w:szCs w:val="22"/>
              </w:rPr>
            </w:pPr>
            <w:r w:rsidRPr="00F539DD">
              <w:rPr>
                <w:b/>
                <w:bCs/>
                <w:sz w:val="22"/>
                <w:szCs w:val="22"/>
              </w:rPr>
              <w:t>Fred Werner</w:t>
            </w:r>
          </w:p>
        </w:tc>
        <w:tc>
          <w:tcPr>
            <w:tcW w:w="5103" w:type="dxa"/>
            <w:gridSpan w:val="2"/>
            <w:vMerge w:val="restart"/>
          </w:tcPr>
          <w:p w14:paraId="54B43097" w14:textId="77777777" w:rsidR="00FF5729" w:rsidRPr="00F539DD" w:rsidRDefault="00B61012" w:rsidP="00FF5729">
            <w:pPr>
              <w:tabs>
                <w:tab w:val="clear" w:pos="794"/>
                <w:tab w:val="clear" w:pos="1191"/>
                <w:tab w:val="clear" w:pos="1588"/>
                <w:tab w:val="clear" w:pos="1985"/>
                <w:tab w:val="left" w:pos="241"/>
              </w:tabs>
              <w:spacing w:before="0"/>
              <w:ind w:left="283" w:hanging="391"/>
              <w:rPr>
                <w:sz w:val="22"/>
                <w:szCs w:val="22"/>
              </w:rPr>
            </w:pPr>
            <w:r w:rsidRPr="00F539DD">
              <w:rPr>
                <w:b/>
                <w:sz w:val="22"/>
                <w:szCs w:val="22"/>
              </w:rPr>
              <w:t>To:</w:t>
            </w:r>
          </w:p>
          <w:p w14:paraId="481065D7" w14:textId="51C4F894" w:rsidR="002B4CD6" w:rsidRDefault="002B4CD6" w:rsidP="00F539DD">
            <w:pPr>
              <w:tabs>
                <w:tab w:val="clear" w:pos="794"/>
                <w:tab w:val="clear" w:pos="1191"/>
                <w:tab w:val="clear" w:pos="1588"/>
                <w:tab w:val="clear" w:pos="1985"/>
              </w:tabs>
              <w:spacing w:before="0"/>
              <w:ind w:left="283" w:hanging="391"/>
              <w:rPr>
                <w:sz w:val="22"/>
                <w:szCs w:val="22"/>
              </w:rPr>
            </w:pPr>
            <w:r w:rsidRPr="00F539DD">
              <w:rPr>
                <w:sz w:val="22"/>
                <w:szCs w:val="22"/>
              </w:rPr>
              <w:t>-</w:t>
            </w:r>
            <w:r w:rsidRPr="00F539DD">
              <w:rPr>
                <w:sz w:val="22"/>
                <w:szCs w:val="22"/>
              </w:rPr>
              <w:tab/>
              <w:t>ITU Member States</w:t>
            </w:r>
            <w:r w:rsidR="00F539DD">
              <w:rPr>
                <w:sz w:val="22"/>
                <w:szCs w:val="22"/>
              </w:rPr>
              <w:t>;</w:t>
            </w:r>
          </w:p>
          <w:p w14:paraId="2331E80A" w14:textId="62F5CF95" w:rsidR="007E2AFB" w:rsidRPr="00F539DD" w:rsidRDefault="00AB20DB" w:rsidP="00F539DD">
            <w:pPr>
              <w:tabs>
                <w:tab w:val="clear" w:pos="794"/>
                <w:tab w:val="clear" w:pos="1191"/>
                <w:tab w:val="clear" w:pos="1588"/>
                <w:tab w:val="clear" w:pos="1985"/>
              </w:tabs>
              <w:spacing w:before="0"/>
              <w:ind w:left="283" w:hanging="391"/>
              <w:rPr>
                <w:sz w:val="22"/>
                <w:szCs w:val="22"/>
                <w:lang w:eastAsia="zh-CN"/>
              </w:rPr>
            </w:pPr>
            <w:r>
              <w:rPr>
                <w:sz w:val="22"/>
                <w:szCs w:val="22"/>
                <w:lang w:eastAsia="zh-CN"/>
              </w:rPr>
              <w:t>-</w:t>
            </w:r>
            <w:r>
              <w:rPr>
                <w:sz w:val="22"/>
                <w:szCs w:val="22"/>
                <w:lang w:eastAsia="zh-CN"/>
              </w:rPr>
              <w:tab/>
            </w:r>
            <w:r w:rsidRPr="00AB20DB">
              <w:rPr>
                <w:sz w:val="22"/>
                <w:szCs w:val="22"/>
                <w:lang w:eastAsia="zh-CN"/>
              </w:rPr>
              <w:t>The State of Palestine (Res. 99 (Rev. Dubai, 2018)</w:t>
            </w:r>
          </w:p>
          <w:p w14:paraId="705E0996" w14:textId="0DD9B8F3" w:rsidR="00560CAE" w:rsidRPr="00F539DD" w:rsidRDefault="002B4CD6" w:rsidP="00560CAE">
            <w:pPr>
              <w:tabs>
                <w:tab w:val="clear" w:pos="794"/>
                <w:tab w:val="clear" w:pos="1191"/>
                <w:tab w:val="clear" w:pos="1588"/>
                <w:tab w:val="clear" w:pos="1985"/>
              </w:tabs>
              <w:spacing w:before="0"/>
              <w:ind w:left="283" w:hanging="391"/>
              <w:rPr>
                <w:sz w:val="22"/>
                <w:szCs w:val="22"/>
              </w:rPr>
            </w:pPr>
            <w:r w:rsidRPr="00F539DD">
              <w:rPr>
                <w:sz w:val="22"/>
                <w:szCs w:val="22"/>
              </w:rPr>
              <w:t>-</w:t>
            </w:r>
            <w:r w:rsidRPr="00F539DD">
              <w:rPr>
                <w:sz w:val="22"/>
                <w:szCs w:val="22"/>
              </w:rPr>
              <w:tab/>
              <w:t>ITU Sector Members</w:t>
            </w:r>
            <w:r w:rsidR="00F539DD">
              <w:rPr>
                <w:sz w:val="22"/>
                <w:szCs w:val="22"/>
              </w:rPr>
              <w:t>;</w:t>
            </w:r>
          </w:p>
          <w:p w14:paraId="351394C3" w14:textId="51D14188" w:rsidR="002B4CD6" w:rsidRPr="00F539DD" w:rsidRDefault="002B4CD6" w:rsidP="00F539DD">
            <w:pPr>
              <w:tabs>
                <w:tab w:val="clear" w:pos="794"/>
                <w:tab w:val="clear" w:pos="1191"/>
                <w:tab w:val="clear" w:pos="1588"/>
                <w:tab w:val="clear" w:pos="1985"/>
              </w:tabs>
              <w:spacing w:before="0"/>
              <w:ind w:left="283" w:hanging="391"/>
              <w:rPr>
                <w:sz w:val="22"/>
                <w:szCs w:val="22"/>
              </w:rPr>
            </w:pPr>
            <w:r w:rsidRPr="00F539DD">
              <w:rPr>
                <w:sz w:val="22"/>
                <w:szCs w:val="22"/>
              </w:rPr>
              <w:t>-</w:t>
            </w:r>
            <w:r w:rsidRPr="00F539DD">
              <w:rPr>
                <w:sz w:val="22"/>
                <w:szCs w:val="22"/>
              </w:rPr>
              <w:tab/>
              <w:t>ITU Associates and Academia</w:t>
            </w:r>
            <w:r w:rsidR="00F539DD">
              <w:rPr>
                <w:sz w:val="22"/>
                <w:szCs w:val="22"/>
              </w:rPr>
              <w:t>;</w:t>
            </w:r>
          </w:p>
          <w:p w14:paraId="4B3EBB41" w14:textId="654A6CDC" w:rsidR="002B4CD6" w:rsidRPr="00F539DD" w:rsidRDefault="002B4CD6" w:rsidP="00F539DD">
            <w:pPr>
              <w:tabs>
                <w:tab w:val="clear" w:pos="794"/>
                <w:tab w:val="clear" w:pos="1191"/>
                <w:tab w:val="clear" w:pos="1588"/>
                <w:tab w:val="clear" w:pos="1985"/>
              </w:tabs>
              <w:spacing w:before="0"/>
              <w:ind w:left="283" w:hanging="391"/>
              <w:rPr>
                <w:sz w:val="22"/>
                <w:szCs w:val="22"/>
              </w:rPr>
            </w:pPr>
            <w:r w:rsidRPr="00F539DD">
              <w:rPr>
                <w:sz w:val="22"/>
                <w:szCs w:val="22"/>
              </w:rPr>
              <w:t>-</w:t>
            </w:r>
            <w:r w:rsidRPr="00F539DD">
              <w:rPr>
                <w:sz w:val="22"/>
                <w:szCs w:val="22"/>
              </w:rPr>
              <w:tab/>
              <w:t>Permanent Missions and Embassies in Geneva</w:t>
            </w:r>
            <w:r w:rsidR="00F539DD">
              <w:rPr>
                <w:sz w:val="22"/>
                <w:szCs w:val="22"/>
              </w:rPr>
              <w:t>;</w:t>
            </w:r>
          </w:p>
          <w:p w14:paraId="40A29237" w14:textId="77777777" w:rsidR="002B4CD6" w:rsidRPr="00F539DD" w:rsidRDefault="002B4CD6" w:rsidP="00F539DD">
            <w:pPr>
              <w:tabs>
                <w:tab w:val="clear" w:pos="794"/>
                <w:tab w:val="clear" w:pos="1191"/>
                <w:tab w:val="clear" w:pos="1588"/>
                <w:tab w:val="clear" w:pos="1985"/>
              </w:tabs>
              <w:spacing w:before="0"/>
              <w:ind w:left="283" w:hanging="391"/>
              <w:rPr>
                <w:sz w:val="22"/>
                <w:szCs w:val="22"/>
              </w:rPr>
            </w:pPr>
            <w:r w:rsidRPr="00F539DD">
              <w:rPr>
                <w:sz w:val="22"/>
                <w:szCs w:val="22"/>
              </w:rPr>
              <w:t>-</w:t>
            </w:r>
            <w:r w:rsidRPr="00F539DD">
              <w:rPr>
                <w:sz w:val="22"/>
                <w:szCs w:val="22"/>
              </w:rPr>
              <w:tab/>
              <w:t>Relevant international, regional and</w:t>
            </w:r>
          </w:p>
          <w:p w14:paraId="37D02D82" w14:textId="733F1F5E" w:rsidR="002B4CD6" w:rsidRPr="00F539DD" w:rsidRDefault="002B4CD6" w:rsidP="00F539DD">
            <w:pPr>
              <w:tabs>
                <w:tab w:val="clear" w:pos="794"/>
                <w:tab w:val="clear" w:pos="1191"/>
                <w:tab w:val="clear" w:pos="1588"/>
                <w:tab w:val="clear" w:pos="1985"/>
              </w:tabs>
              <w:spacing w:before="0"/>
              <w:ind w:left="283" w:hanging="391"/>
              <w:rPr>
                <w:sz w:val="22"/>
                <w:szCs w:val="22"/>
              </w:rPr>
            </w:pPr>
            <w:r w:rsidRPr="00F539DD">
              <w:rPr>
                <w:sz w:val="22"/>
                <w:szCs w:val="22"/>
              </w:rPr>
              <w:tab/>
              <w:t>national organisations</w:t>
            </w:r>
            <w:r w:rsidR="00F539DD">
              <w:rPr>
                <w:sz w:val="22"/>
                <w:szCs w:val="22"/>
              </w:rPr>
              <w:t>;</w:t>
            </w:r>
          </w:p>
          <w:p w14:paraId="486EB2C9" w14:textId="6E95469F" w:rsidR="002B4CD6" w:rsidRPr="00F539DD" w:rsidRDefault="002B4CD6" w:rsidP="00F539DD">
            <w:pPr>
              <w:tabs>
                <w:tab w:val="clear" w:pos="794"/>
                <w:tab w:val="clear" w:pos="1191"/>
                <w:tab w:val="clear" w:pos="1588"/>
                <w:tab w:val="clear" w:pos="1985"/>
              </w:tabs>
              <w:spacing w:before="0"/>
              <w:ind w:left="283" w:hanging="391"/>
              <w:rPr>
                <w:sz w:val="22"/>
                <w:szCs w:val="22"/>
              </w:rPr>
            </w:pPr>
            <w:r w:rsidRPr="00F539DD">
              <w:rPr>
                <w:sz w:val="22"/>
                <w:szCs w:val="22"/>
              </w:rPr>
              <w:t>-</w:t>
            </w:r>
            <w:r w:rsidRPr="00F539DD">
              <w:rPr>
                <w:sz w:val="22"/>
                <w:szCs w:val="22"/>
              </w:rPr>
              <w:tab/>
              <w:t>Intergovernmental organizations operating satellite systems</w:t>
            </w:r>
            <w:r w:rsidR="00BB1DC4">
              <w:rPr>
                <w:sz w:val="22"/>
                <w:szCs w:val="22"/>
              </w:rPr>
              <w:t>;</w:t>
            </w:r>
          </w:p>
          <w:p w14:paraId="59CDABB3" w14:textId="6FC34615" w:rsidR="002B4CD6" w:rsidRPr="00F539DD" w:rsidRDefault="002B4CD6" w:rsidP="00F539DD">
            <w:pPr>
              <w:tabs>
                <w:tab w:val="clear" w:pos="794"/>
                <w:tab w:val="clear" w:pos="1191"/>
                <w:tab w:val="clear" w:pos="1588"/>
                <w:tab w:val="clear" w:pos="1985"/>
              </w:tabs>
              <w:spacing w:before="0"/>
              <w:ind w:left="283" w:hanging="391"/>
              <w:rPr>
                <w:sz w:val="22"/>
                <w:szCs w:val="22"/>
              </w:rPr>
            </w:pPr>
            <w:r w:rsidRPr="00F539DD">
              <w:rPr>
                <w:sz w:val="22"/>
                <w:szCs w:val="22"/>
              </w:rPr>
              <w:t>-</w:t>
            </w:r>
            <w:r w:rsidRPr="00F539DD">
              <w:rPr>
                <w:sz w:val="22"/>
                <w:szCs w:val="22"/>
              </w:rPr>
              <w:tab/>
              <w:t>The United Nations</w:t>
            </w:r>
            <w:r w:rsidR="00BB1DC4">
              <w:rPr>
                <w:sz w:val="22"/>
                <w:szCs w:val="22"/>
              </w:rPr>
              <w:t>;</w:t>
            </w:r>
          </w:p>
          <w:p w14:paraId="4986E90C" w14:textId="77777777" w:rsidR="00FA46A0" w:rsidRDefault="002B4CD6" w:rsidP="00F539DD">
            <w:pPr>
              <w:tabs>
                <w:tab w:val="clear" w:pos="794"/>
                <w:tab w:val="clear" w:pos="1191"/>
                <w:tab w:val="clear" w:pos="1588"/>
                <w:tab w:val="clear" w:pos="1985"/>
              </w:tabs>
              <w:spacing w:before="0"/>
              <w:ind w:left="283" w:hanging="391"/>
              <w:rPr>
                <w:sz w:val="22"/>
                <w:szCs w:val="22"/>
              </w:rPr>
            </w:pPr>
            <w:r w:rsidRPr="00F539DD">
              <w:rPr>
                <w:sz w:val="22"/>
                <w:szCs w:val="22"/>
              </w:rPr>
              <w:t>-</w:t>
            </w:r>
            <w:r w:rsidRPr="00F539DD">
              <w:rPr>
                <w:sz w:val="22"/>
                <w:szCs w:val="22"/>
              </w:rPr>
              <w:tab/>
              <w:t>Specialized agencies of the United Nations and the International Atomic Energy Agency</w:t>
            </w:r>
          </w:p>
          <w:p w14:paraId="617062C5" w14:textId="0A2551CC" w:rsidR="00560CAE" w:rsidRPr="00F539DD" w:rsidRDefault="00560CAE" w:rsidP="00F539DD">
            <w:pPr>
              <w:tabs>
                <w:tab w:val="clear" w:pos="794"/>
                <w:tab w:val="clear" w:pos="1191"/>
                <w:tab w:val="clear" w:pos="1588"/>
                <w:tab w:val="clear" w:pos="1985"/>
              </w:tabs>
              <w:spacing w:before="0"/>
              <w:ind w:left="283" w:hanging="391"/>
              <w:rPr>
                <w:sz w:val="22"/>
                <w:szCs w:val="22"/>
              </w:rPr>
            </w:pPr>
          </w:p>
        </w:tc>
      </w:tr>
      <w:tr w:rsidR="00FA46A0" w:rsidRPr="00F539DD" w14:paraId="62D164DD" w14:textId="77777777" w:rsidTr="00F539DD">
        <w:trPr>
          <w:cantSplit/>
          <w:trHeight w:val="221"/>
        </w:trPr>
        <w:tc>
          <w:tcPr>
            <w:tcW w:w="1276" w:type="dxa"/>
          </w:tcPr>
          <w:p w14:paraId="6050A17B" w14:textId="77777777" w:rsidR="00FA46A0" w:rsidRPr="00F539DD" w:rsidRDefault="00B61012" w:rsidP="00F539DD">
            <w:pPr>
              <w:pStyle w:val="Tabletext"/>
              <w:ind w:left="-105"/>
              <w:rPr>
                <w:sz w:val="22"/>
                <w:szCs w:val="22"/>
              </w:rPr>
            </w:pPr>
            <w:r w:rsidRPr="00F539DD">
              <w:rPr>
                <w:b/>
                <w:sz w:val="22"/>
                <w:szCs w:val="22"/>
              </w:rPr>
              <w:t>Tel:</w:t>
            </w:r>
          </w:p>
        </w:tc>
        <w:tc>
          <w:tcPr>
            <w:tcW w:w="3402" w:type="dxa"/>
          </w:tcPr>
          <w:p w14:paraId="104FC5AD" w14:textId="5E640619" w:rsidR="00FA46A0" w:rsidRPr="00F539DD" w:rsidRDefault="00C95BF6" w:rsidP="00C95BF6">
            <w:pPr>
              <w:pStyle w:val="Tabletext"/>
              <w:rPr>
                <w:b/>
                <w:sz w:val="22"/>
                <w:szCs w:val="22"/>
              </w:rPr>
            </w:pPr>
            <w:r w:rsidRPr="00F539DD">
              <w:rPr>
                <w:sz w:val="22"/>
                <w:szCs w:val="22"/>
              </w:rPr>
              <w:t xml:space="preserve">+41 22 730 </w:t>
            </w:r>
            <w:r w:rsidR="00534857" w:rsidRPr="00F539DD">
              <w:rPr>
                <w:sz w:val="22"/>
                <w:szCs w:val="22"/>
              </w:rPr>
              <w:t>5572</w:t>
            </w:r>
          </w:p>
        </w:tc>
        <w:tc>
          <w:tcPr>
            <w:tcW w:w="5103" w:type="dxa"/>
            <w:gridSpan w:val="2"/>
            <w:vMerge/>
          </w:tcPr>
          <w:p w14:paraId="5F5F3717" w14:textId="77777777" w:rsidR="00FA46A0" w:rsidRPr="00F539DD" w:rsidRDefault="00FA46A0" w:rsidP="00FF5729">
            <w:pPr>
              <w:pStyle w:val="Tabletext"/>
              <w:ind w:left="142" w:hanging="391"/>
              <w:rPr>
                <w:sz w:val="22"/>
                <w:szCs w:val="22"/>
              </w:rPr>
            </w:pPr>
          </w:p>
        </w:tc>
      </w:tr>
      <w:tr w:rsidR="00FA46A0" w:rsidRPr="00F539DD" w14:paraId="70E1B2A3" w14:textId="77777777" w:rsidTr="00F539DD">
        <w:trPr>
          <w:cantSplit/>
          <w:trHeight w:val="420"/>
        </w:trPr>
        <w:tc>
          <w:tcPr>
            <w:tcW w:w="1276" w:type="dxa"/>
          </w:tcPr>
          <w:p w14:paraId="43D1D346" w14:textId="77777777" w:rsidR="00BB1DC4" w:rsidRDefault="00B61012" w:rsidP="00F539DD">
            <w:pPr>
              <w:pStyle w:val="Tabletext"/>
              <w:ind w:left="-105"/>
              <w:rPr>
                <w:b/>
                <w:sz w:val="22"/>
                <w:szCs w:val="22"/>
              </w:rPr>
            </w:pPr>
            <w:r w:rsidRPr="00F539DD">
              <w:rPr>
                <w:b/>
                <w:sz w:val="22"/>
                <w:szCs w:val="22"/>
              </w:rPr>
              <w:t>Fax:</w:t>
            </w:r>
          </w:p>
          <w:p w14:paraId="161767A0" w14:textId="63A2F8B9" w:rsidR="00FA46A0" w:rsidRPr="00F539DD" w:rsidRDefault="00534857" w:rsidP="00F539DD">
            <w:pPr>
              <w:pStyle w:val="Tabletext"/>
              <w:ind w:left="-105"/>
              <w:rPr>
                <w:sz w:val="22"/>
                <w:szCs w:val="22"/>
              </w:rPr>
            </w:pPr>
            <w:r w:rsidRPr="00F539DD">
              <w:rPr>
                <w:b/>
                <w:sz w:val="22"/>
                <w:szCs w:val="22"/>
              </w:rPr>
              <w:t>Email:</w:t>
            </w:r>
          </w:p>
        </w:tc>
        <w:tc>
          <w:tcPr>
            <w:tcW w:w="3402" w:type="dxa"/>
          </w:tcPr>
          <w:p w14:paraId="13624057" w14:textId="7A5567DC" w:rsidR="00FA46A0" w:rsidRDefault="00B61012" w:rsidP="00F539DD">
            <w:pPr>
              <w:pStyle w:val="Tabletext"/>
            </w:pPr>
            <w:r w:rsidRPr="00F539DD">
              <w:rPr>
                <w:sz w:val="22"/>
                <w:szCs w:val="22"/>
              </w:rPr>
              <w:t>+41 22 730 5853</w:t>
            </w:r>
            <w:r w:rsidR="00534857" w:rsidRPr="00F539DD">
              <w:rPr>
                <w:sz w:val="22"/>
                <w:szCs w:val="22"/>
              </w:rPr>
              <w:br/>
            </w:r>
            <w:hyperlink r:id="rId9" w:history="1">
              <w:r w:rsidR="00FF2A94" w:rsidRPr="007E2AFB">
                <w:rPr>
                  <w:rStyle w:val="Hyperlink"/>
                  <w:sz w:val="22"/>
                  <w:szCs w:val="22"/>
                </w:rPr>
                <w:t>ai-calls@itu.int</w:t>
              </w:r>
            </w:hyperlink>
          </w:p>
          <w:p w14:paraId="6FF2913C" w14:textId="77777777" w:rsidR="00FF2A94" w:rsidRPr="00F539DD" w:rsidRDefault="00FF2A94" w:rsidP="00F539DD">
            <w:pPr>
              <w:pStyle w:val="Tabletext"/>
              <w:rPr>
                <w:sz w:val="22"/>
                <w:szCs w:val="22"/>
              </w:rPr>
            </w:pPr>
          </w:p>
          <w:p w14:paraId="1AEF29D6" w14:textId="09AD1EA3" w:rsidR="00534857" w:rsidRPr="00F539DD" w:rsidRDefault="00534857">
            <w:pPr>
              <w:pStyle w:val="Tabletext"/>
              <w:rPr>
                <w:b/>
                <w:sz w:val="22"/>
                <w:szCs w:val="22"/>
              </w:rPr>
            </w:pPr>
          </w:p>
        </w:tc>
        <w:tc>
          <w:tcPr>
            <w:tcW w:w="5103" w:type="dxa"/>
            <w:gridSpan w:val="2"/>
            <w:vMerge/>
          </w:tcPr>
          <w:p w14:paraId="6424BFDF" w14:textId="77777777" w:rsidR="00FA46A0" w:rsidRPr="00F539DD" w:rsidRDefault="00FA46A0" w:rsidP="00FF5729">
            <w:pPr>
              <w:pStyle w:val="Tabletext"/>
              <w:ind w:left="142" w:hanging="391"/>
              <w:rPr>
                <w:sz w:val="22"/>
                <w:szCs w:val="22"/>
              </w:rPr>
            </w:pPr>
          </w:p>
        </w:tc>
      </w:tr>
      <w:tr w:rsidR="00FA46A0" w:rsidRPr="00F539DD" w14:paraId="0D151BFC" w14:textId="77777777" w:rsidTr="00BB1DC4">
        <w:trPr>
          <w:cantSplit/>
          <w:trHeight w:val="296"/>
        </w:trPr>
        <w:tc>
          <w:tcPr>
            <w:tcW w:w="1276" w:type="dxa"/>
          </w:tcPr>
          <w:p w14:paraId="403C8005" w14:textId="77777777" w:rsidR="00FA46A0" w:rsidRPr="00F539DD" w:rsidRDefault="00B61012" w:rsidP="00BB1DC4">
            <w:pPr>
              <w:spacing w:before="60"/>
              <w:ind w:left="-108"/>
              <w:rPr>
                <w:sz w:val="22"/>
                <w:szCs w:val="22"/>
              </w:rPr>
            </w:pPr>
            <w:r w:rsidRPr="00F539DD">
              <w:rPr>
                <w:b/>
                <w:bCs/>
                <w:sz w:val="22"/>
                <w:szCs w:val="22"/>
              </w:rPr>
              <w:t>Subject</w:t>
            </w:r>
            <w:r w:rsidRPr="00F539DD">
              <w:rPr>
                <w:sz w:val="22"/>
                <w:szCs w:val="22"/>
              </w:rPr>
              <w:t>:</w:t>
            </w:r>
          </w:p>
        </w:tc>
        <w:tc>
          <w:tcPr>
            <w:tcW w:w="8505" w:type="dxa"/>
            <w:gridSpan w:val="3"/>
          </w:tcPr>
          <w:p w14:paraId="6C0814DC" w14:textId="05AA57DA" w:rsidR="00FA46A0" w:rsidRPr="00F539DD" w:rsidRDefault="00164272" w:rsidP="00BB1DC4">
            <w:pPr>
              <w:spacing w:before="60"/>
              <w:rPr>
                <w:b/>
                <w:color w:val="121512"/>
                <w:sz w:val="22"/>
                <w:szCs w:val="22"/>
              </w:rPr>
            </w:pPr>
            <w:r w:rsidRPr="00164272">
              <w:rPr>
                <w:b/>
                <w:color w:val="121512"/>
                <w:sz w:val="22"/>
                <w:szCs w:val="22"/>
              </w:rPr>
              <w:t>Invitation to Join the ITU Expert Group on Enhancing the AI Readiness Framework</w:t>
            </w:r>
          </w:p>
        </w:tc>
      </w:tr>
      <w:tr w:rsidR="00560CAE" w:rsidRPr="00F539DD" w14:paraId="30CAD7DC" w14:textId="77777777" w:rsidTr="00513223">
        <w:trPr>
          <w:cantSplit/>
          <w:trHeight w:val="296"/>
        </w:trPr>
        <w:tc>
          <w:tcPr>
            <w:tcW w:w="9781" w:type="dxa"/>
            <w:gridSpan w:val="4"/>
          </w:tcPr>
          <w:p w14:paraId="0ED231BD" w14:textId="77777777" w:rsidR="00560CAE" w:rsidRPr="00164272" w:rsidRDefault="00560CAE" w:rsidP="00BB1DC4">
            <w:pPr>
              <w:spacing w:before="60"/>
              <w:rPr>
                <w:b/>
                <w:color w:val="121512"/>
                <w:sz w:val="22"/>
                <w:szCs w:val="22"/>
              </w:rPr>
            </w:pPr>
          </w:p>
        </w:tc>
      </w:tr>
    </w:tbl>
    <w:p w14:paraId="129AD52C" w14:textId="54BFA792" w:rsidR="00FA46A0" w:rsidRPr="00F539DD" w:rsidRDefault="00B61012" w:rsidP="00F539DD">
      <w:pPr>
        <w:rPr>
          <w:sz w:val="22"/>
          <w:szCs w:val="22"/>
        </w:rPr>
      </w:pPr>
      <w:r w:rsidRPr="00F539DD">
        <w:rPr>
          <w:sz w:val="22"/>
          <w:szCs w:val="22"/>
        </w:rPr>
        <w:t>Dear Sir/Madam,</w:t>
      </w:r>
    </w:p>
    <w:p w14:paraId="7184294F" w14:textId="2BF3CA37" w:rsidR="00013376" w:rsidRPr="00013376" w:rsidRDefault="00013376" w:rsidP="00013376">
      <w:pPr>
        <w:spacing w:before="100"/>
        <w:jc w:val="both"/>
        <w:rPr>
          <w:sz w:val="22"/>
          <w:szCs w:val="22"/>
        </w:rPr>
      </w:pPr>
      <w:r>
        <w:rPr>
          <w:rFonts w:hint="eastAsia"/>
          <w:sz w:val="22"/>
          <w:szCs w:val="22"/>
          <w:lang w:eastAsia="zh-CN"/>
        </w:rPr>
        <w:t xml:space="preserve">It is my pleasure </w:t>
      </w:r>
      <w:r w:rsidRPr="00013376">
        <w:rPr>
          <w:sz w:val="22"/>
          <w:szCs w:val="22"/>
        </w:rPr>
        <w:t xml:space="preserve">to invite you to join the Expert Group that the International Telecommunication Union (ITU) is forming as part of our ongoing effort to enhance the </w:t>
      </w:r>
      <w:hyperlink r:id="rId10" w:history="1">
        <w:r w:rsidRPr="00A871DE">
          <w:rPr>
            <w:rStyle w:val="Hyperlink"/>
            <w:sz w:val="22"/>
            <w:szCs w:val="22"/>
          </w:rPr>
          <w:t>ITU AI Readiness Framework</w:t>
        </w:r>
      </w:hyperlink>
      <w:r w:rsidRPr="00013376">
        <w:rPr>
          <w:sz w:val="22"/>
          <w:szCs w:val="22"/>
        </w:rPr>
        <w:t xml:space="preserve">, which was first published in September 2024. The </w:t>
      </w:r>
      <w:r w:rsidR="00560CAE">
        <w:rPr>
          <w:sz w:val="22"/>
          <w:szCs w:val="22"/>
        </w:rPr>
        <w:t>F</w:t>
      </w:r>
      <w:r w:rsidRPr="00013376">
        <w:rPr>
          <w:sz w:val="22"/>
          <w:szCs w:val="22"/>
        </w:rPr>
        <w:t xml:space="preserve">ramework has been a critical tool in assessing AI integration in various domains and offering guidance on key factors for enhancing AI readiness. To ensure its continued relevance and effectiveness, we are now working on a more comprehensive version of the </w:t>
      </w:r>
      <w:r w:rsidR="00560CAE">
        <w:rPr>
          <w:sz w:val="22"/>
          <w:szCs w:val="22"/>
        </w:rPr>
        <w:t>F</w:t>
      </w:r>
      <w:r w:rsidRPr="00013376">
        <w:rPr>
          <w:sz w:val="22"/>
          <w:szCs w:val="22"/>
        </w:rPr>
        <w:t xml:space="preserve">ramework that will incorporate new indicators, with an emphasis on standardization. </w:t>
      </w:r>
    </w:p>
    <w:p w14:paraId="7631B7B4" w14:textId="6262B25C" w:rsidR="00013376" w:rsidRPr="00013376" w:rsidRDefault="00013376" w:rsidP="00013376">
      <w:pPr>
        <w:spacing w:before="100"/>
        <w:rPr>
          <w:sz w:val="22"/>
          <w:szCs w:val="22"/>
        </w:rPr>
      </w:pPr>
      <w:r w:rsidRPr="00013376">
        <w:rPr>
          <w:sz w:val="22"/>
          <w:szCs w:val="22"/>
        </w:rPr>
        <w:t xml:space="preserve">The enhanced ITU AI Readiness Framework aims to provide a comprehensive evaluation of AI development by integrating societal, economic and scientific indicators, allowing member states and entities to assess AI’s impact and address integration challenges while driving AI innovation. By strengthening the focus on AI technology standardization, the </w:t>
      </w:r>
      <w:r w:rsidR="00560CAE">
        <w:rPr>
          <w:sz w:val="22"/>
          <w:szCs w:val="22"/>
        </w:rPr>
        <w:t>F</w:t>
      </w:r>
      <w:r w:rsidRPr="00013376">
        <w:rPr>
          <w:sz w:val="22"/>
          <w:szCs w:val="22"/>
        </w:rPr>
        <w:t xml:space="preserve">ramework will guide the development and adoption of globally recognized best practices, ensuring the responsible deployment of AI technologies. Additionally, </w:t>
      </w:r>
      <w:r w:rsidR="00560CAE">
        <w:rPr>
          <w:sz w:val="22"/>
          <w:szCs w:val="22"/>
        </w:rPr>
        <w:t xml:space="preserve">it </w:t>
      </w:r>
      <w:r w:rsidRPr="00013376">
        <w:rPr>
          <w:sz w:val="22"/>
          <w:szCs w:val="22"/>
        </w:rPr>
        <w:t>will promote global cooperation, adapting to diverse regional contexts through collaboration with domain experts. The inclusion of self-assessment tools will empower member states and entities to independently evaluate their AI readiness, identify gaps in AI infrastructure, standards, policies and facilitate focused capacity building for AI.</w:t>
      </w:r>
    </w:p>
    <w:p w14:paraId="6C6165E8" w14:textId="11A3100D" w:rsidR="00013376" w:rsidRPr="00013376" w:rsidRDefault="00013376" w:rsidP="00013376">
      <w:pPr>
        <w:spacing w:before="100"/>
        <w:rPr>
          <w:sz w:val="22"/>
          <w:szCs w:val="22"/>
        </w:rPr>
      </w:pPr>
      <w:r w:rsidRPr="00013376">
        <w:rPr>
          <w:sz w:val="22"/>
          <w:szCs w:val="22"/>
        </w:rPr>
        <w:t xml:space="preserve">This project is supported by Kingdom of Saudi Arabia and </w:t>
      </w:r>
      <w:r w:rsidR="00560CAE">
        <w:rPr>
          <w:sz w:val="22"/>
          <w:szCs w:val="22"/>
        </w:rPr>
        <w:t xml:space="preserve">the </w:t>
      </w:r>
      <w:r w:rsidRPr="00013376">
        <w:rPr>
          <w:sz w:val="22"/>
          <w:szCs w:val="22"/>
        </w:rPr>
        <w:t>Ministry of Industry and Information Technology (MIIT), People’s Republic of China.</w:t>
      </w:r>
    </w:p>
    <w:p w14:paraId="6F8F5650" w14:textId="77777777" w:rsidR="00013376" w:rsidRPr="0049432B" w:rsidRDefault="00013376" w:rsidP="00013376">
      <w:pPr>
        <w:spacing w:before="100"/>
        <w:rPr>
          <w:b/>
          <w:bCs/>
          <w:sz w:val="22"/>
          <w:szCs w:val="22"/>
        </w:rPr>
      </w:pPr>
      <w:r w:rsidRPr="0049432B">
        <w:rPr>
          <w:b/>
          <w:bCs/>
          <w:sz w:val="22"/>
          <w:szCs w:val="22"/>
        </w:rPr>
        <w:t>Formation of the Expert Group:</w:t>
      </w:r>
    </w:p>
    <w:p w14:paraId="68EF1D97" w14:textId="54ACA030" w:rsidR="00013376" w:rsidRPr="00013376" w:rsidRDefault="00013376" w:rsidP="00013376">
      <w:pPr>
        <w:spacing w:before="100"/>
        <w:rPr>
          <w:sz w:val="22"/>
          <w:szCs w:val="22"/>
        </w:rPr>
      </w:pPr>
      <w:r w:rsidRPr="00013376">
        <w:rPr>
          <w:sz w:val="22"/>
          <w:szCs w:val="22"/>
        </w:rPr>
        <w:t>To support this critical initiative, we are assembling a</w:t>
      </w:r>
      <w:r w:rsidR="00560CAE">
        <w:rPr>
          <w:sz w:val="22"/>
          <w:szCs w:val="22"/>
        </w:rPr>
        <w:t>n</w:t>
      </w:r>
      <w:r w:rsidRPr="00013376">
        <w:rPr>
          <w:sz w:val="22"/>
          <w:szCs w:val="22"/>
        </w:rPr>
        <w:t xml:space="preserve"> Expert Group consisting of professionals and researchers in </w:t>
      </w:r>
      <w:r w:rsidR="00560CAE">
        <w:rPr>
          <w:sz w:val="22"/>
          <w:szCs w:val="22"/>
        </w:rPr>
        <w:t>diverse</w:t>
      </w:r>
      <w:r w:rsidR="00560CAE" w:rsidRPr="00013376">
        <w:rPr>
          <w:sz w:val="22"/>
          <w:szCs w:val="22"/>
        </w:rPr>
        <w:t xml:space="preserve"> </w:t>
      </w:r>
      <w:r w:rsidRPr="00013376">
        <w:rPr>
          <w:sz w:val="22"/>
          <w:szCs w:val="22"/>
        </w:rPr>
        <w:t>domains, including:</w:t>
      </w:r>
    </w:p>
    <w:p w14:paraId="384F24AA" w14:textId="77777777" w:rsidR="00013376" w:rsidRPr="00A721B6" w:rsidRDefault="00013376" w:rsidP="00A721B6">
      <w:pPr>
        <w:pStyle w:val="ListParagraph"/>
        <w:numPr>
          <w:ilvl w:val="0"/>
          <w:numId w:val="18"/>
        </w:numPr>
        <w:spacing w:before="100"/>
        <w:rPr>
          <w:sz w:val="22"/>
          <w:szCs w:val="22"/>
        </w:rPr>
      </w:pPr>
      <w:r w:rsidRPr="00A721B6">
        <w:rPr>
          <w:sz w:val="22"/>
          <w:szCs w:val="22"/>
        </w:rPr>
        <w:t>AI Technology: Experts to provide insights into AI technology, industry and SDGs domains advancements.</w:t>
      </w:r>
    </w:p>
    <w:p w14:paraId="4F3E5C6F" w14:textId="5E458AA3" w:rsidR="00013376" w:rsidRPr="00A721B6" w:rsidRDefault="00013376" w:rsidP="00A721B6">
      <w:pPr>
        <w:pStyle w:val="ListParagraph"/>
        <w:numPr>
          <w:ilvl w:val="0"/>
          <w:numId w:val="18"/>
        </w:numPr>
        <w:spacing w:before="100"/>
        <w:rPr>
          <w:sz w:val="22"/>
          <w:szCs w:val="22"/>
        </w:rPr>
      </w:pPr>
      <w:r w:rsidRPr="00A721B6">
        <w:rPr>
          <w:sz w:val="22"/>
          <w:szCs w:val="22"/>
        </w:rPr>
        <w:t xml:space="preserve">Indicators: </w:t>
      </w:r>
      <w:r w:rsidR="00E3379E" w:rsidRPr="00E3379E">
        <w:rPr>
          <w:sz w:val="22"/>
          <w:szCs w:val="22"/>
        </w:rPr>
        <w:t>Specialists to design measurable indicators and conduct data analysis and visualization that will help countries assess their AI readiness in a holistic, data-driven manner.</w:t>
      </w:r>
    </w:p>
    <w:p w14:paraId="266CDD86" w14:textId="77777777" w:rsidR="00013376" w:rsidRPr="00A721B6" w:rsidRDefault="00013376" w:rsidP="00A721B6">
      <w:pPr>
        <w:pStyle w:val="ListParagraph"/>
        <w:numPr>
          <w:ilvl w:val="0"/>
          <w:numId w:val="18"/>
        </w:numPr>
        <w:spacing w:before="100"/>
        <w:rPr>
          <w:sz w:val="22"/>
          <w:szCs w:val="22"/>
        </w:rPr>
      </w:pPr>
      <w:r w:rsidRPr="00A721B6">
        <w:rPr>
          <w:sz w:val="22"/>
          <w:szCs w:val="22"/>
        </w:rPr>
        <w:t>Economy and Society: Economists to evaluate AI’s economic implications, including growth, innovation, and sustainability. Social scientists to address the societal impacts of AI, such as its influence on education, employment, and social equity.</w:t>
      </w:r>
    </w:p>
    <w:p w14:paraId="397B374B" w14:textId="77777777" w:rsidR="00013376" w:rsidRPr="00A721B6" w:rsidRDefault="00013376" w:rsidP="00A721B6">
      <w:pPr>
        <w:pStyle w:val="ListParagraph"/>
        <w:numPr>
          <w:ilvl w:val="0"/>
          <w:numId w:val="18"/>
        </w:numPr>
        <w:spacing w:before="100"/>
        <w:rPr>
          <w:sz w:val="22"/>
          <w:szCs w:val="22"/>
        </w:rPr>
      </w:pPr>
      <w:r w:rsidRPr="00A721B6">
        <w:rPr>
          <w:sz w:val="22"/>
          <w:szCs w:val="22"/>
        </w:rPr>
        <w:t>Ethics: Specialists in AI ethics to ensure the framework promotes the responsible use of AI, addressing concerns around fairness, transparency, accountability, and bias</w:t>
      </w:r>
    </w:p>
    <w:p w14:paraId="47051B60" w14:textId="77777777" w:rsidR="00013376" w:rsidRPr="00A721B6" w:rsidRDefault="00013376" w:rsidP="00013376">
      <w:pPr>
        <w:spacing w:before="100"/>
        <w:rPr>
          <w:b/>
          <w:bCs/>
          <w:sz w:val="22"/>
          <w:szCs w:val="22"/>
        </w:rPr>
      </w:pPr>
      <w:r w:rsidRPr="00A721B6">
        <w:rPr>
          <w:b/>
          <w:bCs/>
          <w:sz w:val="22"/>
          <w:szCs w:val="22"/>
        </w:rPr>
        <w:lastRenderedPageBreak/>
        <w:t>Key Responsibilities:</w:t>
      </w:r>
    </w:p>
    <w:p w14:paraId="29F817A1" w14:textId="77777777" w:rsidR="00013376" w:rsidRPr="00013376" w:rsidRDefault="00013376" w:rsidP="00013376">
      <w:pPr>
        <w:spacing w:before="100"/>
        <w:rPr>
          <w:sz w:val="22"/>
          <w:szCs w:val="22"/>
        </w:rPr>
      </w:pPr>
      <w:r w:rsidRPr="00013376">
        <w:rPr>
          <w:sz w:val="22"/>
          <w:szCs w:val="22"/>
        </w:rPr>
        <w:t>As a member of the Expert Group, your contributions will be essential in:</w:t>
      </w:r>
    </w:p>
    <w:p w14:paraId="0CCA78E8" w14:textId="7D8A45F3" w:rsidR="00394C41" w:rsidRDefault="00394C41" w:rsidP="00665E81">
      <w:pPr>
        <w:pStyle w:val="ListParagraph"/>
        <w:numPr>
          <w:ilvl w:val="0"/>
          <w:numId w:val="19"/>
        </w:numPr>
        <w:spacing w:before="100"/>
        <w:jc w:val="both"/>
        <w:rPr>
          <w:sz w:val="22"/>
          <w:szCs w:val="22"/>
        </w:rPr>
      </w:pPr>
      <w:r>
        <w:rPr>
          <w:rFonts w:hint="eastAsia"/>
        </w:rPr>
        <w:t>Identifying and evaluation</w:t>
      </w:r>
      <w:r>
        <w:t xml:space="preserve"> of</w:t>
      </w:r>
      <w:r w:rsidR="00C957DC">
        <w:t xml:space="preserve"> </w:t>
      </w:r>
      <w:r w:rsidRPr="00394C41">
        <w:t xml:space="preserve">new </w:t>
      </w:r>
      <w:r w:rsidRPr="00394C41">
        <w:rPr>
          <w:rFonts w:hint="eastAsia"/>
        </w:rPr>
        <w:t xml:space="preserve">indicators and </w:t>
      </w:r>
      <w:r w:rsidRPr="00394C41">
        <w:t>assessment methods</w:t>
      </w:r>
      <w:r>
        <w:rPr>
          <w:rFonts w:hint="eastAsia"/>
          <w:b/>
          <w:bCs/>
        </w:rPr>
        <w:t xml:space="preserve"> </w:t>
      </w:r>
      <w:r>
        <w:t xml:space="preserve">to cover </w:t>
      </w:r>
      <w:r>
        <w:rPr>
          <w:rFonts w:hint="eastAsia"/>
        </w:rPr>
        <w:t>different</w:t>
      </w:r>
      <w:r>
        <w:t xml:space="preserve"> dimensions</w:t>
      </w:r>
    </w:p>
    <w:p w14:paraId="2DAF4897" w14:textId="3CAA666D" w:rsidR="00013376" w:rsidRPr="00665E81" w:rsidRDefault="00013376" w:rsidP="00665E81">
      <w:pPr>
        <w:pStyle w:val="ListParagraph"/>
        <w:numPr>
          <w:ilvl w:val="0"/>
          <w:numId w:val="19"/>
        </w:numPr>
        <w:spacing w:before="100"/>
        <w:jc w:val="both"/>
        <w:rPr>
          <w:sz w:val="22"/>
          <w:szCs w:val="22"/>
        </w:rPr>
      </w:pPr>
      <w:r w:rsidRPr="00665E81">
        <w:rPr>
          <w:sz w:val="22"/>
          <w:szCs w:val="22"/>
        </w:rPr>
        <w:t xml:space="preserve">Participating in online meetings </w:t>
      </w:r>
      <w:r w:rsidR="00560CAE">
        <w:rPr>
          <w:sz w:val="22"/>
          <w:szCs w:val="22"/>
        </w:rPr>
        <w:t xml:space="preserve">every two weeks </w:t>
      </w:r>
      <w:r w:rsidRPr="00665E81">
        <w:rPr>
          <w:sz w:val="22"/>
          <w:szCs w:val="22"/>
        </w:rPr>
        <w:t>and</w:t>
      </w:r>
      <w:r w:rsidR="00560CAE">
        <w:rPr>
          <w:sz w:val="22"/>
          <w:szCs w:val="22"/>
        </w:rPr>
        <w:t xml:space="preserve"> an</w:t>
      </w:r>
      <w:r w:rsidRPr="00665E81">
        <w:rPr>
          <w:sz w:val="22"/>
          <w:szCs w:val="22"/>
        </w:rPr>
        <w:t xml:space="preserve"> in-person meeting during AI for Good Global Summit 2025 to discuss progress and provide guidance.</w:t>
      </w:r>
    </w:p>
    <w:p w14:paraId="39673E6A" w14:textId="77777777" w:rsidR="00013376" w:rsidRPr="00665E81" w:rsidRDefault="00013376" w:rsidP="00665E81">
      <w:pPr>
        <w:pStyle w:val="ListParagraph"/>
        <w:numPr>
          <w:ilvl w:val="0"/>
          <w:numId w:val="19"/>
        </w:numPr>
        <w:spacing w:before="100"/>
        <w:jc w:val="both"/>
        <w:rPr>
          <w:sz w:val="22"/>
          <w:szCs w:val="22"/>
        </w:rPr>
      </w:pPr>
      <w:r w:rsidRPr="00665E81">
        <w:rPr>
          <w:sz w:val="22"/>
          <w:szCs w:val="22"/>
        </w:rPr>
        <w:t>Supporting international collaboration and the standardization efforts by aligning the framework with global benchmarks.</w:t>
      </w:r>
    </w:p>
    <w:p w14:paraId="48D243C5" w14:textId="735B0651" w:rsidR="00013376" w:rsidRPr="00665E81" w:rsidRDefault="00013376" w:rsidP="00665E81">
      <w:pPr>
        <w:pStyle w:val="ListParagraph"/>
        <w:numPr>
          <w:ilvl w:val="0"/>
          <w:numId w:val="19"/>
        </w:numPr>
        <w:spacing w:before="100"/>
        <w:jc w:val="both"/>
        <w:rPr>
          <w:sz w:val="22"/>
          <w:szCs w:val="22"/>
        </w:rPr>
      </w:pPr>
      <w:r w:rsidRPr="00665E81">
        <w:rPr>
          <w:sz w:val="22"/>
          <w:szCs w:val="22"/>
        </w:rPr>
        <w:t xml:space="preserve">Reviewing </w:t>
      </w:r>
      <w:r w:rsidR="00CC7039">
        <w:rPr>
          <w:rFonts w:hint="eastAsia"/>
          <w:sz w:val="22"/>
          <w:szCs w:val="22"/>
          <w:lang w:eastAsia="zh-CN"/>
        </w:rPr>
        <w:t xml:space="preserve">and refining </w:t>
      </w:r>
      <w:r w:rsidRPr="00665E81">
        <w:rPr>
          <w:sz w:val="22"/>
          <w:szCs w:val="22"/>
        </w:rPr>
        <w:t>the AI Readiness Framework Report and helping to refine the framework based on global perspectives.</w:t>
      </w:r>
    </w:p>
    <w:p w14:paraId="457EBF8C" w14:textId="2BD91286" w:rsidR="00013376" w:rsidRPr="00665E81" w:rsidRDefault="00013376" w:rsidP="00665E81">
      <w:pPr>
        <w:pStyle w:val="ListParagraph"/>
        <w:numPr>
          <w:ilvl w:val="0"/>
          <w:numId w:val="19"/>
        </w:numPr>
        <w:spacing w:before="100"/>
        <w:jc w:val="both"/>
        <w:rPr>
          <w:sz w:val="22"/>
          <w:szCs w:val="22"/>
        </w:rPr>
      </w:pPr>
      <w:r w:rsidRPr="00665E81">
        <w:rPr>
          <w:sz w:val="22"/>
          <w:szCs w:val="22"/>
        </w:rPr>
        <w:t>By contributing to this project, the E</w:t>
      </w:r>
      <w:r w:rsidR="00560CAE">
        <w:rPr>
          <w:sz w:val="22"/>
          <w:szCs w:val="22"/>
        </w:rPr>
        <w:t xml:space="preserve">xpert </w:t>
      </w:r>
      <w:r w:rsidRPr="00665E81">
        <w:rPr>
          <w:sz w:val="22"/>
          <w:szCs w:val="22"/>
        </w:rPr>
        <w:t>G</w:t>
      </w:r>
      <w:r w:rsidR="00560CAE">
        <w:rPr>
          <w:sz w:val="22"/>
          <w:szCs w:val="22"/>
        </w:rPr>
        <w:t>roup</w:t>
      </w:r>
      <w:r w:rsidRPr="00665E81">
        <w:rPr>
          <w:sz w:val="22"/>
          <w:szCs w:val="22"/>
        </w:rPr>
        <w:t xml:space="preserve"> will play a key role in shaping the future of AI readiness globally, helping member states and entities assess and enhance their AI capabilities responsibly and effectively.</w:t>
      </w:r>
    </w:p>
    <w:p w14:paraId="20230331" w14:textId="34239493" w:rsidR="00013376" w:rsidRPr="00013376" w:rsidRDefault="00560CAE" w:rsidP="00665E81">
      <w:pPr>
        <w:spacing w:before="100"/>
        <w:jc w:val="both"/>
        <w:rPr>
          <w:sz w:val="22"/>
          <w:szCs w:val="22"/>
        </w:rPr>
      </w:pPr>
      <w:r>
        <w:rPr>
          <w:sz w:val="22"/>
          <w:szCs w:val="22"/>
        </w:rPr>
        <w:t>I</w:t>
      </w:r>
      <w:r w:rsidR="00013376" w:rsidRPr="00013376">
        <w:rPr>
          <w:sz w:val="22"/>
          <w:szCs w:val="22"/>
        </w:rPr>
        <w:t xml:space="preserve"> invite you to join this important project by expressing your interest in participating in the Expert Group by April 15. </w:t>
      </w:r>
      <w:r>
        <w:rPr>
          <w:sz w:val="22"/>
          <w:szCs w:val="22"/>
        </w:rPr>
        <w:t>Please u</w:t>
      </w:r>
      <w:r w:rsidR="00013376" w:rsidRPr="00013376">
        <w:rPr>
          <w:sz w:val="22"/>
          <w:szCs w:val="22"/>
        </w:rPr>
        <w:t xml:space="preserve">se the form </w:t>
      </w:r>
      <w:r>
        <w:rPr>
          <w:sz w:val="22"/>
          <w:szCs w:val="22"/>
        </w:rPr>
        <w:t>provided</w:t>
      </w:r>
      <w:r w:rsidR="00013376" w:rsidRPr="00013376">
        <w:rPr>
          <w:sz w:val="22"/>
          <w:szCs w:val="22"/>
        </w:rPr>
        <w:t xml:space="preserve"> </w:t>
      </w:r>
      <w:hyperlink r:id="rId11" w:history="1">
        <w:r w:rsidR="00013376" w:rsidRPr="007D3D95">
          <w:rPr>
            <w:rStyle w:val="Hyperlink"/>
            <w:sz w:val="22"/>
            <w:szCs w:val="22"/>
          </w:rPr>
          <w:t>here</w:t>
        </w:r>
      </w:hyperlink>
      <w:r w:rsidR="00013376" w:rsidRPr="00013376">
        <w:rPr>
          <w:sz w:val="22"/>
          <w:szCs w:val="22"/>
        </w:rPr>
        <w:t xml:space="preserve"> to submit</w:t>
      </w:r>
      <w:r>
        <w:rPr>
          <w:sz w:val="22"/>
          <w:szCs w:val="22"/>
        </w:rPr>
        <w:t xml:space="preserve"> your application</w:t>
      </w:r>
      <w:r w:rsidR="00013376" w:rsidRPr="00013376">
        <w:rPr>
          <w:sz w:val="22"/>
          <w:szCs w:val="22"/>
        </w:rPr>
        <w:t xml:space="preserve">. </w:t>
      </w:r>
      <w:r>
        <w:rPr>
          <w:sz w:val="22"/>
          <w:szCs w:val="22"/>
        </w:rPr>
        <w:t>O</w:t>
      </w:r>
      <w:r w:rsidR="00013376" w:rsidRPr="00013376">
        <w:rPr>
          <w:sz w:val="22"/>
          <w:szCs w:val="22"/>
        </w:rPr>
        <w:t>nly online submissions</w:t>
      </w:r>
      <w:r>
        <w:rPr>
          <w:sz w:val="22"/>
          <w:szCs w:val="22"/>
        </w:rPr>
        <w:t xml:space="preserve"> will be accepted</w:t>
      </w:r>
      <w:r w:rsidR="00013376" w:rsidRPr="00013376">
        <w:rPr>
          <w:sz w:val="22"/>
          <w:szCs w:val="22"/>
        </w:rPr>
        <w:t xml:space="preserve">. </w:t>
      </w:r>
    </w:p>
    <w:p w14:paraId="7A3E445E" w14:textId="22E1D9D9" w:rsidR="00013376" w:rsidRPr="00013376" w:rsidRDefault="00560CAE" w:rsidP="00665E81">
      <w:pPr>
        <w:spacing w:before="100"/>
        <w:jc w:val="both"/>
        <w:rPr>
          <w:sz w:val="22"/>
          <w:szCs w:val="22"/>
          <w:lang w:eastAsia="zh-CN"/>
        </w:rPr>
      </w:pPr>
      <w:r>
        <w:rPr>
          <w:sz w:val="22"/>
          <w:szCs w:val="22"/>
        </w:rPr>
        <w:t>F</w:t>
      </w:r>
      <w:r w:rsidRPr="00013376">
        <w:rPr>
          <w:sz w:val="22"/>
          <w:szCs w:val="22"/>
        </w:rPr>
        <w:t xml:space="preserve">or sponsorship enquiries </w:t>
      </w:r>
      <w:r>
        <w:rPr>
          <w:sz w:val="22"/>
          <w:szCs w:val="22"/>
        </w:rPr>
        <w:t>you can</w:t>
      </w:r>
      <w:r w:rsidR="00013376" w:rsidRPr="00013376">
        <w:rPr>
          <w:sz w:val="22"/>
          <w:szCs w:val="22"/>
        </w:rPr>
        <w:t xml:space="preserve"> contact </w:t>
      </w:r>
      <w:hyperlink r:id="rId12" w:history="1">
        <w:r w:rsidRPr="00781719">
          <w:rPr>
            <w:rStyle w:val="Hyperlink"/>
            <w:sz w:val="22"/>
            <w:szCs w:val="22"/>
          </w:rPr>
          <w:t>ai-calls@itu.int</w:t>
        </w:r>
      </w:hyperlink>
      <w:r w:rsidR="0023762E">
        <w:rPr>
          <w:rFonts w:hint="eastAsia"/>
          <w:sz w:val="22"/>
          <w:szCs w:val="22"/>
          <w:lang w:eastAsia="zh-CN"/>
        </w:rPr>
        <w:t>.</w:t>
      </w:r>
    </w:p>
    <w:p w14:paraId="64FF8935" w14:textId="60C6F177" w:rsidR="00BB1DC4" w:rsidRDefault="00B61012" w:rsidP="00A31292">
      <w:pPr>
        <w:spacing w:before="100"/>
        <w:rPr>
          <w:sz w:val="22"/>
          <w:szCs w:val="22"/>
        </w:rPr>
      </w:pPr>
      <w:r w:rsidRPr="00F539DD">
        <w:rPr>
          <w:sz w:val="22"/>
          <w:szCs w:val="22"/>
        </w:rPr>
        <w:t>Yours faithfully,</w:t>
      </w:r>
    </w:p>
    <w:p w14:paraId="3420344F" w14:textId="6A7B6C9B" w:rsidR="00D62702" w:rsidRPr="00F539DD" w:rsidRDefault="00975AE6" w:rsidP="00A31292">
      <w:pPr>
        <w:spacing w:before="720"/>
        <w:rPr>
          <w:sz w:val="22"/>
          <w:szCs w:val="22"/>
        </w:rPr>
      </w:pPr>
      <w:r>
        <w:rPr>
          <w:noProof/>
          <w:sz w:val="22"/>
          <w:szCs w:val="22"/>
        </w:rPr>
        <w:drawing>
          <wp:anchor distT="0" distB="0" distL="114300" distR="114300" simplePos="0" relativeHeight="251659264" behindDoc="1" locked="0" layoutInCell="1" allowOverlap="1" wp14:anchorId="559A0CC0" wp14:editId="02D3D624">
            <wp:simplePos x="0" y="0"/>
            <wp:positionH relativeFrom="column">
              <wp:posOffset>-2746</wp:posOffset>
            </wp:positionH>
            <wp:positionV relativeFrom="paragraph">
              <wp:posOffset>84183</wp:posOffset>
            </wp:positionV>
            <wp:extent cx="540327" cy="228242"/>
            <wp:effectExtent l="0" t="0" r="0" b="635"/>
            <wp:wrapNone/>
            <wp:docPr id="11716076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607615" name="Picture 1171607615"/>
                    <pic:cNvPicPr/>
                  </pic:nvPicPr>
                  <pic:blipFill>
                    <a:blip r:embed="rId13">
                      <a:extLst>
                        <a:ext uri="{28A0092B-C50C-407E-A947-70E740481C1C}">
                          <a14:useLocalDpi xmlns:a14="http://schemas.microsoft.com/office/drawing/2010/main" val="0"/>
                        </a:ext>
                      </a:extLst>
                    </a:blip>
                    <a:stretch>
                      <a:fillRect/>
                    </a:stretch>
                  </pic:blipFill>
                  <pic:spPr>
                    <a:xfrm>
                      <a:off x="0" y="0"/>
                      <a:ext cx="542953" cy="229351"/>
                    </a:xfrm>
                    <a:prstGeom prst="rect">
                      <a:avLst/>
                    </a:prstGeom>
                  </pic:spPr>
                </pic:pic>
              </a:graphicData>
            </a:graphic>
            <wp14:sizeRelH relativeFrom="margin">
              <wp14:pctWidth>0</wp14:pctWidth>
            </wp14:sizeRelH>
            <wp14:sizeRelV relativeFrom="margin">
              <wp14:pctHeight>0</wp14:pctHeight>
            </wp14:sizeRelV>
          </wp:anchor>
        </w:drawing>
      </w:r>
      <w:r w:rsidR="00B543CD" w:rsidRPr="00F539DD">
        <w:rPr>
          <w:sz w:val="22"/>
          <w:szCs w:val="22"/>
        </w:rPr>
        <w:t>Seizo Onoe</w:t>
      </w:r>
      <w:r w:rsidR="00B61012" w:rsidRPr="00F539DD">
        <w:rPr>
          <w:sz w:val="22"/>
          <w:szCs w:val="22"/>
        </w:rPr>
        <w:br/>
        <w:t>Director of the Telecommunication</w:t>
      </w:r>
      <w:r w:rsidR="00B61012" w:rsidRPr="00F539DD">
        <w:rPr>
          <w:sz w:val="22"/>
          <w:szCs w:val="22"/>
        </w:rPr>
        <w:br/>
        <w:t>Standardization Bureau</w:t>
      </w:r>
    </w:p>
    <w:sectPr w:rsidR="00D62702" w:rsidRPr="00F539DD" w:rsidSect="00F24D4C">
      <w:headerReference w:type="default" r:id="rId14"/>
      <w:footerReference w:type="first" r:id="rId15"/>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199E0" w14:textId="77777777" w:rsidR="003B359A" w:rsidRDefault="003B359A">
      <w:r>
        <w:separator/>
      </w:r>
    </w:p>
  </w:endnote>
  <w:endnote w:type="continuationSeparator" w:id="0">
    <w:p w14:paraId="7D07A602" w14:textId="77777777" w:rsidR="003B359A" w:rsidRDefault="003B3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43D19" w14:textId="4FFC96F1" w:rsidR="00FA46A0" w:rsidRPr="00F539DD" w:rsidRDefault="00F539DD" w:rsidP="00F539DD">
    <w:pPr>
      <w:pStyle w:val="FirstFooter"/>
      <w:ind w:left="-397" w:right="-397"/>
      <w:jc w:val="center"/>
      <w:rPr>
        <w:color w:val="0070C0"/>
      </w:rPr>
    </w:pPr>
    <w:r w:rsidRPr="00C24502">
      <w:rPr>
        <w:color w:val="0070C0"/>
        <w:sz w:val="18"/>
        <w:szCs w:val="18"/>
      </w:rPr>
      <w:t>International Telecommunication Union • Place des Nations • CH-1211 Geneva 20 • Switzerland</w:t>
    </w:r>
    <w:r w:rsidRPr="00C24502">
      <w:rPr>
        <w:color w:val="0070C0"/>
        <w:sz w:val="18"/>
        <w:szCs w:val="18"/>
      </w:rPr>
      <w:br/>
      <w:t xml:space="preserve">Tel: +41 22 730 5111 • Fax: +41 22 733 7256 • E-mail: </w:t>
    </w:r>
    <w:hyperlink r:id="rId1" w:history="1">
      <w:r w:rsidR="00083AD2" w:rsidRPr="00083AD2">
        <w:rPr>
          <w:rStyle w:val="Hyperlink"/>
          <w:color w:val="0070C0"/>
          <w:sz w:val="18"/>
          <w:szCs w:val="18"/>
        </w:rPr>
        <w:t>tsbmail@itu.int</w:t>
      </w:r>
    </w:hyperlink>
    <w:r w:rsidRPr="00083AD2">
      <w:rPr>
        <w:rStyle w:val="Hyperlink"/>
        <w:color w:val="0070C0"/>
      </w:rPr>
      <w:t xml:space="preserve"> </w:t>
    </w:r>
    <w:r w:rsidRPr="00C24502">
      <w:rPr>
        <w:color w:val="0070C0"/>
        <w:sz w:val="18"/>
        <w:szCs w:val="18"/>
      </w:rPr>
      <w:t xml:space="preserve">• </w:t>
    </w:r>
    <w:hyperlink r:id="rId2" w:history="1">
      <w:r w:rsidRPr="00C24502">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BE7DB" w14:textId="77777777" w:rsidR="003B359A" w:rsidRDefault="003B359A">
      <w:r>
        <w:t>____________________</w:t>
      </w:r>
    </w:p>
  </w:footnote>
  <w:footnote w:type="continuationSeparator" w:id="0">
    <w:p w14:paraId="18C22CD9" w14:textId="77777777" w:rsidR="003B359A" w:rsidRDefault="003B3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BC766" w14:textId="27AB85DC" w:rsidR="00FA46A0" w:rsidRDefault="00B61012">
    <w:pPr>
      <w:pStyle w:val="Header"/>
      <w:rPr>
        <w:noProof/>
        <w:lang w:eastAsia="zh-CN"/>
      </w:rPr>
    </w:pPr>
    <w:r>
      <w:t xml:space="preserve">- </w:t>
    </w:r>
    <w:r w:rsidR="00FA46A0">
      <w:fldChar w:fldCharType="begin"/>
    </w:r>
    <w:r>
      <w:instrText xml:space="preserve"> PAGE   \* MERGEFORMAT </w:instrText>
    </w:r>
    <w:r w:rsidR="00FA46A0">
      <w:fldChar w:fldCharType="separate"/>
    </w:r>
    <w:r w:rsidR="00D62702">
      <w:rPr>
        <w:noProof/>
      </w:rPr>
      <w:t>2</w:t>
    </w:r>
    <w:r w:rsidR="00FA46A0">
      <w:rPr>
        <w:noProof/>
      </w:rPr>
      <w:fldChar w:fldCharType="end"/>
    </w:r>
    <w:r>
      <w:rPr>
        <w:noProof/>
      </w:rPr>
      <w:t xml:space="preserve"> -</w:t>
    </w:r>
    <w:r w:rsidR="00503ADB">
      <w:rPr>
        <w:noProof/>
      </w:rPr>
      <w:br/>
      <w:t>TSB Circula</w:t>
    </w:r>
    <w:r w:rsidR="00A85415">
      <w:rPr>
        <w:rFonts w:hint="eastAsia"/>
        <w:noProof/>
        <w:lang w:eastAsia="zh-CN"/>
      </w:rPr>
      <w:t xml:space="preserve">r </w:t>
    </w:r>
    <w:r w:rsidR="00AB20DB">
      <w:rPr>
        <w:noProof/>
        <w:lang w:eastAsia="zh-CN"/>
      </w:rPr>
      <w:t>036</w:t>
    </w:r>
  </w:p>
  <w:p w14:paraId="409D9801" w14:textId="77777777" w:rsidR="00FA46A0" w:rsidRDefault="00FA4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A642F"/>
    <w:multiLevelType w:val="hybridMultilevel"/>
    <w:tmpl w:val="4C20C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1B08E1"/>
    <w:multiLevelType w:val="multilevel"/>
    <w:tmpl w:val="BF385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B37B88"/>
    <w:multiLevelType w:val="hybridMultilevel"/>
    <w:tmpl w:val="A4DC20F2"/>
    <w:lvl w:ilvl="0" w:tplc="29529B36">
      <w:start w:val="3"/>
      <w:numFmt w:val="bullet"/>
      <w:lvlText w:val="-"/>
      <w:lvlJc w:val="left"/>
      <w:pPr>
        <w:ind w:left="1440" w:hanging="360"/>
      </w:pPr>
      <w:rPr>
        <w:rFonts w:ascii="Calibri" w:eastAsiaTheme="minorEastAsia"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5B93DD8"/>
    <w:multiLevelType w:val="hybridMultilevel"/>
    <w:tmpl w:val="B54E1890"/>
    <w:lvl w:ilvl="0" w:tplc="0809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53146065"/>
    <w:multiLevelType w:val="hybridMultilevel"/>
    <w:tmpl w:val="A0161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EE0175"/>
    <w:multiLevelType w:val="hybridMultilevel"/>
    <w:tmpl w:val="C7F205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4A5F70"/>
    <w:multiLevelType w:val="hybridMultilevel"/>
    <w:tmpl w:val="EB940E5A"/>
    <w:lvl w:ilvl="0" w:tplc="1A5C92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BD80496"/>
    <w:multiLevelType w:val="hybridMultilevel"/>
    <w:tmpl w:val="DC540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EF1425"/>
    <w:multiLevelType w:val="hybridMultilevel"/>
    <w:tmpl w:val="0EC0259A"/>
    <w:lvl w:ilvl="0" w:tplc="29529B36">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1045367">
    <w:abstractNumId w:val="9"/>
  </w:num>
  <w:num w:numId="2" w16cid:durableId="1615138970">
    <w:abstractNumId w:val="7"/>
  </w:num>
  <w:num w:numId="3" w16cid:durableId="1443307638">
    <w:abstractNumId w:val="6"/>
  </w:num>
  <w:num w:numId="4" w16cid:durableId="222907371">
    <w:abstractNumId w:val="5"/>
  </w:num>
  <w:num w:numId="5" w16cid:durableId="1057554877">
    <w:abstractNumId w:val="4"/>
  </w:num>
  <w:num w:numId="6" w16cid:durableId="836841275">
    <w:abstractNumId w:val="8"/>
  </w:num>
  <w:num w:numId="7" w16cid:durableId="2055958508">
    <w:abstractNumId w:val="3"/>
  </w:num>
  <w:num w:numId="8" w16cid:durableId="193350481">
    <w:abstractNumId w:val="2"/>
  </w:num>
  <w:num w:numId="9" w16cid:durableId="596862707">
    <w:abstractNumId w:val="1"/>
  </w:num>
  <w:num w:numId="10" w16cid:durableId="725370554">
    <w:abstractNumId w:val="0"/>
  </w:num>
  <w:num w:numId="11" w16cid:durableId="999773917">
    <w:abstractNumId w:val="11"/>
  </w:num>
  <w:num w:numId="12" w16cid:durableId="186531643">
    <w:abstractNumId w:val="18"/>
  </w:num>
  <w:num w:numId="13" w16cid:durableId="1802184543">
    <w:abstractNumId w:val="12"/>
  </w:num>
  <w:num w:numId="14" w16cid:durableId="1710951357">
    <w:abstractNumId w:val="16"/>
  </w:num>
  <w:num w:numId="15" w16cid:durableId="1383866371">
    <w:abstractNumId w:val="13"/>
  </w:num>
  <w:num w:numId="16" w16cid:durableId="143741389">
    <w:abstractNumId w:val="17"/>
  </w:num>
  <w:num w:numId="17" w16cid:durableId="845824850">
    <w:abstractNumId w:val="15"/>
  </w:num>
  <w:num w:numId="18" w16cid:durableId="1039936641">
    <w:abstractNumId w:val="10"/>
  </w:num>
  <w:num w:numId="19" w16cid:durableId="287989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3CD"/>
    <w:rsid w:val="00013376"/>
    <w:rsid w:val="00022E6B"/>
    <w:rsid w:val="00040A69"/>
    <w:rsid w:val="00050400"/>
    <w:rsid w:val="00074D32"/>
    <w:rsid w:val="00083AD2"/>
    <w:rsid w:val="000B15C8"/>
    <w:rsid w:val="000D6DCE"/>
    <w:rsid w:val="000E62B1"/>
    <w:rsid w:val="001018E1"/>
    <w:rsid w:val="00103055"/>
    <w:rsid w:val="00112D17"/>
    <w:rsid w:val="00112F37"/>
    <w:rsid w:val="0015716B"/>
    <w:rsid w:val="00164272"/>
    <w:rsid w:val="001A34EC"/>
    <w:rsid w:val="001F52F5"/>
    <w:rsid w:val="0023762E"/>
    <w:rsid w:val="00265D1E"/>
    <w:rsid w:val="002B4CD6"/>
    <w:rsid w:val="002D4987"/>
    <w:rsid w:val="003346F2"/>
    <w:rsid w:val="00340DC1"/>
    <w:rsid w:val="00356B73"/>
    <w:rsid w:val="003746A5"/>
    <w:rsid w:val="003823FD"/>
    <w:rsid w:val="00392817"/>
    <w:rsid w:val="00394C41"/>
    <w:rsid w:val="003B359A"/>
    <w:rsid w:val="003D4690"/>
    <w:rsid w:val="003F0B1D"/>
    <w:rsid w:val="004139EE"/>
    <w:rsid w:val="00440B8A"/>
    <w:rsid w:val="00453CEA"/>
    <w:rsid w:val="00487330"/>
    <w:rsid w:val="0049432B"/>
    <w:rsid w:val="004E06A1"/>
    <w:rsid w:val="00503ADB"/>
    <w:rsid w:val="005155F0"/>
    <w:rsid w:val="00524EC0"/>
    <w:rsid w:val="00534857"/>
    <w:rsid w:val="0055091A"/>
    <w:rsid w:val="00560CAE"/>
    <w:rsid w:val="005E003C"/>
    <w:rsid w:val="0060363B"/>
    <w:rsid w:val="006104BC"/>
    <w:rsid w:val="00611552"/>
    <w:rsid w:val="00637CBD"/>
    <w:rsid w:val="00665751"/>
    <w:rsid w:val="00665E81"/>
    <w:rsid w:val="00676A32"/>
    <w:rsid w:val="006B13EC"/>
    <w:rsid w:val="006F03A0"/>
    <w:rsid w:val="00730A58"/>
    <w:rsid w:val="0079763E"/>
    <w:rsid w:val="007A65E8"/>
    <w:rsid w:val="007D3D95"/>
    <w:rsid w:val="007E2AFB"/>
    <w:rsid w:val="00800CEB"/>
    <w:rsid w:val="00815F42"/>
    <w:rsid w:val="00823C1C"/>
    <w:rsid w:val="00852BC3"/>
    <w:rsid w:val="008C6D14"/>
    <w:rsid w:val="008F3725"/>
    <w:rsid w:val="00902E09"/>
    <w:rsid w:val="00904210"/>
    <w:rsid w:val="0091631A"/>
    <w:rsid w:val="00947795"/>
    <w:rsid w:val="0095202D"/>
    <w:rsid w:val="00963900"/>
    <w:rsid w:val="00967D03"/>
    <w:rsid w:val="009747C5"/>
    <w:rsid w:val="00975AE6"/>
    <w:rsid w:val="009B2EB5"/>
    <w:rsid w:val="009D5302"/>
    <w:rsid w:val="00A31292"/>
    <w:rsid w:val="00A657FD"/>
    <w:rsid w:val="00A721B6"/>
    <w:rsid w:val="00A72C30"/>
    <w:rsid w:val="00A85415"/>
    <w:rsid w:val="00A871DE"/>
    <w:rsid w:val="00AB20DB"/>
    <w:rsid w:val="00AD2B79"/>
    <w:rsid w:val="00AF3424"/>
    <w:rsid w:val="00B10CD9"/>
    <w:rsid w:val="00B2488F"/>
    <w:rsid w:val="00B4669D"/>
    <w:rsid w:val="00B543CD"/>
    <w:rsid w:val="00B61012"/>
    <w:rsid w:val="00B7126C"/>
    <w:rsid w:val="00BB1DC4"/>
    <w:rsid w:val="00C21B0F"/>
    <w:rsid w:val="00C23D2A"/>
    <w:rsid w:val="00C40367"/>
    <w:rsid w:val="00C86EB1"/>
    <w:rsid w:val="00C926B3"/>
    <w:rsid w:val="00C957DC"/>
    <w:rsid w:val="00C95BF6"/>
    <w:rsid w:val="00CC7039"/>
    <w:rsid w:val="00CE4A97"/>
    <w:rsid w:val="00CF3147"/>
    <w:rsid w:val="00CF407D"/>
    <w:rsid w:val="00D0091E"/>
    <w:rsid w:val="00D0275F"/>
    <w:rsid w:val="00D160D2"/>
    <w:rsid w:val="00D35287"/>
    <w:rsid w:val="00D62702"/>
    <w:rsid w:val="00DA2F77"/>
    <w:rsid w:val="00E14A6F"/>
    <w:rsid w:val="00E3379E"/>
    <w:rsid w:val="00E507FB"/>
    <w:rsid w:val="00EA2114"/>
    <w:rsid w:val="00EC15F4"/>
    <w:rsid w:val="00ED01D5"/>
    <w:rsid w:val="00F22314"/>
    <w:rsid w:val="00F24D4C"/>
    <w:rsid w:val="00F539DD"/>
    <w:rsid w:val="00F648AC"/>
    <w:rsid w:val="00FA46A0"/>
    <w:rsid w:val="00FC1C19"/>
    <w:rsid w:val="00FF2A94"/>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9ED64"/>
  <w15:docId w15:val="{954E876C-9571-4B6E-A80C-E6BCF204D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paragraph" w:customStyle="1" w:styleId="Default">
    <w:name w:val="Default"/>
    <w:rsid w:val="002B4CD6"/>
    <w:pPr>
      <w:autoSpaceDE w:val="0"/>
      <w:autoSpaceDN w:val="0"/>
      <w:adjustRightInd w:val="0"/>
    </w:pPr>
    <w:rPr>
      <w:rFonts w:ascii="Calibri" w:eastAsiaTheme="minorEastAsia" w:hAnsi="Calibri" w:cs="Calibri"/>
      <w:color w:val="000000"/>
      <w:sz w:val="24"/>
      <w:szCs w:val="24"/>
      <w:lang w:val="en-GB" w:eastAsia="ja-JP"/>
      <w14:ligatures w14:val="standardContextual"/>
    </w:rPr>
  </w:style>
  <w:style w:type="character" w:styleId="UnresolvedMention">
    <w:name w:val="Unresolved Mention"/>
    <w:basedOn w:val="DefaultParagraphFont"/>
    <w:uiPriority w:val="99"/>
    <w:semiHidden/>
    <w:unhideWhenUsed/>
    <w:rsid w:val="002B4CD6"/>
    <w:rPr>
      <w:color w:val="605E5C"/>
      <w:shd w:val="clear" w:color="auto" w:fill="E1DFDD"/>
    </w:rPr>
  </w:style>
  <w:style w:type="paragraph" w:styleId="Revision">
    <w:name w:val="Revision"/>
    <w:hidden/>
    <w:rsid w:val="00074D32"/>
    <w:rPr>
      <w:rFonts w:ascii="Calibri" w:hAnsi="Calibri"/>
      <w:sz w:val="24"/>
      <w:lang w:val="en-GB" w:eastAsia="en-US"/>
    </w:rPr>
  </w:style>
  <w:style w:type="paragraph" w:styleId="ListParagraph">
    <w:name w:val="List Paragraph"/>
    <w:basedOn w:val="Normal"/>
    <w:qFormat/>
    <w:rsid w:val="00947795"/>
    <w:pPr>
      <w:ind w:left="720"/>
      <w:contextualSpacing/>
    </w:pPr>
  </w:style>
  <w:style w:type="character" w:customStyle="1" w:styleId="FootnoteTextChar">
    <w:name w:val="Footnote Text Char"/>
    <w:basedOn w:val="DefaultParagraphFont"/>
    <w:link w:val="FootnoteText"/>
    <w:qFormat/>
    <w:rsid w:val="007E2AFB"/>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10280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i-calls@itu.i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iforgood.itu.int/ai-readines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dms_pub/itu-t/opb/ai4g/T-AI4G-AI4GOOD-2024-2-PDF-E.pdf" TargetMode="External"/><Relationship Id="rId4" Type="http://schemas.openxmlformats.org/officeDocument/2006/relationships/settings" Target="settings.xml"/><Relationship Id="rId9" Type="http://schemas.openxmlformats.org/officeDocument/2006/relationships/hyperlink" Target="mailto:ai-calls@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tsb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BIRI\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3612D-4768-4253-A599-A99A5710F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TSB_Circular-E.dotx</Template>
  <TotalTime>10</TotalTime>
  <Pages>2</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Dabiri, Ayda</dc:creator>
  <cp:keywords/>
  <dc:description/>
  <cp:lastModifiedBy>Maguire, Mairéad</cp:lastModifiedBy>
  <cp:revision>8</cp:revision>
  <cp:lastPrinted>2024-02-29T15:46:00Z</cp:lastPrinted>
  <dcterms:created xsi:type="dcterms:W3CDTF">2025-03-12T13:24:00Z</dcterms:created>
  <dcterms:modified xsi:type="dcterms:W3CDTF">2025-03-12T14:22:00Z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