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04" w:type="dxa"/>
        <w:tblInd w:w="-90" w:type="dxa"/>
        <w:tblLayout w:type="fixed"/>
        <w:tblCellMar>
          <w:left w:w="0" w:type="dxa"/>
          <w:right w:w="0" w:type="dxa"/>
        </w:tblCellMar>
        <w:tblLook w:val="0000" w:firstRow="0" w:lastRow="0" w:firstColumn="0" w:lastColumn="0" w:noHBand="0" w:noVBand="0"/>
      </w:tblPr>
      <w:tblGrid>
        <w:gridCol w:w="1260"/>
        <w:gridCol w:w="3715"/>
        <w:gridCol w:w="5329"/>
      </w:tblGrid>
      <w:tr w:rsidR="007B6316" w:rsidRPr="007E3284" w14:paraId="60DD60E1" w14:textId="77777777" w:rsidTr="00CF16C2">
        <w:trPr>
          <w:cantSplit/>
          <w:trHeight w:val="340"/>
        </w:trPr>
        <w:tc>
          <w:tcPr>
            <w:tcW w:w="1260" w:type="dxa"/>
          </w:tcPr>
          <w:p w14:paraId="573FA8A4" w14:textId="77777777" w:rsidR="007B6316" w:rsidRPr="007E3284" w:rsidRDefault="007B6316" w:rsidP="00303D62">
            <w:pPr>
              <w:tabs>
                <w:tab w:val="left" w:pos="4111"/>
              </w:tabs>
              <w:spacing w:before="10"/>
              <w:ind w:left="57"/>
              <w:rPr>
                <w:sz w:val="22"/>
              </w:rPr>
            </w:pPr>
            <w:r w:rsidRPr="007E3284">
              <w:rPr>
                <w:noProof/>
                <w:lang w:eastAsia="zh-CN"/>
              </w:rPr>
              <w:drawing>
                <wp:inline distT="0" distB="0" distL="0" distR="0" wp14:anchorId="607BE978" wp14:editId="0CB89867">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9044" w:type="dxa"/>
            <w:gridSpan w:val="2"/>
            <w:vAlign w:val="center"/>
          </w:tcPr>
          <w:p w14:paraId="40358CB8" w14:textId="77777777" w:rsidR="007B6316" w:rsidRPr="007E3284" w:rsidRDefault="007B6316" w:rsidP="007B6316">
            <w:pPr>
              <w:spacing w:before="0"/>
              <w:rPr>
                <w:rFonts w:cs="Times New Roman Bold"/>
                <w:b/>
                <w:bCs/>
                <w:smallCaps/>
                <w:sz w:val="26"/>
                <w:szCs w:val="26"/>
              </w:rPr>
            </w:pPr>
            <w:r w:rsidRPr="007E3284">
              <w:rPr>
                <w:rFonts w:cs="Times New Roman Bold"/>
                <w:b/>
                <w:bCs/>
                <w:smallCaps/>
                <w:sz w:val="36"/>
                <w:szCs w:val="36"/>
              </w:rPr>
              <w:t>Unión Internacional de Telecomunicaciones</w:t>
            </w:r>
          </w:p>
          <w:p w14:paraId="61645352" w14:textId="77777777" w:rsidR="007B6316" w:rsidRPr="007E3284" w:rsidRDefault="007B6316" w:rsidP="007B6316">
            <w:pPr>
              <w:spacing w:before="0"/>
            </w:pPr>
            <w:r w:rsidRPr="007E3284">
              <w:rPr>
                <w:rFonts w:cs="Times New Roman Bold"/>
                <w:b/>
                <w:bCs/>
                <w:smallCaps/>
                <w:sz w:val="28"/>
                <w:szCs w:val="28"/>
              </w:rPr>
              <w:t>Oficina</w:t>
            </w:r>
            <w:r w:rsidRPr="007E3284">
              <w:rPr>
                <w:rFonts w:cs="Times New Roman Bold"/>
                <w:b/>
                <w:bCs/>
                <w:iCs/>
                <w:smallCaps/>
                <w:sz w:val="22"/>
                <w:szCs w:val="22"/>
              </w:rPr>
              <w:t xml:space="preserve"> </w:t>
            </w:r>
            <w:r w:rsidRPr="007E3284">
              <w:rPr>
                <w:rFonts w:cs="Times New Roman Bold"/>
                <w:b/>
                <w:bCs/>
                <w:iCs/>
                <w:smallCaps/>
                <w:sz w:val="28"/>
                <w:szCs w:val="28"/>
              </w:rPr>
              <w:t>de Normalización de las Telecomunicaciones</w:t>
            </w:r>
          </w:p>
        </w:tc>
      </w:tr>
      <w:tr w:rsidR="007B6316" w:rsidRPr="00CF16C2" w14:paraId="2B3EDFBC" w14:textId="77777777" w:rsidTr="00CF16C2">
        <w:trPr>
          <w:cantSplit/>
          <w:trHeight w:val="340"/>
        </w:trPr>
        <w:tc>
          <w:tcPr>
            <w:tcW w:w="1260" w:type="dxa"/>
          </w:tcPr>
          <w:p w14:paraId="27DA8DC1" w14:textId="77777777" w:rsidR="007B6316" w:rsidRPr="00CF16C2" w:rsidRDefault="007B6316" w:rsidP="00303D62">
            <w:pPr>
              <w:tabs>
                <w:tab w:val="left" w:pos="4111"/>
              </w:tabs>
              <w:spacing w:before="10"/>
              <w:ind w:left="57"/>
              <w:rPr>
                <w:b/>
                <w:bCs/>
                <w:sz w:val="22"/>
                <w:szCs w:val="22"/>
              </w:rPr>
            </w:pPr>
          </w:p>
        </w:tc>
        <w:tc>
          <w:tcPr>
            <w:tcW w:w="3715" w:type="dxa"/>
          </w:tcPr>
          <w:p w14:paraId="067CDBD1" w14:textId="77777777" w:rsidR="007B6316" w:rsidRPr="00CF16C2" w:rsidRDefault="007B6316" w:rsidP="00303D62">
            <w:pPr>
              <w:tabs>
                <w:tab w:val="left" w:pos="4111"/>
              </w:tabs>
              <w:spacing w:before="0"/>
              <w:ind w:left="57"/>
              <w:rPr>
                <w:b/>
                <w:sz w:val="22"/>
                <w:szCs w:val="22"/>
              </w:rPr>
            </w:pPr>
          </w:p>
        </w:tc>
        <w:tc>
          <w:tcPr>
            <w:tcW w:w="5329" w:type="dxa"/>
          </w:tcPr>
          <w:p w14:paraId="7F0984F6" w14:textId="61984164" w:rsidR="007B6316" w:rsidRPr="00CF16C2" w:rsidRDefault="00B80268" w:rsidP="00CF16C2">
            <w:pPr>
              <w:tabs>
                <w:tab w:val="clear" w:pos="794"/>
                <w:tab w:val="clear" w:pos="1191"/>
                <w:tab w:val="clear" w:pos="1588"/>
                <w:tab w:val="clear" w:pos="1985"/>
                <w:tab w:val="left" w:pos="284"/>
              </w:tabs>
              <w:spacing w:before="0" w:after="120"/>
              <w:ind w:left="288" w:hanging="230"/>
              <w:rPr>
                <w:sz w:val="22"/>
                <w:szCs w:val="22"/>
              </w:rPr>
            </w:pPr>
            <w:r w:rsidRPr="00CF16C2">
              <w:rPr>
                <w:sz w:val="22"/>
                <w:szCs w:val="22"/>
              </w:rPr>
              <w:t>Ginebra, 25 de marzo de 2025</w:t>
            </w:r>
          </w:p>
        </w:tc>
      </w:tr>
      <w:tr w:rsidR="001350B9" w:rsidRPr="00CF16C2" w14:paraId="162B5223" w14:textId="77777777" w:rsidTr="00CF16C2">
        <w:trPr>
          <w:cantSplit/>
          <w:trHeight w:val="340"/>
        </w:trPr>
        <w:tc>
          <w:tcPr>
            <w:tcW w:w="1260" w:type="dxa"/>
          </w:tcPr>
          <w:p w14:paraId="2619E745" w14:textId="77777777" w:rsidR="001350B9" w:rsidRPr="00CF16C2" w:rsidRDefault="001350B9" w:rsidP="00303D62">
            <w:pPr>
              <w:tabs>
                <w:tab w:val="left" w:pos="4111"/>
              </w:tabs>
              <w:spacing w:before="10"/>
              <w:ind w:left="57"/>
              <w:rPr>
                <w:sz w:val="22"/>
                <w:szCs w:val="22"/>
              </w:rPr>
            </w:pPr>
            <w:r w:rsidRPr="00CF16C2">
              <w:rPr>
                <w:sz w:val="22"/>
                <w:szCs w:val="22"/>
              </w:rPr>
              <w:t>Ref.:</w:t>
            </w:r>
          </w:p>
          <w:p w14:paraId="4ACA0FD7" w14:textId="77777777" w:rsidR="001350B9" w:rsidRPr="00CF16C2" w:rsidRDefault="001350B9" w:rsidP="007B6316">
            <w:pPr>
              <w:tabs>
                <w:tab w:val="left" w:pos="4111"/>
              </w:tabs>
              <w:spacing w:before="10"/>
              <w:ind w:left="57"/>
              <w:rPr>
                <w:sz w:val="22"/>
                <w:szCs w:val="22"/>
              </w:rPr>
            </w:pPr>
          </w:p>
        </w:tc>
        <w:tc>
          <w:tcPr>
            <w:tcW w:w="3715" w:type="dxa"/>
          </w:tcPr>
          <w:p w14:paraId="44CE99C6" w14:textId="630B8804" w:rsidR="001350B9" w:rsidRPr="00CF16C2" w:rsidRDefault="001350B9" w:rsidP="00303D62">
            <w:pPr>
              <w:tabs>
                <w:tab w:val="left" w:pos="4111"/>
              </w:tabs>
              <w:spacing w:before="0"/>
              <w:ind w:left="57"/>
              <w:rPr>
                <w:b/>
                <w:sz w:val="22"/>
                <w:szCs w:val="22"/>
              </w:rPr>
            </w:pPr>
            <w:r w:rsidRPr="00CF16C2">
              <w:rPr>
                <w:b/>
                <w:sz w:val="22"/>
                <w:szCs w:val="22"/>
              </w:rPr>
              <w:t xml:space="preserve">Circular TSB </w:t>
            </w:r>
            <w:r w:rsidR="00B80268" w:rsidRPr="00CF16C2">
              <w:rPr>
                <w:b/>
                <w:sz w:val="22"/>
                <w:szCs w:val="22"/>
              </w:rPr>
              <w:t>35</w:t>
            </w:r>
          </w:p>
          <w:p w14:paraId="44EE25A2" w14:textId="69AAD1A3" w:rsidR="001350B9" w:rsidRPr="00CF16C2" w:rsidRDefault="00106F73" w:rsidP="00303D62">
            <w:pPr>
              <w:tabs>
                <w:tab w:val="left" w:pos="4111"/>
              </w:tabs>
              <w:spacing w:before="0"/>
              <w:ind w:left="57"/>
              <w:rPr>
                <w:b/>
                <w:sz w:val="22"/>
                <w:szCs w:val="22"/>
              </w:rPr>
            </w:pPr>
            <w:r w:rsidRPr="00CF16C2">
              <w:rPr>
                <w:sz w:val="22"/>
                <w:szCs w:val="22"/>
              </w:rPr>
              <w:t xml:space="preserve">CE </w:t>
            </w:r>
            <w:r w:rsidR="00B80268" w:rsidRPr="00CF16C2">
              <w:rPr>
                <w:sz w:val="22"/>
                <w:szCs w:val="22"/>
              </w:rPr>
              <w:t>11</w:t>
            </w:r>
            <w:r w:rsidR="001350B9" w:rsidRPr="00CF16C2">
              <w:rPr>
                <w:sz w:val="22"/>
                <w:szCs w:val="22"/>
              </w:rPr>
              <w:t>/</w:t>
            </w:r>
            <w:r w:rsidR="00B80268" w:rsidRPr="00CF16C2">
              <w:rPr>
                <w:sz w:val="22"/>
                <w:szCs w:val="22"/>
              </w:rPr>
              <w:t>DA</w:t>
            </w:r>
          </w:p>
          <w:p w14:paraId="7F26967C" w14:textId="77777777" w:rsidR="001350B9" w:rsidRPr="00CF16C2" w:rsidRDefault="001350B9" w:rsidP="007B6316">
            <w:pPr>
              <w:tabs>
                <w:tab w:val="left" w:pos="4111"/>
              </w:tabs>
              <w:spacing w:before="0"/>
              <w:ind w:left="57"/>
              <w:rPr>
                <w:sz w:val="22"/>
                <w:szCs w:val="22"/>
              </w:rPr>
            </w:pPr>
          </w:p>
        </w:tc>
        <w:tc>
          <w:tcPr>
            <w:tcW w:w="5329" w:type="dxa"/>
            <w:vMerge w:val="restart"/>
          </w:tcPr>
          <w:p w14:paraId="4BAAE0ED" w14:textId="77777777" w:rsidR="00B80268" w:rsidRPr="00CF16C2" w:rsidRDefault="00B80268" w:rsidP="00B80268">
            <w:pPr>
              <w:tabs>
                <w:tab w:val="clear" w:pos="794"/>
                <w:tab w:val="clear" w:pos="1191"/>
                <w:tab w:val="clear" w:pos="1588"/>
                <w:tab w:val="clear" w:pos="1985"/>
                <w:tab w:val="left" w:pos="284"/>
              </w:tabs>
              <w:spacing w:before="0"/>
              <w:ind w:left="284" w:hanging="227"/>
              <w:rPr>
                <w:sz w:val="22"/>
                <w:szCs w:val="22"/>
              </w:rPr>
            </w:pPr>
            <w:bookmarkStart w:id="0" w:name="Addressee_S"/>
            <w:bookmarkEnd w:id="0"/>
            <w:r w:rsidRPr="00CF16C2">
              <w:rPr>
                <w:b/>
                <w:sz w:val="22"/>
                <w:szCs w:val="22"/>
              </w:rPr>
              <w:t>A:</w:t>
            </w:r>
          </w:p>
          <w:p w14:paraId="7583CEDE" w14:textId="77777777" w:rsidR="00B80268" w:rsidRPr="00CF16C2" w:rsidRDefault="00B80268" w:rsidP="00B80268">
            <w:pPr>
              <w:tabs>
                <w:tab w:val="clear" w:pos="794"/>
                <w:tab w:val="clear" w:pos="1191"/>
                <w:tab w:val="clear" w:pos="1588"/>
                <w:tab w:val="clear" w:pos="1985"/>
                <w:tab w:val="left" w:pos="284"/>
              </w:tabs>
              <w:spacing w:before="0"/>
              <w:ind w:left="284" w:hanging="227"/>
              <w:rPr>
                <w:sz w:val="22"/>
                <w:szCs w:val="22"/>
              </w:rPr>
            </w:pPr>
            <w:r w:rsidRPr="00CF16C2">
              <w:rPr>
                <w:sz w:val="22"/>
                <w:szCs w:val="22"/>
              </w:rPr>
              <w:t>–</w:t>
            </w:r>
            <w:r w:rsidRPr="00CF16C2">
              <w:rPr>
                <w:sz w:val="22"/>
                <w:szCs w:val="22"/>
              </w:rPr>
              <w:tab/>
              <w:t>Las Administraciones de los Estados Miembros de la Unión;</w:t>
            </w:r>
          </w:p>
          <w:p w14:paraId="6D42928F" w14:textId="77777777" w:rsidR="001350B9" w:rsidRPr="00CF16C2" w:rsidRDefault="00B80268" w:rsidP="00B80268">
            <w:pPr>
              <w:tabs>
                <w:tab w:val="left" w:pos="226"/>
                <w:tab w:val="left" w:pos="510"/>
              </w:tabs>
              <w:spacing w:before="0"/>
              <w:ind w:left="226" w:hanging="169"/>
              <w:rPr>
                <w:sz w:val="22"/>
                <w:szCs w:val="22"/>
              </w:rPr>
            </w:pPr>
            <w:r w:rsidRPr="00CF16C2">
              <w:rPr>
                <w:sz w:val="22"/>
                <w:szCs w:val="22"/>
              </w:rPr>
              <w:t>–</w:t>
            </w:r>
            <w:r w:rsidRPr="00CF16C2">
              <w:rPr>
                <w:sz w:val="22"/>
                <w:szCs w:val="22"/>
              </w:rPr>
              <w:tab/>
              <w:t>El Estado de Palestina (Res.99 (Rev. Dubái, 2018))</w:t>
            </w:r>
          </w:p>
          <w:p w14:paraId="2DFD6100" w14:textId="77777777" w:rsidR="00B80268" w:rsidRPr="00CF16C2" w:rsidRDefault="00B80268" w:rsidP="00B80268">
            <w:pPr>
              <w:tabs>
                <w:tab w:val="left" w:pos="226"/>
                <w:tab w:val="left" w:pos="510"/>
              </w:tabs>
              <w:spacing w:before="0"/>
              <w:ind w:left="226" w:hanging="169"/>
              <w:rPr>
                <w:sz w:val="22"/>
                <w:szCs w:val="22"/>
              </w:rPr>
            </w:pPr>
            <w:r w:rsidRPr="00CF16C2">
              <w:rPr>
                <w:b/>
                <w:sz w:val="22"/>
                <w:szCs w:val="22"/>
              </w:rPr>
              <w:t>Copia a:</w:t>
            </w:r>
          </w:p>
          <w:p w14:paraId="6C7F09F3" w14:textId="77777777" w:rsidR="00B80268" w:rsidRPr="00CF16C2" w:rsidRDefault="00B80268" w:rsidP="00B80268">
            <w:pPr>
              <w:tabs>
                <w:tab w:val="left" w:pos="226"/>
                <w:tab w:val="left" w:pos="501"/>
              </w:tabs>
              <w:spacing w:before="0"/>
              <w:ind w:left="226" w:hanging="169"/>
              <w:rPr>
                <w:sz w:val="22"/>
                <w:szCs w:val="22"/>
              </w:rPr>
            </w:pPr>
            <w:r w:rsidRPr="00CF16C2">
              <w:rPr>
                <w:sz w:val="22"/>
                <w:szCs w:val="22"/>
              </w:rPr>
              <w:t>–</w:t>
            </w:r>
            <w:r w:rsidRPr="00CF16C2">
              <w:rPr>
                <w:sz w:val="22"/>
                <w:szCs w:val="22"/>
              </w:rPr>
              <w:tab/>
              <w:t>Los Miembros de Sector del UIT-T;</w:t>
            </w:r>
          </w:p>
          <w:p w14:paraId="60AD9E05" w14:textId="335F5286" w:rsidR="00B80268" w:rsidRPr="00CF16C2" w:rsidRDefault="00B80268" w:rsidP="00B80268">
            <w:pPr>
              <w:tabs>
                <w:tab w:val="left" w:pos="226"/>
                <w:tab w:val="left" w:pos="501"/>
              </w:tabs>
              <w:spacing w:before="0"/>
              <w:ind w:left="226" w:hanging="169"/>
              <w:rPr>
                <w:sz w:val="22"/>
                <w:szCs w:val="22"/>
              </w:rPr>
            </w:pPr>
            <w:r w:rsidRPr="00CF16C2">
              <w:rPr>
                <w:sz w:val="22"/>
                <w:szCs w:val="22"/>
              </w:rPr>
              <w:t>–</w:t>
            </w:r>
            <w:r w:rsidRPr="00CF16C2">
              <w:rPr>
                <w:sz w:val="22"/>
                <w:szCs w:val="22"/>
              </w:rPr>
              <w:tab/>
              <w:t>Los Asociados del UIT-T de la Comisión de Estudio</w:t>
            </w:r>
            <w:r w:rsidR="008336F0" w:rsidRPr="00CF16C2">
              <w:rPr>
                <w:sz w:val="22"/>
                <w:szCs w:val="22"/>
              </w:rPr>
              <w:t> 11</w:t>
            </w:r>
            <w:r w:rsidRPr="00CF16C2">
              <w:rPr>
                <w:sz w:val="22"/>
                <w:szCs w:val="22"/>
              </w:rPr>
              <w:t>;</w:t>
            </w:r>
          </w:p>
          <w:p w14:paraId="7F9411A2" w14:textId="77777777" w:rsidR="00B80268" w:rsidRPr="00CF16C2" w:rsidRDefault="00B80268" w:rsidP="00B80268">
            <w:pPr>
              <w:tabs>
                <w:tab w:val="left" w:pos="226"/>
                <w:tab w:val="left" w:pos="501"/>
              </w:tabs>
              <w:spacing w:before="0"/>
              <w:ind w:left="226" w:hanging="169"/>
              <w:rPr>
                <w:sz w:val="22"/>
                <w:szCs w:val="22"/>
              </w:rPr>
            </w:pPr>
            <w:r w:rsidRPr="00CF16C2">
              <w:rPr>
                <w:sz w:val="22"/>
                <w:szCs w:val="22"/>
              </w:rPr>
              <w:t>–</w:t>
            </w:r>
            <w:r w:rsidRPr="00CF16C2">
              <w:rPr>
                <w:sz w:val="22"/>
                <w:szCs w:val="22"/>
              </w:rPr>
              <w:tab/>
              <w:t>Las Instituciones Académicas de la UIT;</w:t>
            </w:r>
          </w:p>
          <w:p w14:paraId="6E7582AA" w14:textId="5F6A6FFF" w:rsidR="00B80268" w:rsidRPr="00CF16C2" w:rsidRDefault="00B80268" w:rsidP="00B80268">
            <w:pPr>
              <w:tabs>
                <w:tab w:val="left" w:pos="226"/>
                <w:tab w:val="left" w:pos="501"/>
              </w:tabs>
              <w:spacing w:before="0"/>
              <w:ind w:left="226" w:hanging="169"/>
              <w:rPr>
                <w:sz w:val="22"/>
                <w:szCs w:val="22"/>
              </w:rPr>
            </w:pPr>
            <w:r w:rsidRPr="00CF16C2">
              <w:rPr>
                <w:sz w:val="22"/>
                <w:szCs w:val="22"/>
              </w:rPr>
              <w:t>–</w:t>
            </w:r>
            <w:r w:rsidRPr="00CF16C2">
              <w:rPr>
                <w:sz w:val="22"/>
                <w:szCs w:val="22"/>
              </w:rPr>
              <w:tab/>
              <w:t xml:space="preserve">Al </w:t>
            </w:r>
            <w:proofErr w:type="gramStart"/>
            <w:r w:rsidRPr="00CF16C2">
              <w:rPr>
                <w:sz w:val="22"/>
                <w:szCs w:val="22"/>
              </w:rPr>
              <w:t>Presidente</w:t>
            </w:r>
            <w:proofErr w:type="gramEnd"/>
            <w:r w:rsidRPr="00CF16C2">
              <w:rPr>
                <w:sz w:val="22"/>
                <w:szCs w:val="22"/>
              </w:rPr>
              <w:t xml:space="preserve"> y a los </w:t>
            </w:r>
            <w:proofErr w:type="gramStart"/>
            <w:r w:rsidRPr="00CF16C2">
              <w:rPr>
                <w:sz w:val="22"/>
                <w:szCs w:val="22"/>
              </w:rPr>
              <w:t>Vicepresidentes</w:t>
            </w:r>
            <w:proofErr w:type="gramEnd"/>
            <w:r w:rsidRPr="00CF16C2">
              <w:rPr>
                <w:sz w:val="22"/>
                <w:szCs w:val="22"/>
              </w:rPr>
              <w:t xml:space="preserve"> de la Comisión de Estudio </w:t>
            </w:r>
            <w:r w:rsidR="008336F0" w:rsidRPr="00CF16C2">
              <w:rPr>
                <w:sz w:val="22"/>
                <w:szCs w:val="22"/>
              </w:rPr>
              <w:t>11</w:t>
            </w:r>
            <w:r w:rsidRPr="00CF16C2">
              <w:rPr>
                <w:sz w:val="22"/>
                <w:szCs w:val="22"/>
              </w:rPr>
              <w:t xml:space="preserve"> del UIT-T;</w:t>
            </w:r>
          </w:p>
          <w:p w14:paraId="2D2295B1" w14:textId="77777777" w:rsidR="00B80268" w:rsidRPr="00CF16C2" w:rsidRDefault="00B80268" w:rsidP="00B80268">
            <w:pPr>
              <w:tabs>
                <w:tab w:val="left" w:pos="226"/>
                <w:tab w:val="left" w:pos="501"/>
              </w:tabs>
              <w:spacing w:before="0"/>
              <w:ind w:left="226" w:hanging="169"/>
              <w:rPr>
                <w:sz w:val="22"/>
                <w:szCs w:val="22"/>
              </w:rPr>
            </w:pPr>
            <w:r w:rsidRPr="00CF16C2">
              <w:rPr>
                <w:sz w:val="22"/>
                <w:szCs w:val="22"/>
              </w:rPr>
              <w:t>–</w:t>
            </w:r>
            <w:r w:rsidRPr="00CF16C2">
              <w:rPr>
                <w:sz w:val="22"/>
                <w:szCs w:val="22"/>
              </w:rPr>
              <w:tab/>
              <w:t xml:space="preserve">El </w:t>
            </w:r>
            <w:proofErr w:type="gramStart"/>
            <w:r w:rsidRPr="00CF16C2">
              <w:rPr>
                <w:sz w:val="22"/>
                <w:szCs w:val="22"/>
              </w:rPr>
              <w:t>Director</w:t>
            </w:r>
            <w:proofErr w:type="gramEnd"/>
            <w:r w:rsidRPr="00CF16C2">
              <w:rPr>
                <w:sz w:val="22"/>
                <w:szCs w:val="22"/>
              </w:rPr>
              <w:t xml:space="preserve"> de la Oficina de Desarrollo de las Telecomunicaciones;</w:t>
            </w:r>
          </w:p>
          <w:p w14:paraId="1328900F" w14:textId="22D56A5D" w:rsidR="00B80268" w:rsidRPr="00CF16C2" w:rsidRDefault="00B80268" w:rsidP="00B80268">
            <w:pPr>
              <w:tabs>
                <w:tab w:val="left" w:pos="226"/>
                <w:tab w:val="left" w:pos="510"/>
              </w:tabs>
              <w:spacing w:before="0"/>
              <w:ind w:left="226" w:hanging="169"/>
              <w:rPr>
                <w:sz w:val="22"/>
                <w:szCs w:val="22"/>
              </w:rPr>
            </w:pPr>
            <w:r w:rsidRPr="00CF16C2">
              <w:rPr>
                <w:sz w:val="22"/>
                <w:szCs w:val="22"/>
              </w:rPr>
              <w:t>–</w:t>
            </w:r>
            <w:r w:rsidRPr="00CF16C2">
              <w:rPr>
                <w:sz w:val="22"/>
                <w:szCs w:val="22"/>
              </w:rPr>
              <w:tab/>
              <w:t xml:space="preserve">El </w:t>
            </w:r>
            <w:proofErr w:type="gramStart"/>
            <w:r w:rsidRPr="00CF16C2">
              <w:rPr>
                <w:sz w:val="22"/>
                <w:szCs w:val="22"/>
              </w:rPr>
              <w:t>Director</w:t>
            </w:r>
            <w:proofErr w:type="gramEnd"/>
            <w:r w:rsidRPr="00CF16C2">
              <w:rPr>
                <w:sz w:val="22"/>
                <w:szCs w:val="22"/>
              </w:rPr>
              <w:t xml:space="preserve"> de la Oficina de Radiocomunicaciones</w:t>
            </w:r>
          </w:p>
        </w:tc>
      </w:tr>
      <w:tr w:rsidR="001350B9" w:rsidRPr="00CF16C2" w14:paraId="6F3E1517" w14:textId="77777777" w:rsidTr="00CF16C2">
        <w:trPr>
          <w:cantSplit/>
        </w:trPr>
        <w:tc>
          <w:tcPr>
            <w:tcW w:w="1260" w:type="dxa"/>
          </w:tcPr>
          <w:p w14:paraId="16FAD585" w14:textId="77777777" w:rsidR="001350B9" w:rsidRPr="00CF16C2" w:rsidRDefault="001350B9" w:rsidP="00303D62">
            <w:pPr>
              <w:tabs>
                <w:tab w:val="left" w:pos="4111"/>
              </w:tabs>
              <w:spacing w:before="10"/>
              <w:ind w:left="57"/>
              <w:rPr>
                <w:sz w:val="22"/>
                <w:szCs w:val="22"/>
              </w:rPr>
            </w:pPr>
            <w:r w:rsidRPr="00CF16C2">
              <w:rPr>
                <w:sz w:val="22"/>
                <w:szCs w:val="22"/>
              </w:rPr>
              <w:t>Tel.:</w:t>
            </w:r>
          </w:p>
        </w:tc>
        <w:tc>
          <w:tcPr>
            <w:tcW w:w="3715" w:type="dxa"/>
          </w:tcPr>
          <w:p w14:paraId="2FDE09C3" w14:textId="1DBFA646" w:rsidR="001350B9" w:rsidRPr="00CF16C2" w:rsidRDefault="001350B9" w:rsidP="00B80268">
            <w:pPr>
              <w:tabs>
                <w:tab w:val="left" w:pos="4111"/>
              </w:tabs>
              <w:spacing w:before="0"/>
              <w:ind w:left="57"/>
              <w:rPr>
                <w:rStyle w:val="Hyperlink"/>
                <w:sz w:val="22"/>
                <w:szCs w:val="22"/>
              </w:rPr>
            </w:pPr>
            <w:r w:rsidRPr="00CF16C2">
              <w:rPr>
                <w:sz w:val="22"/>
                <w:szCs w:val="22"/>
              </w:rPr>
              <w:t>+41 22 730</w:t>
            </w:r>
            <w:r w:rsidR="00B80268" w:rsidRPr="00CF16C2">
              <w:rPr>
                <w:sz w:val="22"/>
                <w:szCs w:val="22"/>
              </w:rPr>
              <w:t xml:space="preserve"> 5780</w:t>
            </w:r>
          </w:p>
        </w:tc>
        <w:tc>
          <w:tcPr>
            <w:tcW w:w="5329" w:type="dxa"/>
            <w:vMerge/>
          </w:tcPr>
          <w:p w14:paraId="74294B63" w14:textId="77777777" w:rsidR="001350B9" w:rsidRPr="00CF16C2" w:rsidRDefault="001350B9" w:rsidP="00303D62">
            <w:pPr>
              <w:tabs>
                <w:tab w:val="left" w:pos="226"/>
                <w:tab w:val="left" w:pos="510"/>
              </w:tabs>
              <w:spacing w:before="0"/>
              <w:ind w:left="226" w:hanging="169"/>
              <w:rPr>
                <w:b/>
                <w:sz w:val="22"/>
                <w:szCs w:val="22"/>
              </w:rPr>
            </w:pPr>
          </w:p>
        </w:tc>
      </w:tr>
      <w:tr w:rsidR="001350B9" w:rsidRPr="00CF16C2" w14:paraId="1DA616BC" w14:textId="77777777" w:rsidTr="00CF16C2">
        <w:trPr>
          <w:cantSplit/>
        </w:trPr>
        <w:tc>
          <w:tcPr>
            <w:tcW w:w="1260" w:type="dxa"/>
          </w:tcPr>
          <w:p w14:paraId="3BBC0493" w14:textId="77777777" w:rsidR="001350B9" w:rsidRPr="00CF16C2" w:rsidRDefault="001350B9" w:rsidP="00303D62">
            <w:pPr>
              <w:tabs>
                <w:tab w:val="left" w:pos="4111"/>
              </w:tabs>
              <w:spacing w:before="10"/>
              <w:ind w:left="57"/>
              <w:rPr>
                <w:sz w:val="22"/>
                <w:szCs w:val="22"/>
              </w:rPr>
            </w:pPr>
            <w:r w:rsidRPr="00CF16C2">
              <w:rPr>
                <w:sz w:val="22"/>
                <w:szCs w:val="22"/>
              </w:rPr>
              <w:t>Fax:</w:t>
            </w:r>
          </w:p>
        </w:tc>
        <w:tc>
          <w:tcPr>
            <w:tcW w:w="3715" w:type="dxa"/>
          </w:tcPr>
          <w:p w14:paraId="37084090" w14:textId="6EC5C47E" w:rsidR="001350B9" w:rsidRPr="00CF16C2" w:rsidRDefault="001350B9" w:rsidP="00B80268">
            <w:pPr>
              <w:tabs>
                <w:tab w:val="left" w:pos="4111"/>
              </w:tabs>
              <w:spacing w:before="0"/>
              <w:ind w:left="57"/>
              <w:rPr>
                <w:rStyle w:val="Hyperlink"/>
                <w:sz w:val="22"/>
                <w:szCs w:val="22"/>
              </w:rPr>
            </w:pPr>
            <w:r w:rsidRPr="00CF16C2">
              <w:rPr>
                <w:sz w:val="22"/>
                <w:szCs w:val="22"/>
              </w:rPr>
              <w:t xml:space="preserve">+41 22 730 </w:t>
            </w:r>
            <w:r w:rsidR="00B80268" w:rsidRPr="00CF16C2">
              <w:rPr>
                <w:sz w:val="22"/>
                <w:szCs w:val="22"/>
              </w:rPr>
              <w:t>5853</w:t>
            </w:r>
          </w:p>
        </w:tc>
        <w:tc>
          <w:tcPr>
            <w:tcW w:w="5329" w:type="dxa"/>
            <w:vMerge/>
          </w:tcPr>
          <w:p w14:paraId="52A1A0E3" w14:textId="77777777" w:rsidR="001350B9" w:rsidRPr="00CF16C2" w:rsidRDefault="001350B9" w:rsidP="00303D62">
            <w:pPr>
              <w:tabs>
                <w:tab w:val="left" w:pos="226"/>
                <w:tab w:val="left" w:pos="510"/>
              </w:tabs>
              <w:spacing w:before="0"/>
              <w:ind w:left="226" w:hanging="169"/>
              <w:rPr>
                <w:b/>
                <w:sz w:val="22"/>
                <w:szCs w:val="22"/>
              </w:rPr>
            </w:pPr>
          </w:p>
        </w:tc>
      </w:tr>
      <w:tr w:rsidR="001350B9" w:rsidRPr="00CF16C2" w14:paraId="4FBC90AB" w14:textId="77777777" w:rsidTr="00CF16C2">
        <w:trPr>
          <w:cantSplit/>
          <w:trHeight w:val="2187"/>
        </w:trPr>
        <w:tc>
          <w:tcPr>
            <w:tcW w:w="1260" w:type="dxa"/>
          </w:tcPr>
          <w:p w14:paraId="07C2DDDA" w14:textId="77777777" w:rsidR="001350B9" w:rsidRPr="00CF16C2" w:rsidRDefault="001350B9" w:rsidP="00303D62">
            <w:pPr>
              <w:tabs>
                <w:tab w:val="left" w:pos="4111"/>
              </w:tabs>
              <w:spacing w:before="10"/>
              <w:ind w:left="57"/>
              <w:rPr>
                <w:sz w:val="22"/>
                <w:szCs w:val="22"/>
              </w:rPr>
            </w:pPr>
            <w:r w:rsidRPr="00CF16C2">
              <w:rPr>
                <w:sz w:val="22"/>
                <w:szCs w:val="22"/>
              </w:rPr>
              <w:t>Correo-e:</w:t>
            </w:r>
          </w:p>
        </w:tc>
        <w:tc>
          <w:tcPr>
            <w:tcW w:w="3715" w:type="dxa"/>
          </w:tcPr>
          <w:p w14:paraId="59C5A679" w14:textId="7258F624" w:rsidR="001350B9" w:rsidRPr="00CF16C2" w:rsidRDefault="008336F0" w:rsidP="00303D62">
            <w:pPr>
              <w:tabs>
                <w:tab w:val="left" w:pos="4111"/>
              </w:tabs>
              <w:spacing w:before="0"/>
              <w:ind w:left="57"/>
              <w:rPr>
                <w:sz w:val="22"/>
                <w:szCs w:val="22"/>
              </w:rPr>
            </w:pPr>
            <w:hyperlink r:id="rId9" w:history="1">
              <w:r w:rsidRPr="00CF16C2">
                <w:rPr>
                  <w:rStyle w:val="Hyperlink"/>
                  <w:sz w:val="22"/>
                  <w:szCs w:val="22"/>
                </w:rPr>
                <w:t>tsbsg11@itu.int</w:t>
              </w:r>
            </w:hyperlink>
            <w:r w:rsidR="001350B9" w:rsidRPr="00CF16C2">
              <w:rPr>
                <w:sz w:val="22"/>
                <w:szCs w:val="22"/>
              </w:rPr>
              <w:t xml:space="preserve"> </w:t>
            </w:r>
          </w:p>
        </w:tc>
        <w:tc>
          <w:tcPr>
            <w:tcW w:w="5329" w:type="dxa"/>
            <w:vMerge/>
          </w:tcPr>
          <w:p w14:paraId="0E90453B" w14:textId="77777777" w:rsidR="001350B9" w:rsidRPr="00CF16C2" w:rsidRDefault="001350B9" w:rsidP="00303D62">
            <w:pPr>
              <w:tabs>
                <w:tab w:val="clear" w:pos="794"/>
                <w:tab w:val="clear" w:pos="1191"/>
                <w:tab w:val="clear" w:pos="1588"/>
                <w:tab w:val="clear" w:pos="1985"/>
                <w:tab w:val="left" w:pos="226"/>
                <w:tab w:val="left" w:pos="510"/>
              </w:tabs>
              <w:spacing w:before="0"/>
              <w:ind w:left="226" w:hanging="169"/>
              <w:rPr>
                <w:sz w:val="22"/>
                <w:szCs w:val="22"/>
              </w:rPr>
            </w:pPr>
          </w:p>
        </w:tc>
      </w:tr>
      <w:tr w:rsidR="007B6316" w:rsidRPr="00CF16C2" w14:paraId="1E5CCE9D" w14:textId="77777777" w:rsidTr="00CF16C2">
        <w:trPr>
          <w:cantSplit/>
        </w:trPr>
        <w:tc>
          <w:tcPr>
            <w:tcW w:w="1260" w:type="dxa"/>
          </w:tcPr>
          <w:p w14:paraId="036C25BA" w14:textId="77777777" w:rsidR="007B6316" w:rsidRPr="00CF16C2" w:rsidRDefault="007B6316" w:rsidP="00CF16C2">
            <w:pPr>
              <w:tabs>
                <w:tab w:val="left" w:pos="4111"/>
              </w:tabs>
              <w:spacing w:before="0"/>
              <w:ind w:left="57"/>
              <w:rPr>
                <w:sz w:val="22"/>
                <w:szCs w:val="22"/>
              </w:rPr>
            </w:pPr>
            <w:r w:rsidRPr="00CF16C2">
              <w:rPr>
                <w:b/>
                <w:bCs/>
                <w:sz w:val="22"/>
                <w:szCs w:val="22"/>
              </w:rPr>
              <w:t>Asunto</w:t>
            </w:r>
            <w:r w:rsidRPr="00CF16C2">
              <w:rPr>
                <w:sz w:val="22"/>
                <w:szCs w:val="22"/>
              </w:rPr>
              <w:t>:</w:t>
            </w:r>
          </w:p>
        </w:tc>
        <w:tc>
          <w:tcPr>
            <w:tcW w:w="9044" w:type="dxa"/>
            <w:gridSpan w:val="2"/>
          </w:tcPr>
          <w:p w14:paraId="66EFF37C" w14:textId="504D9223" w:rsidR="007B6316" w:rsidRPr="00CF16C2" w:rsidRDefault="00B80268" w:rsidP="00CF16C2">
            <w:pPr>
              <w:tabs>
                <w:tab w:val="left" w:pos="4111"/>
              </w:tabs>
              <w:spacing w:before="0"/>
              <w:rPr>
                <w:b/>
                <w:sz w:val="22"/>
                <w:szCs w:val="22"/>
              </w:rPr>
            </w:pPr>
            <w:r w:rsidRPr="00CF16C2">
              <w:rPr>
                <w:b/>
                <w:sz w:val="22"/>
                <w:szCs w:val="22"/>
              </w:rPr>
              <w:t xml:space="preserve">Consulta a los Estados Miembros sobre los proyectos de Recomendaciones determinadas UIT-T Q.5055 (antes </w:t>
            </w:r>
            <w:proofErr w:type="gramStart"/>
            <w:r w:rsidRPr="00CF16C2">
              <w:rPr>
                <w:b/>
                <w:sz w:val="22"/>
                <w:szCs w:val="22"/>
              </w:rPr>
              <w:t>Q.CEIR</w:t>
            </w:r>
            <w:proofErr w:type="gramEnd"/>
            <w:r w:rsidRPr="00CF16C2">
              <w:rPr>
                <w:b/>
                <w:sz w:val="22"/>
                <w:szCs w:val="22"/>
              </w:rPr>
              <w:t>) y UIT-T Q.5056 (antes Q.FC-MCM) propuestos para aprobación en la reunión de la Comisión de Estudio 11 del UIT-T (prevista en Ginebra, del 17 al 26 de noviembre de 2025)</w:t>
            </w:r>
          </w:p>
        </w:tc>
      </w:tr>
    </w:tbl>
    <w:p w14:paraId="696F2C75" w14:textId="203F0786" w:rsidR="00C34772" w:rsidRPr="00CF16C2" w:rsidRDefault="00C34772" w:rsidP="00CF16C2">
      <w:pPr>
        <w:pStyle w:val="Normalaftertitle"/>
        <w:spacing w:before="100"/>
        <w:rPr>
          <w:sz w:val="22"/>
          <w:szCs w:val="22"/>
        </w:rPr>
      </w:pPr>
      <w:bookmarkStart w:id="1" w:name="StartTyping_S"/>
      <w:bookmarkStart w:id="2" w:name="suitetext"/>
      <w:bookmarkStart w:id="3" w:name="text"/>
      <w:bookmarkEnd w:id="1"/>
      <w:bookmarkEnd w:id="2"/>
      <w:bookmarkEnd w:id="3"/>
      <w:r w:rsidRPr="00CF16C2">
        <w:rPr>
          <w:sz w:val="22"/>
          <w:szCs w:val="22"/>
        </w:rPr>
        <w:t>Muy Señora mía/Muy Señor mío</w:t>
      </w:r>
      <w:r w:rsidR="00CF16C2">
        <w:rPr>
          <w:sz w:val="22"/>
          <w:szCs w:val="22"/>
        </w:rPr>
        <w:t>,</w:t>
      </w:r>
    </w:p>
    <w:p w14:paraId="71C084C2" w14:textId="1537BC9F" w:rsidR="00B80268" w:rsidRPr="00CF16C2" w:rsidRDefault="00B80268" w:rsidP="00CF16C2">
      <w:pPr>
        <w:pStyle w:val="Normalaftertitle"/>
        <w:spacing w:before="100"/>
        <w:rPr>
          <w:sz w:val="22"/>
          <w:szCs w:val="22"/>
        </w:rPr>
      </w:pPr>
      <w:r w:rsidRPr="00CF16C2">
        <w:rPr>
          <w:sz w:val="22"/>
          <w:szCs w:val="22"/>
        </w:rPr>
        <w:t>1</w:t>
      </w:r>
      <w:r w:rsidRPr="00CF16C2">
        <w:rPr>
          <w:sz w:val="22"/>
          <w:szCs w:val="22"/>
        </w:rPr>
        <w:tab/>
      </w:r>
      <w:proofErr w:type="gramStart"/>
      <w:r w:rsidRPr="00CF16C2">
        <w:rPr>
          <w:sz w:val="22"/>
          <w:szCs w:val="22"/>
        </w:rPr>
        <w:t>La</w:t>
      </w:r>
      <w:proofErr w:type="gramEnd"/>
      <w:r w:rsidRPr="00CF16C2">
        <w:rPr>
          <w:sz w:val="22"/>
          <w:szCs w:val="22"/>
        </w:rPr>
        <w:t xml:space="preserve"> Comisión de Estudio 11 (Requisitos de señalización, protocolos, especificaciones de pruebas y lucha contra la falsificación de dispositivos de telecomunicaciones/TIC) tiene previsto aplicar el procedimiento de aprobación tradicional descrito en la Sección 9 de la Resolución 1 (Rev.</w:t>
      </w:r>
      <w:r w:rsidR="00106F73" w:rsidRPr="00CF16C2">
        <w:rPr>
          <w:sz w:val="22"/>
          <w:szCs w:val="22"/>
        </w:rPr>
        <w:t> </w:t>
      </w:r>
      <w:r w:rsidRPr="00CF16C2">
        <w:rPr>
          <w:sz w:val="22"/>
          <w:szCs w:val="22"/>
        </w:rPr>
        <w:t>Ginebra, 2022) de la AMNT para la aprobación de los proyectos de Recomendaciones mencionados en su próxima reunión prevista en Ginebra, del 17 al 26 de noviembre de 2025. El orden del día y toda la información pertinente sobre la reunión de la Comisión de Estudio 11 del UIT</w:t>
      </w:r>
      <w:r w:rsidR="00106F73" w:rsidRPr="00CF16C2">
        <w:rPr>
          <w:sz w:val="22"/>
          <w:szCs w:val="22"/>
        </w:rPr>
        <w:noBreakHyphen/>
      </w:r>
      <w:r w:rsidRPr="00CF16C2">
        <w:rPr>
          <w:sz w:val="22"/>
          <w:szCs w:val="22"/>
        </w:rPr>
        <w:t>T se publicarán a su debido tiempo.</w:t>
      </w:r>
    </w:p>
    <w:p w14:paraId="01B20602" w14:textId="164BCAC6" w:rsidR="00B80268" w:rsidRPr="00CF16C2" w:rsidRDefault="00B80268" w:rsidP="00CF16C2">
      <w:pPr>
        <w:spacing w:before="100"/>
        <w:rPr>
          <w:sz w:val="22"/>
          <w:szCs w:val="22"/>
        </w:rPr>
      </w:pPr>
      <w:r w:rsidRPr="00CF16C2">
        <w:rPr>
          <w:sz w:val="22"/>
          <w:szCs w:val="22"/>
        </w:rPr>
        <w:t xml:space="preserve">NOTA – El proyecto de nueva Recomendación UIT-T Q.5055 (antes </w:t>
      </w:r>
      <w:proofErr w:type="gramStart"/>
      <w:r w:rsidRPr="00CF16C2">
        <w:rPr>
          <w:sz w:val="22"/>
          <w:szCs w:val="22"/>
        </w:rPr>
        <w:t>Q.CEIR</w:t>
      </w:r>
      <w:proofErr w:type="gramEnd"/>
      <w:r w:rsidRPr="00CF16C2">
        <w:rPr>
          <w:sz w:val="22"/>
          <w:szCs w:val="22"/>
        </w:rPr>
        <w:t>), que fue aprobado en la reunión de la CE 11 en mayo de 2024, cambió el proceso de aprobación por el proceso de aprobación tradicional (TAP) de conformidad con la Recomendación UIT-T A.8/§5.2.</w:t>
      </w:r>
    </w:p>
    <w:p w14:paraId="259D3433" w14:textId="21C76C91" w:rsidR="00B80268" w:rsidRPr="00CF16C2" w:rsidRDefault="00B80268" w:rsidP="00CF16C2">
      <w:pPr>
        <w:spacing w:before="100"/>
        <w:rPr>
          <w:sz w:val="22"/>
          <w:szCs w:val="22"/>
        </w:rPr>
      </w:pPr>
      <w:r w:rsidRPr="00CF16C2">
        <w:rPr>
          <w:sz w:val="22"/>
          <w:szCs w:val="22"/>
        </w:rPr>
        <w:t>2</w:t>
      </w:r>
      <w:r w:rsidRPr="00CF16C2">
        <w:rPr>
          <w:sz w:val="22"/>
          <w:szCs w:val="22"/>
        </w:rPr>
        <w:tab/>
      </w:r>
      <w:proofErr w:type="gramStart"/>
      <w:r w:rsidRPr="00CF16C2">
        <w:rPr>
          <w:sz w:val="22"/>
          <w:szCs w:val="22"/>
        </w:rPr>
        <w:t>El</w:t>
      </w:r>
      <w:proofErr w:type="gramEnd"/>
      <w:r w:rsidRPr="00CF16C2">
        <w:rPr>
          <w:sz w:val="22"/>
          <w:szCs w:val="22"/>
        </w:rPr>
        <w:t xml:space="preserve"> </w:t>
      </w:r>
      <w:r w:rsidRPr="00CF16C2">
        <w:rPr>
          <w:b/>
          <w:bCs/>
          <w:sz w:val="22"/>
          <w:szCs w:val="22"/>
        </w:rPr>
        <w:t>Anexo 1</w:t>
      </w:r>
      <w:r w:rsidRPr="00CF16C2">
        <w:rPr>
          <w:sz w:val="22"/>
          <w:szCs w:val="22"/>
        </w:rPr>
        <w:t xml:space="preserve"> contiene los títulos, resúmenes y ubicaciones de los proyectos de Recomendación UIT-T propuestos para aprobación.</w:t>
      </w:r>
    </w:p>
    <w:p w14:paraId="1AE84839" w14:textId="77777777" w:rsidR="00B80268" w:rsidRPr="00CF16C2" w:rsidRDefault="00B80268" w:rsidP="00CF16C2">
      <w:pPr>
        <w:spacing w:before="100"/>
        <w:rPr>
          <w:sz w:val="22"/>
          <w:szCs w:val="22"/>
        </w:rPr>
      </w:pPr>
      <w:r w:rsidRPr="00CF16C2">
        <w:rPr>
          <w:sz w:val="22"/>
          <w:szCs w:val="22"/>
        </w:rPr>
        <w:t>3</w:t>
      </w:r>
      <w:r w:rsidRPr="00CF16C2">
        <w:rPr>
          <w:sz w:val="22"/>
          <w:szCs w:val="22"/>
        </w:rPr>
        <w:tab/>
      </w:r>
      <w:proofErr w:type="gramStart"/>
      <w:r w:rsidRPr="00CF16C2">
        <w:rPr>
          <w:sz w:val="22"/>
          <w:szCs w:val="22"/>
        </w:rPr>
        <w:t>Con</w:t>
      </w:r>
      <w:proofErr w:type="gramEnd"/>
      <w:r w:rsidRPr="00CF16C2">
        <w:rPr>
          <w:sz w:val="22"/>
          <w:szCs w:val="22"/>
        </w:rPr>
        <w:t xml:space="preserve"> esta Circular se inicia la consulta oficial con los Estados Miembros de la UIT sobre si estos textos pueden considerarse para aprobación en la próxima reunión, de acuerdo con la cláusula 9.4 de la Resolución 1. Se ruega a los Estados Miembros que cumplimenten y devuelvan el formulario incluido en el </w:t>
      </w:r>
      <w:r w:rsidRPr="00CF16C2">
        <w:rPr>
          <w:b/>
          <w:bCs/>
          <w:sz w:val="22"/>
          <w:szCs w:val="22"/>
        </w:rPr>
        <w:t>Anexo 2</w:t>
      </w:r>
      <w:r w:rsidRPr="00CF16C2">
        <w:rPr>
          <w:sz w:val="22"/>
          <w:szCs w:val="22"/>
        </w:rPr>
        <w:t xml:space="preserve"> antes de las 23.59 horas UTC del </w:t>
      </w:r>
      <w:r w:rsidRPr="00CF16C2">
        <w:rPr>
          <w:b/>
          <w:bCs/>
          <w:sz w:val="22"/>
          <w:szCs w:val="22"/>
        </w:rPr>
        <w:t>5 de noviembre de 2025</w:t>
      </w:r>
      <w:r w:rsidRPr="00CF16C2">
        <w:rPr>
          <w:sz w:val="22"/>
          <w:szCs w:val="22"/>
        </w:rPr>
        <w:t>.</w:t>
      </w:r>
    </w:p>
    <w:p w14:paraId="69097305" w14:textId="5C2765F5" w:rsidR="007B6316" w:rsidRPr="00CF16C2" w:rsidRDefault="00B80268" w:rsidP="00CF16C2">
      <w:pPr>
        <w:spacing w:before="100"/>
        <w:rPr>
          <w:sz w:val="22"/>
          <w:szCs w:val="22"/>
        </w:rPr>
      </w:pPr>
      <w:bookmarkStart w:id="4" w:name="_Hlk172722338"/>
      <w:r w:rsidRPr="00CF16C2">
        <w:rPr>
          <w:sz w:val="22"/>
          <w:szCs w:val="22"/>
        </w:rPr>
        <w:t>4</w:t>
      </w:r>
      <w:r w:rsidRPr="00CF16C2">
        <w:rPr>
          <w:sz w:val="22"/>
          <w:szCs w:val="22"/>
        </w:rPr>
        <w:tab/>
      </w:r>
      <w:bookmarkEnd w:id="4"/>
      <w:proofErr w:type="gramStart"/>
      <w:r w:rsidRPr="00CF16C2">
        <w:rPr>
          <w:sz w:val="22"/>
          <w:szCs w:val="22"/>
        </w:rPr>
        <w:t>Si</w:t>
      </w:r>
      <w:proofErr w:type="gramEnd"/>
      <w:r w:rsidRPr="00CF16C2">
        <w:rPr>
          <w:sz w:val="22"/>
          <w:szCs w:val="22"/>
        </w:rPr>
        <w:t xml:space="preserve"> el 70 % como mínimo de las respuestas de los Estados Miembros es favorable a que se considere la aprobación, se dedicará una sesión plenaria a la aplicación del procedimiento de aprobación. Los Estados Miembros que no otorguen autoridad para proceder deben informar al </w:t>
      </w:r>
      <w:proofErr w:type="gramStart"/>
      <w:r w:rsidRPr="00CF16C2">
        <w:rPr>
          <w:sz w:val="22"/>
          <w:szCs w:val="22"/>
        </w:rPr>
        <w:t>Director</w:t>
      </w:r>
      <w:proofErr w:type="gramEnd"/>
      <w:r w:rsidRPr="00CF16C2">
        <w:rPr>
          <w:sz w:val="22"/>
          <w:szCs w:val="22"/>
        </w:rPr>
        <w:t xml:space="preserve"> de la TSB de los motivos en que se fundamenta esta opinión e indicar los cambios que podrían permitir el proseguimiento de los trabajos.</w:t>
      </w:r>
    </w:p>
    <w:p w14:paraId="3868C1CB" w14:textId="3617AE55" w:rsidR="007B6316" w:rsidRPr="00CF16C2" w:rsidRDefault="007B6316" w:rsidP="00CF16C2">
      <w:pPr>
        <w:pStyle w:val="Normalaftertitle"/>
        <w:spacing w:before="120"/>
        <w:rPr>
          <w:sz w:val="22"/>
          <w:szCs w:val="22"/>
        </w:rPr>
      </w:pPr>
      <w:r w:rsidRPr="00CF16C2">
        <w:rPr>
          <w:sz w:val="22"/>
          <w:szCs w:val="22"/>
        </w:rPr>
        <w:t>Atentamente,</w:t>
      </w:r>
    </w:p>
    <w:p w14:paraId="0257EE63" w14:textId="4587BF75" w:rsidR="007B6316" w:rsidRPr="00CF16C2" w:rsidRDefault="00F522BC" w:rsidP="00CF16C2">
      <w:pPr>
        <w:spacing w:before="720"/>
        <w:rPr>
          <w:sz w:val="22"/>
          <w:szCs w:val="22"/>
        </w:rPr>
      </w:pPr>
      <w:r>
        <w:rPr>
          <w:noProof/>
          <w:sz w:val="22"/>
          <w:szCs w:val="22"/>
        </w:rPr>
        <w:drawing>
          <wp:anchor distT="0" distB="0" distL="114300" distR="114300" simplePos="0" relativeHeight="251658240" behindDoc="0" locked="0" layoutInCell="1" allowOverlap="1" wp14:anchorId="26F12198" wp14:editId="6663BBF0">
            <wp:simplePos x="0" y="0"/>
            <wp:positionH relativeFrom="column">
              <wp:posOffset>-53340</wp:posOffset>
            </wp:positionH>
            <wp:positionV relativeFrom="paragraph">
              <wp:posOffset>111125</wp:posOffset>
            </wp:positionV>
            <wp:extent cx="825542" cy="330217"/>
            <wp:effectExtent l="0" t="0" r="0" b="0"/>
            <wp:wrapNone/>
            <wp:docPr id="881465830"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465830" name="Picture 2" descr="A black text on a white backgroun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825542" cy="330217"/>
                    </a:xfrm>
                    <a:prstGeom prst="rect">
                      <a:avLst/>
                    </a:prstGeom>
                  </pic:spPr>
                </pic:pic>
              </a:graphicData>
            </a:graphic>
          </wp:anchor>
        </w:drawing>
      </w:r>
      <w:r w:rsidR="001350B9" w:rsidRPr="00CF16C2">
        <w:rPr>
          <w:rFonts w:cstheme="minorHAnsi"/>
          <w:sz w:val="22"/>
          <w:szCs w:val="22"/>
        </w:rPr>
        <w:t>Seizo Onoe</w:t>
      </w:r>
      <w:r w:rsidR="007B6316" w:rsidRPr="00CF16C2">
        <w:rPr>
          <w:sz w:val="22"/>
          <w:szCs w:val="22"/>
        </w:rPr>
        <w:br/>
      </w:r>
      <w:proofErr w:type="gramStart"/>
      <w:r w:rsidR="007B6316" w:rsidRPr="00CF16C2">
        <w:rPr>
          <w:sz w:val="22"/>
          <w:szCs w:val="22"/>
        </w:rPr>
        <w:t>Director</w:t>
      </w:r>
      <w:proofErr w:type="gramEnd"/>
      <w:r w:rsidR="007B6316" w:rsidRPr="00CF16C2">
        <w:rPr>
          <w:sz w:val="22"/>
          <w:szCs w:val="22"/>
        </w:rPr>
        <w:t xml:space="preserve"> de la Oficina de </w:t>
      </w:r>
      <w:r w:rsidR="007B6316" w:rsidRPr="00CF16C2">
        <w:rPr>
          <w:sz w:val="22"/>
          <w:szCs w:val="22"/>
        </w:rPr>
        <w:br/>
        <w:t>Normalización de las Telecomunicaciones</w:t>
      </w:r>
    </w:p>
    <w:p w14:paraId="02610EA8" w14:textId="027F7F4D" w:rsidR="00B80268" w:rsidRPr="00CF16C2" w:rsidRDefault="00B80268" w:rsidP="00CF16C2">
      <w:pPr>
        <w:pStyle w:val="Normalaftertitle"/>
        <w:spacing w:before="100"/>
        <w:rPr>
          <w:sz w:val="22"/>
          <w:szCs w:val="22"/>
        </w:rPr>
      </w:pPr>
      <w:r w:rsidRPr="00CF16C2">
        <w:rPr>
          <w:b/>
          <w:bCs/>
          <w:sz w:val="22"/>
          <w:szCs w:val="22"/>
        </w:rPr>
        <w:t>Anexos:</w:t>
      </w:r>
      <w:r w:rsidR="00CF16C2">
        <w:rPr>
          <w:b/>
          <w:bCs/>
          <w:sz w:val="22"/>
          <w:szCs w:val="22"/>
        </w:rPr>
        <w:tab/>
      </w:r>
      <w:r w:rsidRPr="00CF16C2">
        <w:rPr>
          <w:sz w:val="22"/>
          <w:szCs w:val="22"/>
        </w:rPr>
        <w:t>2</w:t>
      </w:r>
    </w:p>
    <w:p w14:paraId="088E575B" w14:textId="52AC33DB" w:rsidR="00B80268" w:rsidRPr="007E3284" w:rsidRDefault="00B80268" w:rsidP="00B80268">
      <w:pPr>
        <w:pStyle w:val="AnnexNotitle"/>
      </w:pPr>
      <w:r w:rsidRPr="007E3284">
        <w:lastRenderedPageBreak/>
        <w:t>Anexo 1</w:t>
      </w:r>
      <w:r w:rsidRPr="007E3284">
        <w:br/>
        <w:t>Resumen y ubicación de los proyectos de Recomendación determinada UIT</w:t>
      </w:r>
      <w:r w:rsidR="00547762" w:rsidRPr="007E3284">
        <w:noBreakHyphen/>
      </w:r>
      <w:r w:rsidRPr="007E3284">
        <w:t>T</w:t>
      </w:r>
      <w:r w:rsidR="00547762" w:rsidRPr="007E3284">
        <w:t> </w:t>
      </w:r>
      <w:r w:rsidRPr="007E3284">
        <w:t xml:space="preserve">Q.5055 (antes </w:t>
      </w:r>
      <w:proofErr w:type="gramStart"/>
      <w:r w:rsidRPr="007E3284">
        <w:t>Q.CEIR</w:t>
      </w:r>
      <w:proofErr w:type="gramEnd"/>
      <w:r w:rsidRPr="007E3284">
        <w:t>) y UIT-T Q.5056 (antes Q.FC-MCM)</w:t>
      </w:r>
    </w:p>
    <w:p w14:paraId="57B9F5CE" w14:textId="73D8238A" w:rsidR="00B80268" w:rsidRPr="007E3284" w:rsidRDefault="00B80268" w:rsidP="00547762">
      <w:pPr>
        <w:pStyle w:val="Normalaftertitle"/>
        <w:rPr>
          <w:i/>
          <w:iCs/>
        </w:rPr>
      </w:pPr>
      <w:r w:rsidRPr="007E3284">
        <w:rPr>
          <w:i/>
          <w:iCs/>
        </w:rPr>
        <w:t>NOTA – En respuesta a una solicitud formulada en la sesión plenaria de clausura de la CE 11 el 28</w:t>
      </w:r>
      <w:r w:rsidR="00E04003" w:rsidRPr="007E3284">
        <w:rPr>
          <w:i/>
          <w:iCs/>
        </w:rPr>
        <w:t> </w:t>
      </w:r>
      <w:r w:rsidRPr="007E3284">
        <w:rPr>
          <w:i/>
          <w:iCs/>
        </w:rPr>
        <w:t>de febrero de 2025, también se invita a los Estados Miembros a formular comentarios, en su caso, sobre la utilización de las palabras "legal" e "ilegal" mencionadas en estos proyectos de Recomendaciones.</w:t>
      </w:r>
    </w:p>
    <w:p w14:paraId="1417BF13" w14:textId="59B83AE8" w:rsidR="00B80268" w:rsidRPr="007E3284" w:rsidRDefault="00B80268" w:rsidP="008336F0">
      <w:pPr>
        <w:pStyle w:val="Heading1"/>
      </w:pPr>
      <w:r w:rsidRPr="007E3284">
        <w:t>1</w:t>
      </w:r>
      <w:r w:rsidRPr="007E3284">
        <w:tab/>
        <w:t>Proyecto de nueva Recomendación UIT-T Q.5055 (antes Q.CEIR) [</w:t>
      </w:r>
      <w:hyperlink r:id="rId11" w:history="1">
        <w:r w:rsidRPr="007E3284">
          <w:rPr>
            <w:rStyle w:val="Hyperlink"/>
          </w:rPr>
          <w:t>SG11-R5</w:t>
        </w:r>
      </w:hyperlink>
      <w:r w:rsidRPr="007E3284">
        <w:t>]</w:t>
      </w:r>
    </w:p>
    <w:p w14:paraId="6E09EA35" w14:textId="77777777" w:rsidR="00B80268" w:rsidRPr="007E3284" w:rsidRDefault="00B80268" w:rsidP="008336F0">
      <w:r w:rsidRPr="007E3284">
        <w:rPr>
          <w:i/>
          <w:iCs/>
        </w:rPr>
        <w:t>Technical requirement, interfaces and generic functions of a central equipment identity register (CEIR)</w:t>
      </w:r>
      <w:r w:rsidRPr="007E3284">
        <w:t xml:space="preserve"> (Requisitos técnicos, interfaces y funciones genéricas de un registro central de identidad de equipos (CEIR)).</w:t>
      </w:r>
    </w:p>
    <w:p w14:paraId="0D6AD6D6" w14:textId="77777777" w:rsidR="00B80268" w:rsidRPr="007E3284" w:rsidRDefault="00B80268" w:rsidP="008336F0">
      <w:pPr>
        <w:pStyle w:val="Headingb0"/>
      </w:pPr>
      <w:r w:rsidRPr="007E3284">
        <w:t>Resumen</w:t>
      </w:r>
    </w:p>
    <w:p w14:paraId="56C092A7" w14:textId="4F758514" w:rsidR="00B80268" w:rsidRPr="007E3284" w:rsidRDefault="00B80268" w:rsidP="008336F0">
      <w:r w:rsidRPr="007E3284">
        <w:t>Con la expansión de la adopción de dispositivos de comunicación móvil, el mundo enfrenta un incremento de casos de robo de dispositivos móviles, duplicación de la identidad internacional de equipos móviles (IMEI) y uso de dispositivos móviles falsificados. Para evitar la utilización de estos</w:t>
      </w:r>
      <w:r w:rsidR="00E04003" w:rsidRPr="007E3284">
        <w:t> </w:t>
      </w:r>
      <w:r w:rsidRPr="007E3284">
        <w:t>dispositivos irregulares, una de las medidas recomendadas por las Recomendaciones UIT</w:t>
      </w:r>
      <w:r w:rsidR="00E04003" w:rsidRPr="007E3284">
        <w:noBreakHyphen/>
      </w:r>
      <w:r w:rsidRPr="007E3284">
        <w:t>T</w:t>
      </w:r>
      <w:r w:rsidR="00E04003" w:rsidRPr="007E3284">
        <w:t> </w:t>
      </w:r>
      <w:r w:rsidRPr="007E3284">
        <w:t>Q.5050, UIT-T Q.5051 y UIT-T Q.5052 es que el operador de red móvil (MNO) bloquee el identificador único del dispositivo móvil irregular en el registro de identidad de equipos (EIR) e implemente una serie de listas de control de dispositivos (como permitidos, rastreados y bloqueados) para administrar este proceso.</w:t>
      </w:r>
    </w:p>
    <w:p w14:paraId="34C6F260" w14:textId="6A7F320B" w:rsidR="00B80268" w:rsidRPr="007E3284" w:rsidRDefault="00B80268" w:rsidP="008336F0">
      <w:r w:rsidRPr="007E3284">
        <w:t>Las Recomendaciones UIT-T Q.5050, UIT-T Q.5051 y UIT-T Q.5052 también indican la necesidad de bloquear un dispositivo irregular al mismo tiempo en diferentes operadores de red móvil (dentro del país y también en todo el mundo) y para ello se requiere el uso de un registro central de identidad de equipos (CEIR) que consolide y distribuya los datos contenidos en estas listas de control a todos los operadores de red móvil conectados.</w:t>
      </w:r>
    </w:p>
    <w:p w14:paraId="4F4D2152" w14:textId="77777777" w:rsidR="00B80268" w:rsidRPr="007E3284" w:rsidRDefault="00B80268" w:rsidP="008336F0">
      <w:pPr>
        <w:rPr>
          <w:rFonts w:cstheme="minorHAnsi"/>
          <w:szCs w:val="22"/>
        </w:rPr>
      </w:pPr>
      <w:r w:rsidRPr="007E3284">
        <w:t>Para ayudar a los países que desean implementar un registro central de identidad de equipos, esta Recomendación proporciona una descripción técnica detallada del sistema CEIR, sus requisitos, las interfaces y funciones básicas que debe proporcionar, así como algunas características opcionales que pueden utilizarse según los requisitos específicos del cliente. También describe las diferentes partes interesadas del sistema CEIR y sus funciones y responsabilidades previstas o esperadas.</w:t>
      </w:r>
    </w:p>
    <w:p w14:paraId="5D041576" w14:textId="77777777" w:rsidR="00B80268" w:rsidRPr="007E3284" w:rsidRDefault="00B80268" w:rsidP="008336F0">
      <w:pPr>
        <w:rPr>
          <w:rFonts w:cstheme="minorHAnsi"/>
          <w:szCs w:val="22"/>
        </w:rPr>
      </w:pPr>
      <w:r w:rsidRPr="007E3284">
        <w:rPr>
          <w:rFonts w:cstheme="minorHAnsi"/>
          <w:szCs w:val="22"/>
        </w:rPr>
        <w:t xml:space="preserve">NOTA DE LA TSB – A la fecha de la presente Circular, la TSB no había recibido ninguna declaración de DPI en relación con este proyecto de texto. Para obtener información actualizada, se invita a los miembros a consultar la base de datos DPI en </w:t>
      </w:r>
      <w:hyperlink r:id="rId12" w:history="1">
        <w:r w:rsidRPr="007E3284">
          <w:rPr>
            <w:rStyle w:val="Hyperlink"/>
            <w:rFonts w:cstheme="minorHAnsi"/>
            <w:szCs w:val="24"/>
          </w:rPr>
          <w:t>https://www.itu.int/es/ITU-T/ipr/Pages/default.aspx</w:t>
        </w:r>
      </w:hyperlink>
      <w:r w:rsidRPr="007E3284">
        <w:rPr>
          <w:rFonts w:cstheme="minorHAnsi"/>
          <w:szCs w:val="22"/>
        </w:rPr>
        <w:t xml:space="preserve">. </w:t>
      </w:r>
    </w:p>
    <w:p w14:paraId="00B8456F" w14:textId="77777777" w:rsidR="00B80268" w:rsidRPr="007E3284" w:rsidRDefault="00B80268" w:rsidP="008336F0">
      <w:pPr>
        <w:pStyle w:val="Heading2"/>
      </w:pPr>
      <w:r w:rsidRPr="007E3284">
        <w:t>2</w:t>
      </w:r>
      <w:r w:rsidRPr="007E3284">
        <w:tab/>
        <w:t>Proyecto de nueva Recomendación UIT-T Q.5056 (antes Q.FC-MCM) [</w:t>
      </w:r>
      <w:hyperlink r:id="rId13" w:history="1">
        <w:r w:rsidRPr="007E3284">
          <w:rPr>
            <w:rStyle w:val="Hyperlink"/>
          </w:rPr>
          <w:t>SG11-R6</w:t>
        </w:r>
      </w:hyperlink>
      <w:r w:rsidRPr="007E3284">
        <w:t>]</w:t>
      </w:r>
    </w:p>
    <w:p w14:paraId="384C6693" w14:textId="169DF378" w:rsidR="00B80268" w:rsidRPr="007E3284" w:rsidRDefault="00B80268" w:rsidP="008336F0">
      <w:r w:rsidRPr="007E3284">
        <w:rPr>
          <w:i/>
          <w:iCs/>
        </w:rPr>
        <w:t>Framework for combating online multimedia content misappropriation</w:t>
      </w:r>
      <w:r w:rsidRPr="007E3284">
        <w:t xml:space="preserve"> (Marco para combatir la apropiación indebida de contenidos multimedia en línea).</w:t>
      </w:r>
    </w:p>
    <w:p w14:paraId="6607F888" w14:textId="77777777" w:rsidR="00B80268" w:rsidRPr="007E3284" w:rsidRDefault="00B80268" w:rsidP="008336F0">
      <w:pPr>
        <w:pStyle w:val="Headingb0"/>
      </w:pPr>
      <w:r w:rsidRPr="007E3284">
        <w:t>Resumen</w:t>
      </w:r>
    </w:p>
    <w:p w14:paraId="5AD66A9F" w14:textId="77777777" w:rsidR="00B80268" w:rsidRPr="007E3284" w:rsidRDefault="00B80268" w:rsidP="008336F0">
      <w:r w:rsidRPr="007E3284">
        <w:t xml:space="preserve">Con la expansión de la conectividad y la gran disponibilidad de soluciones de servicios superpuestos (OTT) para la entrega de contenido, el mundo se ha enfrentado a casos de </w:t>
      </w:r>
      <w:r w:rsidRPr="007E3284">
        <w:lastRenderedPageBreak/>
        <w:t xml:space="preserve">apropiación indebida de contenido multimedios debido al uso de </w:t>
      </w:r>
      <w:r w:rsidRPr="007E3284">
        <w:rPr>
          <w:i/>
          <w:iCs/>
        </w:rPr>
        <w:t xml:space="preserve">software </w:t>
      </w:r>
      <w:r w:rsidRPr="007E3284">
        <w:t>manipulado o malicioso o receptores falsificados o maliciosos, entre otras posibilidades.</w:t>
      </w:r>
    </w:p>
    <w:p w14:paraId="6EC54135" w14:textId="77777777" w:rsidR="00B80268" w:rsidRPr="007E3284" w:rsidRDefault="00B80268" w:rsidP="008336F0">
      <w:r w:rsidRPr="007E3284">
        <w:t xml:space="preserve">Este comportamiento tiene repercusiones negativas para todas las partes interesadas involucradas. Genera menores ingresos para los creadores y distribuidores de contenido, menos impuestos para las administraciones, mayores impactos en la infraestructura y la seguridad para los operadores de red, una superficie de ataque más amplia para los servicios de Internet y mayores riesgos para los consumidores de que sus datos personales sean robados o comprometidos, todo ello causado por </w:t>
      </w:r>
      <w:r w:rsidRPr="007E3284">
        <w:rPr>
          <w:i/>
          <w:iCs/>
        </w:rPr>
        <w:t>software</w:t>
      </w:r>
      <w:r w:rsidRPr="007E3284">
        <w:t xml:space="preserve"> manipulado o malicioso o receptores falsificados o maliciosos.</w:t>
      </w:r>
    </w:p>
    <w:p w14:paraId="20637A3A" w14:textId="30CD48DD" w:rsidR="00B80268" w:rsidRPr="007E3284" w:rsidRDefault="00B80268" w:rsidP="008336F0">
      <w:r w:rsidRPr="007E3284">
        <w:t>Además, es común que el contenido robado de un país se distribuya por todo el mundo, por lo que se requiere la colaboración internacional entre todas las partes interesadas para mitigar este problema de piratería digital internacional.</w:t>
      </w:r>
    </w:p>
    <w:p w14:paraId="2354D32C" w14:textId="77777777" w:rsidR="00B80268" w:rsidRPr="007E3284" w:rsidRDefault="00B80268" w:rsidP="008336F0">
      <w:r w:rsidRPr="007E3284">
        <w:t>A pesar de que la industria ha adoptado amplias medidas para evitar que esto suceda, reconociendo el crecimiento continuo de la piratería digital, la violación de la propiedad intelectual y sus impactos negativos, las administraciones han estado tratando de abordar esta cuestión adaptando sus regulaciones y procedimientos destinados a mitigar la distribución y el uso indebidos de contenidos multimedia.</w:t>
      </w:r>
    </w:p>
    <w:p w14:paraId="0835F922" w14:textId="77777777" w:rsidR="00B80268" w:rsidRPr="007E3284" w:rsidRDefault="00B80268" w:rsidP="008336F0">
      <w:r w:rsidRPr="007E3284">
        <w:t>Teniendo en cuenta este complejo panorama, no existe una única solución, por lo que es necesario adoptar un conjunto de medidas de manera colaborativa entre todas las partes interesadas involucradas.</w:t>
      </w:r>
    </w:p>
    <w:p w14:paraId="19A33F08" w14:textId="382AB9FD" w:rsidR="00B80268" w:rsidRPr="007E3284" w:rsidRDefault="00B80268" w:rsidP="008336F0">
      <w:r w:rsidRPr="007E3284">
        <w:t>Por consiguiente, esta Recomendación UIT-T Q.5056 tiene por objeto presentar un marco de referencia con requisitos y acciones que deben considerarse al implementar soluciones para combatir la apropiación indebida de contenidos multimedia.</w:t>
      </w:r>
    </w:p>
    <w:p w14:paraId="26B5D9CB" w14:textId="5CF5408A" w:rsidR="00B80268" w:rsidRPr="007E3284" w:rsidRDefault="00B80268" w:rsidP="008336F0">
      <w:r w:rsidRPr="007E3284">
        <w:t xml:space="preserve">NOTA DE LA TSB – A la fecha de la presente Circular, la TSB no había recibido ninguna declaración de DPI en relación con este proyecto de texto. Para obtener información actualizada, se invita a los miembros a consultar la base de datos DPI en </w:t>
      </w:r>
      <w:hyperlink r:id="rId14" w:history="1">
        <w:r w:rsidRPr="007E3284">
          <w:rPr>
            <w:rStyle w:val="Hyperlink"/>
            <w:rFonts w:cstheme="minorHAnsi"/>
            <w:szCs w:val="24"/>
          </w:rPr>
          <w:t>https://www.itu.int/es/ITU-T/ipr/Pages/default.aspx</w:t>
        </w:r>
      </w:hyperlink>
      <w:r w:rsidRPr="007E3284">
        <w:t>.</w:t>
      </w:r>
    </w:p>
    <w:p w14:paraId="297109F4" w14:textId="334E2776" w:rsidR="00B80268" w:rsidRPr="007E3284" w:rsidRDefault="00B80268" w:rsidP="008336F0">
      <w:pPr>
        <w:pStyle w:val="Annextitle0"/>
        <w:rPr>
          <w:lang w:val="es-ES_tradnl"/>
        </w:rPr>
      </w:pPr>
      <w:r w:rsidRPr="007E3284">
        <w:rPr>
          <w:sz w:val="22"/>
          <w:szCs w:val="22"/>
          <w:highlight w:val="cyan"/>
          <w:lang w:val="es-ES_tradnl"/>
        </w:rPr>
        <w:br w:type="page"/>
      </w:r>
      <w:r w:rsidRPr="007E3284">
        <w:rPr>
          <w:lang w:val="es-ES_tradnl"/>
        </w:rPr>
        <w:lastRenderedPageBreak/>
        <w:t>Anexo 2</w:t>
      </w:r>
      <w:r w:rsidRPr="007E3284">
        <w:rPr>
          <w:lang w:val="es-ES_tradnl"/>
        </w:rPr>
        <w:br/>
        <w:t>Asunto: Respuesta de Estado Miembro a la Circular 35 de la TSB:</w:t>
      </w:r>
      <w:r w:rsidRPr="007E3284">
        <w:rPr>
          <w:lang w:val="es-ES_tradnl"/>
        </w:rPr>
        <w:br/>
        <w:t xml:space="preserve">Consulta sobre los proyectos de nueva Recomendación determinada </w:t>
      </w:r>
      <w:r w:rsidRPr="007E3284">
        <w:rPr>
          <w:lang w:val="es-ES_tradnl"/>
        </w:rPr>
        <w:br/>
        <w:t>UIT-T Q.5055 (antes </w:t>
      </w:r>
      <w:proofErr w:type="gramStart"/>
      <w:r w:rsidRPr="007E3284">
        <w:rPr>
          <w:lang w:val="es-ES_tradnl"/>
        </w:rPr>
        <w:t>Q.CEIR</w:t>
      </w:r>
      <w:proofErr w:type="gramEnd"/>
      <w:r w:rsidRPr="007E3284">
        <w:rPr>
          <w:lang w:val="es-ES_tradnl"/>
        </w:rPr>
        <w:t>) y UIT-T Q.5056 (antes Q.FC-MCM)</w:t>
      </w:r>
    </w:p>
    <w:tbl>
      <w:tblPr>
        <w:tblW w:w="5000" w:type="pct"/>
        <w:jc w:val="center"/>
        <w:tblLayout w:type="fixed"/>
        <w:tblLook w:val="04A0" w:firstRow="1" w:lastRow="0" w:firstColumn="1" w:lastColumn="0" w:noHBand="0" w:noVBand="1"/>
      </w:tblPr>
      <w:tblGrid>
        <w:gridCol w:w="1274"/>
        <w:gridCol w:w="4521"/>
        <w:gridCol w:w="1162"/>
        <w:gridCol w:w="2682"/>
      </w:tblGrid>
      <w:tr w:rsidR="00B80268" w:rsidRPr="007E3284" w14:paraId="1824358A" w14:textId="77777777" w:rsidTr="008B4D95">
        <w:trPr>
          <w:jc w:val="center"/>
        </w:trPr>
        <w:tc>
          <w:tcPr>
            <w:tcW w:w="1274" w:type="dxa"/>
            <w:shd w:val="clear" w:color="auto" w:fill="auto"/>
          </w:tcPr>
          <w:p w14:paraId="70979ADF" w14:textId="77777777" w:rsidR="00B80268" w:rsidRPr="007E3284" w:rsidRDefault="00B80268" w:rsidP="00994F94">
            <w:pPr>
              <w:tabs>
                <w:tab w:val="left" w:pos="4111"/>
              </w:tabs>
              <w:spacing w:before="10"/>
              <w:ind w:left="57"/>
              <w:jc w:val="right"/>
              <w:rPr>
                <w:sz w:val="22"/>
              </w:rPr>
            </w:pPr>
            <w:r w:rsidRPr="007E3284">
              <w:rPr>
                <w:sz w:val="22"/>
              </w:rPr>
              <w:t>Para:</w:t>
            </w:r>
          </w:p>
        </w:tc>
        <w:tc>
          <w:tcPr>
            <w:tcW w:w="4521" w:type="dxa"/>
            <w:tcBorders>
              <w:right w:val="single" w:sz="8" w:space="0" w:color="auto"/>
            </w:tcBorders>
            <w:shd w:val="clear" w:color="auto" w:fill="auto"/>
          </w:tcPr>
          <w:p w14:paraId="031D56ED" w14:textId="77777777" w:rsidR="00B80268" w:rsidRPr="007E3284" w:rsidRDefault="00B80268" w:rsidP="008B4D95">
            <w:r w:rsidRPr="007E3284">
              <w:t>Director de la</w:t>
            </w:r>
            <w:r w:rsidRPr="007E3284">
              <w:br/>
              <w:t xml:space="preserve">Oficina de Normalización </w:t>
            </w:r>
            <w:r w:rsidRPr="007E3284">
              <w:br/>
              <w:t>de las Telecomunicaciones,</w:t>
            </w:r>
            <w:r w:rsidRPr="007E3284">
              <w:br/>
              <w:t>Unión Internacional de Telecomunicaciones</w:t>
            </w:r>
            <w:r w:rsidRPr="007E3284">
              <w:br/>
              <w:t>Place des Nations</w:t>
            </w:r>
            <w:r w:rsidRPr="007E3284">
              <w:br/>
              <w:t>CH 1211 Ginebra 20 (Suiza)</w:t>
            </w:r>
          </w:p>
        </w:tc>
        <w:tc>
          <w:tcPr>
            <w:tcW w:w="1162" w:type="dxa"/>
            <w:tcBorders>
              <w:left w:val="single" w:sz="8" w:space="0" w:color="auto"/>
            </w:tcBorders>
            <w:shd w:val="clear" w:color="auto" w:fill="auto"/>
          </w:tcPr>
          <w:p w14:paraId="179C6398" w14:textId="77777777" w:rsidR="00B80268" w:rsidRPr="007E3284" w:rsidRDefault="00B80268" w:rsidP="00994F94">
            <w:pPr>
              <w:tabs>
                <w:tab w:val="left" w:pos="4111"/>
              </w:tabs>
              <w:spacing w:before="10"/>
              <w:ind w:left="57"/>
              <w:jc w:val="right"/>
              <w:rPr>
                <w:sz w:val="22"/>
              </w:rPr>
            </w:pPr>
            <w:r w:rsidRPr="007E3284">
              <w:rPr>
                <w:sz w:val="22"/>
              </w:rPr>
              <w:t>De:</w:t>
            </w:r>
          </w:p>
        </w:tc>
        <w:tc>
          <w:tcPr>
            <w:tcW w:w="2682" w:type="dxa"/>
            <w:shd w:val="clear" w:color="auto" w:fill="auto"/>
          </w:tcPr>
          <w:p w14:paraId="65A5791D" w14:textId="77777777" w:rsidR="00B80268" w:rsidRPr="007E3284" w:rsidRDefault="00B80268" w:rsidP="008B4D95">
            <w:r w:rsidRPr="007E3284">
              <w:rPr>
                <w:highlight w:val="green"/>
              </w:rPr>
              <w:t>[Nombre]</w:t>
            </w:r>
            <w:r w:rsidRPr="007E3284">
              <w:br/>
            </w:r>
            <w:r w:rsidRPr="007E3284">
              <w:rPr>
                <w:highlight w:val="green"/>
              </w:rPr>
              <w:t>[Cargo oficial/Título]</w:t>
            </w:r>
            <w:r w:rsidRPr="007E3284">
              <w:br/>
            </w:r>
            <w:r w:rsidRPr="007E3284">
              <w:rPr>
                <w:highlight w:val="green"/>
              </w:rPr>
              <w:t>[Dirección]</w:t>
            </w:r>
          </w:p>
        </w:tc>
      </w:tr>
      <w:tr w:rsidR="00B80268" w:rsidRPr="007E3284" w14:paraId="5A7E4E32" w14:textId="77777777" w:rsidTr="008B4D95">
        <w:trPr>
          <w:jc w:val="center"/>
        </w:trPr>
        <w:tc>
          <w:tcPr>
            <w:tcW w:w="1274" w:type="dxa"/>
            <w:shd w:val="clear" w:color="auto" w:fill="auto"/>
          </w:tcPr>
          <w:p w14:paraId="4026A71B" w14:textId="77777777" w:rsidR="00B80268" w:rsidRPr="007E3284" w:rsidRDefault="00B80268" w:rsidP="00994F94">
            <w:pPr>
              <w:tabs>
                <w:tab w:val="left" w:pos="4111"/>
              </w:tabs>
              <w:spacing w:before="10"/>
              <w:ind w:left="57"/>
              <w:jc w:val="right"/>
              <w:rPr>
                <w:sz w:val="22"/>
              </w:rPr>
            </w:pPr>
            <w:r w:rsidRPr="007E3284">
              <w:rPr>
                <w:sz w:val="22"/>
              </w:rPr>
              <w:t>Fax:</w:t>
            </w:r>
          </w:p>
        </w:tc>
        <w:tc>
          <w:tcPr>
            <w:tcW w:w="4521" w:type="dxa"/>
            <w:tcBorders>
              <w:right w:val="single" w:sz="8" w:space="0" w:color="auto"/>
            </w:tcBorders>
            <w:shd w:val="clear" w:color="auto" w:fill="auto"/>
          </w:tcPr>
          <w:p w14:paraId="25E58496" w14:textId="77777777" w:rsidR="00B80268" w:rsidRPr="007E3284" w:rsidRDefault="00B80268" w:rsidP="008B4D95">
            <w:r w:rsidRPr="007E3284">
              <w:t>+41-22-730-5853</w:t>
            </w:r>
          </w:p>
        </w:tc>
        <w:tc>
          <w:tcPr>
            <w:tcW w:w="1162" w:type="dxa"/>
            <w:tcBorders>
              <w:left w:val="single" w:sz="8" w:space="0" w:color="auto"/>
            </w:tcBorders>
            <w:shd w:val="clear" w:color="auto" w:fill="auto"/>
          </w:tcPr>
          <w:p w14:paraId="711C36CC" w14:textId="77777777" w:rsidR="00B80268" w:rsidRPr="007E3284" w:rsidRDefault="00B80268" w:rsidP="00994F94">
            <w:pPr>
              <w:tabs>
                <w:tab w:val="left" w:pos="4111"/>
              </w:tabs>
              <w:spacing w:before="10"/>
              <w:ind w:left="57"/>
              <w:jc w:val="right"/>
              <w:rPr>
                <w:sz w:val="22"/>
              </w:rPr>
            </w:pPr>
            <w:r w:rsidRPr="007E3284">
              <w:rPr>
                <w:sz w:val="22"/>
              </w:rPr>
              <w:t>Fax:</w:t>
            </w:r>
          </w:p>
        </w:tc>
        <w:tc>
          <w:tcPr>
            <w:tcW w:w="2682" w:type="dxa"/>
            <w:shd w:val="clear" w:color="auto" w:fill="auto"/>
          </w:tcPr>
          <w:p w14:paraId="626F14D0" w14:textId="77777777" w:rsidR="00B80268" w:rsidRPr="007E3284" w:rsidRDefault="00B80268" w:rsidP="008B4D95"/>
        </w:tc>
      </w:tr>
      <w:tr w:rsidR="00B80268" w:rsidRPr="007E3284" w14:paraId="06C04773" w14:textId="77777777" w:rsidTr="008B4D95">
        <w:trPr>
          <w:jc w:val="center"/>
        </w:trPr>
        <w:tc>
          <w:tcPr>
            <w:tcW w:w="1274" w:type="dxa"/>
            <w:shd w:val="clear" w:color="auto" w:fill="auto"/>
          </w:tcPr>
          <w:p w14:paraId="3A8ABDD0" w14:textId="77777777" w:rsidR="00B80268" w:rsidRPr="007E3284" w:rsidRDefault="00B80268" w:rsidP="00994F94">
            <w:pPr>
              <w:tabs>
                <w:tab w:val="left" w:pos="4111"/>
              </w:tabs>
              <w:spacing w:before="10"/>
              <w:ind w:left="57"/>
              <w:jc w:val="right"/>
              <w:rPr>
                <w:sz w:val="22"/>
              </w:rPr>
            </w:pPr>
            <w:r w:rsidRPr="007E3284">
              <w:rPr>
                <w:sz w:val="22"/>
              </w:rPr>
              <w:t>Correo-e:</w:t>
            </w:r>
          </w:p>
        </w:tc>
        <w:tc>
          <w:tcPr>
            <w:tcW w:w="4521" w:type="dxa"/>
            <w:tcBorders>
              <w:right w:val="single" w:sz="8" w:space="0" w:color="auto"/>
            </w:tcBorders>
            <w:shd w:val="clear" w:color="auto" w:fill="auto"/>
          </w:tcPr>
          <w:p w14:paraId="77A0B2BF" w14:textId="77777777" w:rsidR="00B80268" w:rsidRPr="007E3284" w:rsidRDefault="00B80268" w:rsidP="008B4D95">
            <w:hyperlink r:id="rId15" w:history="1">
              <w:r w:rsidRPr="007E3284">
                <w:rPr>
                  <w:rStyle w:val="Hyperlink"/>
                  <w:szCs w:val="24"/>
                </w:rPr>
                <w:t>tsbdir@itu.int</w:t>
              </w:r>
            </w:hyperlink>
          </w:p>
        </w:tc>
        <w:tc>
          <w:tcPr>
            <w:tcW w:w="1162" w:type="dxa"/>
            <w:tcBorders>
              <w:left w:val="single" w:sz="8" w:space="0" w:color="auto"/>
            </w:tcBorders>
            <w:shd w:val="clear" w:color="auto" w:fill="auto"/>
          </w:tcPr>
          <w:p w14:paraId="6AF62F96" w14:textId="77777777" w:rsidR="00B80268" w:rsidRPr="007E3284" w:rsidRDefault="00B80268" w:rsidP="00994F94">
            <w:pPr>
              <w:tabs>
                <w:tab w:val="left" w:pos="4111"/>
              </w:tabs>
              <w:spacing w:before="10"/>
              <w:ind w:left="57"/>
              <w:jc w:val="right"/>
              <w:rPr>
                <w:sz w:val="22"/>
              </w:rPr>
            </w:pPr>
            <w:r w:rsidRPr="007E3284">
              <w:rPr>
                <w:sz w:val="22"/>
              </w:rPr>
              <w:t>Correo-e:</w:t>
            </w:r>
          </w:p>
        </w:tc>
        <w:tc>
          <w:tcPr>
            <w:tcW w:w="2682" w:type="dxa"/>
            <w:shd w:val="clear" w:color="auto" w:fill="auto"/>
          </w:tcPr>
          <w:p w14:paraId="018C8468" w14:textId="77777777" w:rsidR="00B80268" w:rsidRPr="007E3284" w:rsidRDefault="00B80268" w:rsidP="008B4D95"/>
        </w:tc>
      </w:tr>
      <w:tr w:rsidR="00B80268" w:rsidRPr="007E3284" w14:paraId="5FC2C59E" w14:textId="77777777" w:rsidTr="008B4D95">
        <w:trPr>
          <w:jc w:val="center"/>
        </w:trPr>
        <w:tc>
          <w:tcPr>
            <w:tcW w:w="1274" w:type="dxa"/>
            <w:shd w:val="clear" w:color="auto" w:fill="auto"/>
          </w:tcPr>
          <w:p w14:paraId="1981CD10" w14:textId="77777777" w:rsidR="00B80268" w:rsidRPr="007E3284" w:rsidRDefault="00B80268" w:rsidP="00994F94">
            <w:pPr>
              <w:tabs>
                <w:tab w:val="left" w:pos="4111"/>
              </w:tabs>
              <w:spacing w:before="10"/>
              <w:ind w:left="57"/>
              <w:jc w:val="right"/>
              <w:rPr>
                <w:sz w:val="22"/>
              </w:rPr>
            </w:pPr>
          </w:p>
        </w:tc>
        <w:tc>
          <w:tcPr>
            <w:tcW w:w="4521" w:type="dxa"/>
            <w:tcBorders>
              <w:right w:val="single" w:sz="8" w:space="0" w:color="auto"/>
            </w:tcBorders>
            <w:shd w:val="clear" w:color="auto" w:fill="auto"/>
          </w:tcPr>
          <w:p w14:paraId="23A4AC54" w14:textId="77777777" w:rsidR="00B80268" w:rsidRPr="007E3284" w:rsidRDefault="00B80268" w:rsidP="008B4D95"/>
        </w:tc>
        <w:tc>
          <w:tcPr>
            <w:tcW w:w="1162" w:type="dxa"/>
            <w:tcBorders>
              <w:left w:val="single" w:sz="8" w:space="0" w:color="auto"/>
            </w:tcBorders>
            <w:shd w:val="clear" w:color="auto" w:fill="auto"/>
          </w:tcPr>
          <w:p w14:paraId="7F73D59C" w14:textId="77777777" w:rsidR="00B80268" w:rsidRPr="007E3284" w:rsidRDefault="00B80268" w:rsidP="00994F94">
            <w:pPr>
              <w:tabs>
                <w:tab w:val="left" w:pos="4111"/>
              </w:tabs>
              <w:spacing w:before="10"/>
              <w:ind w:left="57"/>
              <w:jc w:val="right"/>
              <w:rPr>
                <w:sz w:val="22"/>
              </w:rPr>
            </w:pPr>
            <w:r w:rsidRPr="007E3284">
              <w:rPr>
                <w:sz w:val="22"/>
              </w:rPr>
              <w:t>Fecha:</w:t>
            </w:r>
          </w:p>
        </w:tc>
        <w:tc>
          <w:tcPr>
            <w:tcW w:w="2682" w:type="dxa"/>
            <w:shd w:val="clear" w:color="auto" w:fill="auto"/>
          </w:tcPr>
          <w:p w14:paraId="19D6C7FC" w14:textId="77777777" w:rsidR="00B80268" w:rsidRPr="007E3284" w:rsidRDefault="00B80268" w:rsidP="008B4D95">
            <w:r w:rsidRPr="007E3284">
              <w:rPr>
                <w:highlight w:val="green"/>
              </w:rPr>
              <w:t>[Lugar,]</w:t>
            </w:r>
            <w:r w:rsidRPr="007E3284">
              <w:t xml:space="preserve"> </w:t>
            </w:r>
            <w:r w:rsidRPr="007E3284">
              <w:rPr>
                <w:highlight w:val="green"/>
              </w:rPr>
              <w:t>[Fecha]</w:t>
            </w:r>
          </w:p>
        </w:tc>
      </w:tr>
    </w:tbl>
    <w:p w14:paraId="4E242BA5" w14:textId="77777777" w:rsidR="00B80268" w:rsidRPr="007E3284" w:rsidRDefault="00B80268" w:rsidP="008336F0">
      <w:pPr>
        <w:pStyle w:val="Normalaftertitle"/>
      </w:pPr>
      <w:r w:rsidRPr="007E3284">
        <w:t>Muy Señora mía/Muy Señor mío:</w:t>
      </w:r>
    </w:p>
    <w:p w14:paraId="5CAB2C56" w14:textId="795AE60C" w:rsidR="00B80268" w:rsidRPr="007E3284" w:rsidRDefault="00B80268" w:rsidP="00994F94">
      <w:pPr>
        <w:pStyle w:val="Normalaftertitle"/>
        <w:spacing w:after="240"/>
      </w:pPr>
      <w:r w:rsidRPr="007E3284">
        <w:t>En relación con la consulta a los Estados Miembros sobre los proyectos de texto determinado que se enumeran en</w:t>
      </w:r>
      <w:r w:rsidR="00994F94" w:rsidRPr="007E3284">
        <w:t xml:space="preserve"> la</w:t>
      </w:r>
      <w:r w:rsidRPr="007E3284">
        <w:t xml:space="preserve"> Circular TSB 35, quisiera comunicarle la opinión de esta Administración, que se presenta en el siguiente cuadro: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6"/>
      </w:tblGrid>
      <w:tr w:rsidR="00B80268" w:rsidRPr="007E3284" w14:paraId="04668813" w14:textId="77777777" w:rsidTr="008B4D95">
        <w:trPr>
          <w:tblHeader/>
        </w:trPr>
        <w:tc>
          <w:tcPr>
            <w:tcW w:w="2063" w:type="dxa"/>
            <w:shd w:val="clear" w:color="auto" w:fill="auto"/>
            <w:vAlign w:val="center"/>
          </w:tcPr>
          <w:p w14:paraId="2DD0BF74" w14:textId="77777777" w:rsidR="00B80268" w:rsidRPr="007E3284" w:rsidRDefault="00B80268" w:rsidP="00994F94">
            <w:pPr>
              <w:pStyle w:val="TableHead"/>
            </w:pPr>
          </w:p>
        </w:tc>
        <w:tc>
          <w:tcPr>
            <w:tcW w:w="7566" w:type="dxa"/>
            <w:shd w:val="clear" w:color="auto" w:fill="auto"/>
            <w:vAlign w:val="center"/>
          </w:tcPr>
          <w:p w14:paraId="3C4D814F" w14:textId="77777777" w:rsidR="00B80268" w:rsidRPr="007E3284" w:rsidRDefault="00B80268" w:rsidP="00994F94">
            <w:pPr>
              <w:pStyle w:val="TableHead"/>
            </w:pPr>
            <w:r w:rsidRPr="007E3284">
              <w:t>Seleccione una de las dos casillas para cada texto</w:t>
            </w:r>
          </w:p>
        </w:tc>
      </w:tr>
      <w:tr w:rsidR="00B80268" w:rsidRPr="007E3284" w14:paraId="58E14197" w14:textId="77777777" w:rsidTr="008B4D95">
        <w:trPr>
          <w:trHeight w:val="1484"/>
        </w:trPr>
        <w:tc>
          <w:tcPr>
            <w:tcW w:w="2063" w:type="dxa"/>
            <w:vMerge w:val="restart"/>
            <w:shd w:val="clear" w:color="auto" w:fill="auto"/>
            <w:vAlign w:val="center"/>
          </w:tcPr>
          <w:p w14:paraId="6C7EE23E" w14:textId="77777777" w:rsidR="00B80268" w:rsidRPr="007E3284" w:rsidRDefault="00B80268" w:rsidP="00994F94">
            <w:pPr>
              <w:pStyle w:val="Tabletext0"/>
              <w:jc w:val="center"/>
              <w:rPr>
                <w:b/>
              </w:rPr>
            </w:pPr>
            <w:r w:rsidRPr="007E3284">
              <w:rPr>
                <w:b/>
              </w:rPr>
              <w:t>Proyecto de nueva</w:t>
            </w:r>
            <w:r w:rsidRPr="007E3284">
              <w:rPr>
                <w:b/>
              </w:rPr>
              <w:br/>
              <w:t>Recomendación</w:t>
            </w:r>
            <w:r w:rsidRPr="007E3284">
              <w:rPr>
                <w:b/>
              </w:rPr>
              <w:br/>
              <w:t>UIT-T Q.5055</w:t>
            </w:r>
            <w:r w:rsidRPr="007E3284">
              <w:rPr>
                <w:b/>
              </w:rPr>
              <w:br/>
              <w:t>(antes Q.CEIR)</w:t>
            </w:r>
          </w:p>
        </w:tc>
        <w:tc>
          <w:tcPr>
            <w:tcW w:w="7566" w:type="dxa"/>
            <w:shd w:val="clear" w:color="auto" w:fill="auto"/>
            <w:vAlign w:val="center"/>
          </w:tcPr>
          <w:p w14:paraId="5ABA5E35" w14:textId="02E532D2" w:rsidR="00B80268" w:rsidRPr="007E3284" w:rsidRDefault="00B80268" w:rsidP="00393726">
            <w:pPr>
              <w:pStyle w:val="Tabletext0"/>
              <w:tabs>
                <w:tab w:val="clear" w:pos="567"/>
                <w:tab w:val="left" w:pos="522"/>
              </w:tabs>
              <w:ind w:left="284" w:hanging="284"/>
            </w:pPr>
            <w:r w:rsidRPr="007E3284">
              <w:fldChar w:fldCharType="begin">
                <w:ffData>
                  <w:name w:val="Check1"/>
                  <w:enabled/>
                  <w:calcOnExit w:val="0"/>
                  <w:checkBox>
                    <w:sizeAuto/>
                    <w:default w:val="0"/>
                  </w:checkBox>
                </w:ffData>
              </w:fldChar>
            </w:r>
            <w:r w:rsidRPr="007E3284">
              <w:instrText xml:space="preserve"> FORMCHECKBOX </w:instrText>
            </w:r>
            <w:r w:rsidRPr="007E3284">
              <w:fldChar w:fldCharType="separate"/>
            </w:r>
            <w:r w:rsidRPr="007E3284">
              <w:fldChar w:fldCharType="end"/>
            </w:r>
            <w:r w:rsidR="00393726" w:rsidRPr="007E3284">
              <w:tab/>
            </w:r>
            <w:r w:rsidRPr="007E3284">
              <w:tab/>
            </w:r>
            <w:r w:rsidRPr="007E3284">
              <w:rPr>
                <w:b/>
                <w:bCs/>
              </w:rPr>
              <w:t>Otorga autoridad</w:t>
            </w:r>
            <w:r w:rsidRPr="007E3284">
              <w:t xml:space="preserve"> a la Comisión de Estudio 11 a fin de examinar este texto </w:t>
            </w:r>
            <w:r w:rsidR="00393726" w:rsidRPr="007E3284">
              <w:tab/>
            </w:r>
            <w:r w:rsidRPr="007E3284">
              <w:t>para aprobación (en cuyo caso seleccionará una de las dos opciones):</w:t>
            </w:r>
          </w:p>
          <w:p w14:paraId="3ABCF07F" w14:textId="77777777" w:rsidR="00B80268" w:rsidRPr="007E3284" w:rsidRDefault="00B80268" w:rsidP="00393726">
            <w:pPr>
              <w:pStyle w:val="Tabletext0"/>
              <w:tabs>
                <w:tab w:val="clear" w:pos="284"/>
                <w:tab w:val="clear" w:pos="567"/>
                <w:tab w:val="clear" w:pos="851"/>
                <w:tab w:val="clear" w:pos="1134"/>
                <w:tab w:val="left" w:pos="947"/>
              </w:tabs>
              <w:ind w:left="522"/>
            </w:pPr>
            <w:r w:rsidRPr="007E3284">
              <w:fldChar w:fldCharType="begin">
                <w:ffData>
                  <w:name w:val="Check1"/>
                  <w:enabled/>
                  <w:calcOnExit w:val="0"/>
                  <w:checkBox>
                    <w:sizeAuto/>
                    <w:default w:val="0"/>
                  </w:checkBox>
                </w:ffData>
              </w:fldChar>
            </w:r>
            <w:r w:rsidRPr="007E3284">
              <w:instrText xml:space="preserve"> FORMCHECKBOX </w:instrText>
            </w:r>
            <w:r w:rsidRPr="007E3284">
              <w:fldChar w:fldCharType="separate"/>
            </w:r>
            <w:r w:rsidRPr="007E3284">
              <w:fldChar w:fldCharType="end"/>
            </w:r>
            <w:r w:rsidRPr="007E3284">
              <w:tab/>
              <w:t>Sin comentarios o cambios sugeridos.</w:t>
            </w:r>
          </w:p>
          <w:p w14:paraId="7D62F86C" w14:textId="77777777" w:rsidR="00B80268" w:rsidRPr="007E3284" w:rsidRDefault="00B80268" w:rsidP="00393726">
            <w:pPr>
              <w:pStyle w:val="Tabletext0"/>
              <w:tabs>
                <w:tab w:val="clear" w:pos="284"/>
                <w:tab w:val="clear" w:pos="567"/>
                <w:tab w:val="clear" w:pos="851"/>
                <w:tab w:val="clear" w:pos="1134"/>
                <w:tab w:val="left" w:pos="947"/>
              </w:tabs>
              <w:ind w:left="522"/>
            </w:pPr>
            <w:r w:rsidRPr="007E3284">
              <w:fldChar w:fldCharType="begin">
                <w:ffData>
                  <w:name w:val="Check1"/>
                  <w:enabled/>
                  <w:calcOnExit w:val="0"/>
                  <w:checkBox>
                    <w:sizeAuto/>
                    <w:default w:val="0"/>
                  </w:checkBox>
                </w:ffData>
              </w:fldChar>
            </w:r>
            <w:r w:rsidRPr="007E3284">
              <w:instrText xml:space="preserve"> FORMCHECKBOX </w:instrText>
            </w:r>
            <w:r w:rsidRPr="007E3284">
              <w:fldChar w:fldCharType="separate"/>
            </w:r>
            <w:r w:rsidRPr="007E3284">
              <w:fldChar w:fldCharType="end"/>
            </w:r>
            <w:r w:rsidRPr="007E3284">
              <w:tab/>
              <w:t>Se adjuntan los comentarios o cambios sugeridos.</w:t>
            </w:r>
          </w:p>
        </w:tc>
      </w:tr>
      <w:tr w:rsidR="00B80268" w:rsidRPr="007E3284" w14:paraId="20B91ADD" w14:textId="77777777" w:rsidTr="008B4D95">
        <w:trPr>
          <w:trHeight w:val="1106"/>
        </w:trPr>
        <w:tc>
          <w:tcPr>
            <w:tcW w:w="2063" w:type="dxa"/>
            <w:vMerge/>
            <w:shd w:val="clear" w:color="auto" w:fill="auto"/>
            <w:vAlign w:val="center"/>
          </w:tcPr>
          <w:p w14:paraId="549E2F85" w14:textId="77777777" w:rsidR="00B80268" w:rsidRPr="007E3284" w:rsidRDefault="00B80268" w:rsidP="00994F94">
            <w:pPr>
              <w:pStyle w:val="Tabletext0"/>
              <w:jc w:val="center"/>
              <w:rPr>
                <w:b/>
              </w:rPr>
            </w:pPr>
          </w:p>
        </w:tc>
        <w:tc>
          <w:tcPr>
            <w:tcW w:w="7566" w:type="dxa"/>
            <w:shd w:val="clear" w:color="auto" w:fill="auto"/>
            <w:vAlign w:val="center"/>
          </w:tcPr>
          <w:p w14:paraId="5391F036" w14:textId="59A8623B" w:rsidR="00B80268" w:rsidRPr="007E3284" w:rsidRDefault="00B80268" w:rsidP="00393726">
            <w:pPr>
              <w:pStyle w:val="Tabletext0"/>
              <w:tabs>
                <w:tab w:val="clear" w:pos="567"/>
                <w:tab w:val="left" w:pos="522"/>
              </w:tabs>
              <w:ind w:left="284" w:hanging="284"/>
            </w:pPr>
            <w:r w:rsidRPr="007E3284">
              <w:fldChar w:fldCharType="begin">
                <w:ffData>
                  <w:name w:val="Check1"/>
                  <w:enabled/>
                  <w:calcOnExit w:val="0"/>
                  <w:checkBox>
                    <w:sizeAuto/>
                    <w:default w:val="0"/>
                  </w:checkBox>
                </w:ffData>
              </w:fldChar>
            </w:r>
            <w:r w:rsidRPr="007E3284">
              <w:instrText xml:space="preserve"> FORMCHECKBOX </w:instrText>
            </w:r>
            <w:r w:rsidRPr="007E3284">
              <w:fldChar w:fldCharType="separate"/>
            </w:r>
            <w:r w:rsidRPr="007E3284">
              <w:fldChar w:fldCharType="end"/>
            </w:r>
            <w:r w:rsidRPr="007E3284">
              <w:tab/>
            </w:r>
            <w:r w:rsidR="00393726" w:rsidRPr="007E3284">
              <w:tab/>
            </w:r>
            <w:r w:rsidRPr="007E3284">
              <w:rPr>
                <w:b/>
                <w:bCs/>
              </w:rPr>
              <w:t>No otorga autoridad</w:t>
            </w:r>
            <w:r w:rsidRPr="007E3284">
              <w:t xml:space="preserve"> a la Comisión de Estudio 11 a fin de examinar este </w:t>
            </w:r>
            <w:r w:rsidR="00393726" w:rsidRPr="007E3284">
              <w:tab/>
            </w:r>
            <w:r w:rsidRPr="007E3284">
              <w:t xml:space="preserve">texto para aprobación (se adjuntan los motivos para esta opinión y las </w:t>
            </w:r>
            <w:r w:rsidR="00393726" w:rsidRPr="007E3284">
              <w:tab/>
            </w:r>
            <w:r w:rsidRPr="007E3284">
              <w:t>posibles modificaciones que permitirían que prosiguieran los trabajos).</w:t>
            </w:r>
          </w:p>
        </w:tc>
      </w:tr>
      <w:tr w:rsidR="00B80268" w:rsidRPr="007E3284" w14:paraId="1AF74473" w14:textId="77777777" w:rsidTr="008B4D95">
        <w:trPr>
          <w:trHeight w:val="1574"/>
        </w:trPr>
        <w:tc>
          <w:tcPr>
            <w:tcW w:w="2063" w:type="dxa"/>
            <w:vMerge w:val="restart"/>
            <w:shd w:val="clear" w:color="auto" w:fill="auto"/>
            <w:vAlign w:val="center"/>
          </w:tcPr>
          <w:p w14:paraId="7848628E" w14:textId="77777777" w:rsidR="00B80268" w:rsidRPr="007E3284" w:rsidRDefault="00B80268" w:rsidP="00994F94">
            <w:pPr>
              <w:pStyle w:val="Tabletext0"/>
              <w:jc w:val="center"/>
              <w:rPr>
                <w:b/>
              </w:rPr>
            </w:pPr>
            <w:r w:rsidRPr="007E3284">
              <w:rPr>
                <w:b/>
              </w:rPr>
              <w:t>Proyecto de nueva</w:t>
            </w:r>
            <w:r w:rsidRPr="007E3284">
              <w:rPr>
                <w:b/>
              </w:rPr>
              <w:br/>
              <w:t>Recomendación</w:t>
            </w:r>
            <w:r w:rsidRPr="007E3284">
              <w:rPr>
                <w:b/>
              </w:rPr>
              <w:br/>
              <w:t>UIT-T Q.5056</w:t>
            </w:r>
            <w:r w:rsidRPr="007E3284">
              <w:rPr>
                <w:b/>
              </w:rPr>
              <w:br/>
              <w:t>(antes Q.FC-MCM)</w:t>
            </w:r>
          </w:p>
        </w:tc>
        <w:tc>
          <w:tcPr>
            <w:tcW w:w="7566" w:type="dxa"/>
            <w:shd w:val="clear" w:color="auto" w:fill="auto"/>
            <w:vAlign w:val="center"/>
          </w:tcPr>
          <w:p w14:paraId="0BF9CC5D" w14:textId="33A399A4" w:rsidR="00B80268" w:rsidRPr="007E3284" w:rsidRDefault="00B80268" w:rsidP="00393726">
            <w:pPr>
              <w:pStyle w:val="Tabletext0"/>
              <w:tabs>
                <w:tab w:val="clear" w:pos="567"/>
                <w:tab w:val="left" w:pos="522"/>
              </w:tabs>
              <w:ind w:left="284" w:hanging="284"/>
            </w:pPr>
            <w:r w:rsidRPr="007E3284">
              <w:fldChar w:fldCharType="begin">
                <w:ffData>
                  <w:name w:val="Check1"/>
                  <w:enabled/>
                  <w:calcOnExit w:val="0"/>
                  <w:checkBox>
                    <w:sizeAuto/>
                    <w:default w:val="0"/>
                  </w:checkBox>
                </w:ffData>
              </w:fldChar>
            </w:r>
            <w:r w:rsidRPr="007E3284">
              <w:instrText xml:space="preserve"> FORMCHECKBOX </w:instrText>
            </w:r>
            <w:r w:rsidRPr="007E3284">
              <w:fldChar w:fldCharType="separate"/>
            </w:r>
            <w:r w:rsidRPr="007E3284">
              <w:fldChar w:fldCharType="end"/>
            </w:r>
            <w:r w:rsidR="00393726" w:rsidRPr="007E3284">
              <w:tab/>
            </w:r>
            <w:r w:rsidRPr="007E3284">
              <w:tab/>
            </w:r>
            <w:r w:rsidRPr="007E3284">
              <w:rPr>
                <w:b/>
                <w:bCs/>
              </w:rPr>
              <w:t>Otorga autoridad</w:t>
            </w:r>
            <w:r w:rsidRPr="007E3284">
              <w:t xml:space="preserve"> a la Comisión de Estudio 11 a fin de examinar este texto </w:t>
            </w:r>
            <w:r w:rsidR="00393726" w:rsidRPr="007E3284">
              <w:tab/>
            </w:r>
            <w:r w:rsidRPr="007E3284">
              <w:t>para aprobación (en cuyo caso seleccionará una de las dos opciones):</w:t>
            </w:r>
          </w:p>
          <w:p w14:paraId="0921B91F" w14:textId="77777777" w:rsidR="00B80268" w:rsidRPr="007E3284" w:rsidRDefault="00B80268" w:rsidP="00393726">
            <w:pPr>
              <w:pStyle w:val="Tabletext0"/>
              <w:tabs>
                <w:tab w:val="clear" w:pos="284"/>
                <w:tab w:val="clear" w:pos="567"/>
                <w:tab w:val="clear" w:pos="851"/>
                <w:tab w:val="clear" w:pos="1134"/>
                <w:tab w:val="left" w:pos="947"/>
              </w:tabs>
              <w:ind w:left="522"/>
            </w:pPr>
            <w:r w:rsidRPr="007E3284">
              <w:fldChar w:fldCharType="begin">
                <w:ffData>
                  <w:name w:val="Check1"/>
                  <w:enabled/>
                  <w:calcOnExit w:val="0"/>
                  <w:checkBox>
                    <w:sizeAuto/>
                    <w:default w:val="0"/>
                  </w:checkBox>
                </w:ffData>
              </w:fldChar>
            </w:r>
            <w:r w:rsidRPr="007E3284">
              <w:instrText xml:space="preserve"> FORMCHECKBOX </w:instrText>
            </w:r>
            <w:r w:rsidRPr="007E3284">
              <w:fldChar w:fldCharType="separate"/>
            </w:r>
            <w:r w:rsidRPr="007E3284">
              <w:fldChar w:fldCharType="end"/>
            </w:r>
            <w:r w:rsidRPr="007E3284">
              <w:tab/>
              <w:t>Sin comentarios o cambios sugeridos.</w:t>
            </w:r>
          </w:p>
          <w:p w14:paraId="6DC7899D" w14:textId="77777777" w:rsidR="00B80268" w:rsidRPr="007E3284" w:rsidRDefault="00B80268" w:rsidP="00393726">
            <w:pPr>
              <w:pStyle w:val="Tabletext0"/>
              <w:tabs>
                <w:tab w:val="clear" w:pos="284"/>
                <w:tab w:val="clear" w:pos="567"/>
                <w:tab w:val="clear" w:pos="851"/>
                <w:tab w:val="clear" w:pos="1134"/>
                <w:tab w:val="left" w:pos="947"/>
              </w:tabs>
              <w:ind w:left="522"/>
            </w:pPr>
            <w:r w:rsidRPr="007E3284">
              <w:fldChar w:fldCharType="begin">
                <w:ffData>
                  <w:name w:val="Check1"/>
                  <w:enabled/>
                  <w:calcOnExit w:val="0"/>
                  <w:checkBox>
                    <w:sizeAuto/>
                    <w:default w:val="0"/>
                  </w:checkBox>
                </w:ffData>
              </w:fldChar>
            </w:r>
            <w:r w:rsidRPr="007E3284">
              <w:instrText xml:space="preserve"> FORMCHECKBOX </w:instrText>
            </w:r>
            <w:r w:rsidRPr="007E3284">
              <w:fldChar w:fldCharType="separate"/>
            </w:r>
            <w:r w:rsidRPr="007E3284">
              <w:fldChar w:fldCharType="end"/>
            </w:r>
            <w:r w:rsidRPr="007E3284">
              <w:tab/>
              <w:t>Se adjuntan los comentarios o cambios sugeridos.</w:t>
            </w:r>
          </w:p>
        </w:tc>
      </w:tr>
      <w:tr w:rsidR="00B80268" w:rsidRPr="007E3284" w14:paraId="5A1E3598" w14:textId="77777777" w:rsidTr="008B4D95">
        <w:trPr>
          <w:trHeight w:val="1349"/>
        </w:trPr>
        <w:tc>
          <w:tcPr>
            <w:tcW w:w="2063" w:type="dxa"/>
            <w:vMerge/>
            <w:shd w:val="clear" w:color="auto" w:fill="auto"/>
            <w:vAlign w:val="center"/>
          </w:tcPr>
          <w:p w14:paraId="1B099F5C" w14:textId="77777777" w:rsidR="00B80268" w:rsidRPr="007E3284" w:rsidRDefault="00B80268" w:rsidP="00994F94">
            <w:pPr>
              <w:pStyle w:val="Tabletext0"/>
              <w:jc w:val="center"/>
              <w:rPr>
                <w:b/>
              </w:rPr>
            </w:pPr>
          </w:p>
        </w:tc>
        <w:tc>
          <w:tcPr>
            <w:tcW w:w="7566" w:type="dxa"/>
            <w:shd w:val="clear" w:color="auto" w:fill="auto"/>
            <w:vAlign w:val="center"/>
          </w:tcPr>
          <w:p w14:paraId="5B334D02" w14:textId="4A73E8BE" w:rsidR="00B80268" w:rsidRPr="007E3284" w:rsidRDefault="00B80268" w:rsidP="00E8411F">
            <w:pPr>
              <w:pStyle w:val="Tabletext0"/>
              <w:tabs>
                <w:tab w:val="clear" w:pos="567"/>
                <w:tab w:val="left" w:pos="522"/>
              </w:tabs>
              <w:ind w:left="284" w:hanging="284"/>
            </w:pPr>
            <w:r w:rsidRPr="007E3284">
              <w:fldChar w:fldCharType="begin">
                <w:ffData>
                  <w:name w:val="Check1"/>
                  <w:enabled/>
                  <w:calcOnExit w:val="0"/>
                  <w:checkBox>
                    <w:sizeAuto/>
                    <w:default w:val="0"/>
                  </w:checkBox>
                </w:ffData>
              </w:fldChar>
            </w:r>
            <w:r w:rsidRPr="007E3284">
              <w:instrText xml:space="preserve"> FORMCHECKBOX </w:instrText>
            </w:r>
            <w:r w:rsidRPr="007E3284">
              <w:fldChar w:fldCharType="separate"/>
            </w:r>
            <w:r w:rsidRPr="007E3284">
              <w:fldChar w:fldCharType="end"/>
            </w:r>
            <w:r w:rsidR="00E8411F" w:rsidRPr="007E3284">
              <w:tab/>
            </w:r>
            <w:r w:rsidRPr="007E3284">
              <w:tab/>
            </w:r>
            <w:r w:rsidRPr="007E3284">
              <w:rPr>
                <w:b/>
                <w:bCs/>
              </w:rPr>
              <w:t>No otorga autoridad</w:t>
            </w:r>
            <w:r w:rsidRPr="007E3284">
              <w:t xml:space="preserve"> a la Comisión de Estudio 11 a fin de examinar este </w:t>
            </w:r>
            <w:r w:rsidR="00E8411F" w:rsidRPr="007E3284">
              <w:tab/>
            </w:r>
            <w:r w:rsidRPr="007E3284">
              <w:t xml:space="preserve">texto para aprobación (se adjuntan los motivos para esta opinión y las </w:t>
            </w:r>
            <w:r w:rsidR="00E8411F" w:rsidRPr="007E3284">
              <w:tab/>
            </w:r>
            <w:r w:rsidRPr="007E3284">
              <w:t>posibles modificaciones que permitirían que prosiguieran los trabajos).</w:t>
            </w:r>
          </w:p>
        </w:tc>
      </w:tr>
    </w:tbl>
    <w:p w14:paraId="2BFE51C1" w14:textId="2639415D" w:rsidR="000E539C" w:rsidRPr="007E3284" w:rsidRDefault="000E539C">
      <w:pPr>
        <w:tabs>
          <w:tab w:val="clear" w:pos="794"/>
          <w:tab w:val="clear" w:pos="1191"/>
          <w:tab w:val="clear" w:pos="1588"/>
          <w:tab w:val="clear" w:pos="1985"/>
        </w:tabs>
        <w:overflowPunct/>
        <w:autoSpaceDE/>
        <w:autoSpaceDN/>
        <w:adjustRightInd/>
        <w:spacing w:before="0"/>
        <w:textAlignment w:val="auto"/>
      </w:pPr>
    </w:p>
    <w:p w14:paraId="7D8D6652" w14:textId="77777777" w:rsidR="000E539C" w:rsidRPr="007E3284" w:rsidRDefault="000E539C">
      <w:pPr>
        <w:tabs>
          <w:tab w:val="clear" w:pos="794"/>
          <w:tab w:val="clear" w:pos="1191"/>
          <w:tab w:val="clear" w:pos="1588"/>
          <w:tab w:val="clear" w:pos="1985"/>
        </w:tabs>
        <w:overflowPunct/>
        <w:autoSpaceDE/>
        <w:autoSpaceDN/>
        <w:adjustRightInd/>
        <w:spacing w:before="0"/>
        <w:textAlignment w:val="auto"/>
      </w:pPr>
      <w:r w:rsidRPr="007E3284">
        <w:br w:type="page"/>
      </w:r>
    </w:p>
    <w:p w14:paraId="53FAE953" w14:textId="1A28D84A" w:rsidR="00B80268" w:rsidRPr="007E3284" w:rsidRDefault="00B80268" w:rsidP="00B80268">
      <w:r w:rsidRPr="007E3284">
        <w:lastRenderedPageBreak/>
        <w:t>Atentamente,</w:t>
      </w:r>
    </w:p>
    <w:p w14:paraId="5BD5FE93" w14:textId="349B5A51" w:rsidR="00B80268" w:rsidRPr="007E3284" w:rsidRDefault="00B80268" w:rsidP="00B80268">
      <w:pPr>
        <w:spacing w:before="480"/>
      </w:pPr>
      <w:r w:rsidRPr="007E3284">
        <w:rPr>
          <w:highlight w:val="green"/>
        </w:rPr>
        <w:t>[Nombre]</w:t>
      </w:r>
      <w:r w:rsidRPr="007E3284">
        <w:br/>
      </w:r>
      <w:r w:rsidRPr="007E3284">
        <w:rPr>
          <w:highlight w:val="green"/>
        </w:rPr>
        <w:t>[Cargo oficial/Título]</w:t>
      </w:r>
      <w:r w:rsidRPr="007E3284">
        <w:br/>
        <w:t xml:space="preserve">Administración de </w:t>
      </w:r>
      <w:r w:rsidRPr="007E3284">
        <w:rPr>
          <w:highlight w:val="green"/>
        </w:rPr>
        <w:t>[Estado Miembro]</w:t>
      </w:r>
    </w:p>
    <w:p w14:paraId="46E49916" w14:textId="77777777" w:rsidR="000E539C" w:rsidRPr="007E3284" w:rsidRDefault="000E539C" w:rsidP="000E539C">
      <w:pPr>
        <w:spacing w:before="0"/>
      </w:pPr>
    </w:p>
    <w:p w14:paraId="3B943D0C" w14:textId="77777777" w:rsidR="00B80268" w:rsidRPr="007E3284" w:rsidRDefault="00B80268" w:rsidP="000E539C">
      <w:pPr>
        <w:spacing w:before="0"/>
        <w:jc w:val="center"/>
        <w:rPr>
          <w:rFonts w:cstheme="minorHAnsi"/>
          <w:sz w:val="22"/>
          <w:szCs w:val="22"/>
        </w:rPr>
      </w:pPr>
      <w:r w:rsidRPr="007E3284">
        <w:rPr>
          <w:rFonts w:cstheme="minorHAnsi"/>
          <w:sz w:val="22"/>
          <w:szCs w:val="22"/>
        </w:rPr>
        <w:t>_____________</w:t>
      </w:r>
    </w:p>
    <w:p w14:paraId="3DF7818A" w14:textId="77777777" w:rsidR="00401C20" w:rsidRPr="007E3284" w:rsidRDefault="00401C20" w:rsidP="007B6316">
      <w:pPr>
        <w:ind w:right="92"/>
      </w:pPr>
    </w:p>
    <w:sectPr w:rsidR="00401C20" w:rsidRPr="007E3284" w:rsidSect="00B87E9E">
      <w:headerReference w:type="default" r:id="rId16"/>
      <w:footerReference w:type="first" r:id="rId1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6D230" w14:textId="77777777" w:rsidR="00B80268" w:rsidRDefault="00B80268">
      <w:r>
        <w:separator/>
      </w:r>
    </w:p>
  </w:endnote>
  <w:endnote w:type="continuationSeparator" w:id="0">
    <w:p w14:paraId="23CF0CC9" w14:textId="77777777" w:rsidR="00B80268" w:rsidRDefault="00B8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B349F"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224B2" w14:textId="77777777" w:rsidR="00B80268" w:rsidRDefault="00B80268">
      <w:r>
        <w:t>____________________</w:t>
      </w:r>
    </w:p>
  </w:footnote>
  <w:footnote w:type="continuationSeparator" w:id="0">
    <w:p w14:paraId="1BDB136C" w14:textId="77777777" w:rsidR="00B80268" w:rsidRDefault="00B80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94709" w14:textId="4048CBC8"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43BE959E" w14:textId="1ECB06FA" w:rsidR="009607A7" w:rsidRPr="009607A7" w:rsidRDefault="009607A7">
    <w:pPr>
      <w:pStyle w:val="Header"/>
      <w:rPr>
        <w:rStyle w:val="PageNumber"/>
      </w:rPr>
    </w:pPr>
    <w:r w:rsidRPr="009607A7">
      <w:rPr>
        <w:rStyle w:val="PageNumber"/>
        <w:sz w:val="18"/>
        <w:szCs w:val="18"/>
      </w:rPr>
      <w:t>Circular TSB 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981151358">
    <w:abstractNumId w:val="0"/>
  </w:num>
  <w:num w:numId="2" w16cid:durableId="1452475965">
    <w:abstractNumId w:val="3"/>
  </w:num>
  <w:num w:numId="3" w16cid:durableId="1012029057">
    <w:abstractNumId w:val="2"/>
  </w:num>
  <w:num w:numId="4" w16cid:durableId="158741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68"/>
    <w:rsid w:val="00002529"/>
    <w:rsid w:val="00085662"/>
    <w:rsid w:val="000C382F"/>
    <w:rsid w:val="000C5342"/>
    <w:rsid w:val="000E539C"/>
    <w:rsid w:val="00106F73"/>
    <w:rsid w:val="001173CC"/>
    <w:rsid w:val="001350B9"/>
    <w:rsid w:val="0014464D"/>
    <w:rsid w:val="00186EC1"/>
    <w:rsid w:val="001A54CC"/>
    <w:rsid w:val="00257FB4"/>
    <w:rsid w:val="002E496E"/>
    <w:rsid w:val="00303D62"/>
    <w:rsid w:val="00335367"/>
    <w:rsid w:val="00370C2D"/>
    <w:rsid w:val="00393726"/>
    <w:rsid w:val="003D1E8D"/>
    <w:rsid w:val="003D673B"/>
    <w:rsid w:val="003F2855"/>
    <w:rsid w:val="00401C20"/>
    <w:rsid w:val="00410B63"/>
    <w:rsid w:val="004A7957"/>
    <w:rsid w:val="004C4144"/>
    <w:rsid w:val="00502FE1"/>
    <w:rsid w:val="00547762"/>
    <w:rsid w:val="0055719E"/>
    <w:rsid w:val="006969B4"/>
    <w:rsid w:val="006E4F7B"/>
    <w:rsid w:val="00781E2A"/>
    <w:rsid w:val="007933A2"/>
    <w:rsid w:val="007B6316"/>
    <w:rsid w:val="007E3284"/>
    <w:rsid w:val="00814503"/>
    <w:rsid w:val="008258C2"/>
    <w:rsid w:val="008336F0"/>
    <w:rsid w:val="008505BD"/>
    <w:rsid w:val="00850C78"/>
    <w:rsid w:val="00876165"/>
    <w:rsid w:val="00884D12"/>
    <w:rsid w:val="008C17AD"/>
    <w:rsid w:val="008D02CD"/>
    <w:rsid w:val="0091370C"/>
    <w:rsid w:val="0095172A"/>
    <w:rsid w:val="009607A7"/>
    <w:rsid w:val="00994F94"/>
    <w:rsid w:val="009A0BA0"/>
    <w:rsid w:val="009F5BCF"/>
    <w:rsid w:val="00A54E47"/>
    <w:rsid w:val="00AB6E3A"/>
    <w:rsid w:val="00AE7093"/>
    <w:rsid w:val="00B422BC"/>
    <w:rsid w:val="00B43F77"/>
    <w:rsid w:val="00B53A9C"/>
    <w:rsid w:val="00B55A3E"/>
    <w:rsid w:val="00B80268"/>
    <w:rsid w:val="00B87E9E"/>
    <w:rsid w:val="00B95F0A"/>
    <w:rsid w:val="00B96180"/>
    <w:rsid w:val="00C116FE"/>
    <w:rsid w:val="00C17AC0"/>
    <w:rsid w:val="00C34772"/>
    <w:rsid w:val="00C5465A"/>
    <w:rsid w:val="00CF16C2"/>
    <w:rsid w:val="00D54642"/>
    <w:rsid w:val="00D834E7"/>
    <w:rsid w:val="00DD77C9"/>
    <w:rsid w:val="00DF3538"/>
    <w:rsid w:val="00E04003"/>
    <w:rsid w:val="00E839B0"/>
    <w:rsid w:val="00E8411F"/>
    <w:rsid w:val="00E92C09"/>
    <w:rsid w:val="00EA45E9"/>
    <w:rsid w:val="00F14380"/>
    <w:rsid w:val="00F522BC"/>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C5BB0D"/>
  <w15:docId w15:val="{2DB162BD-DE4E-4643-90FC-EE07B6E9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nnexNo">
    <w:name w:val="Annex_No"/>
    <w:basedOn w:val="Normal"/>
    <w:next w:val="Normal"/>
    <w:rsid w:val="00B80268"/>
    <w:pPr>
      <w:keepNext/>
      <w:keepLines/>
      <w:spacing w:before="480" w:after="80"/>
      <w:jc w:val="center"/>
    </w:pPr>
    <w:rPr>
      <w:rFonts w:ascii="Calibri" w:hAnsi="Calibri"/>
      <w:caps/>
      <w:sz w:val="28"/>
      <w:lang w:val="en-GB"/>
    </w:rPr>
  </w:style>
  <w:style w:type="paragraph" w:customStyle="1" w:styleId="Annextitle0">
    <w:name w:val="Annex_title"/>
    <w:basedOn w:val="Normal"/>
    <w:next w:val="Normal"/>
    <w:rsid w:val="00B80268"/>
    <w:pPr>
      <w:keepNext/>
      <w:keepLines/>
      <w:spacing w:before="240" w:after="280"/>
      <w:jc w:val="center"/>
    </w:pPr>
    <w:rPr>
      <w:rFonts w:ascii="Calibri" w:hAnsi="Calibri"/>
      <w:b/>
      <w:sz w:val="28"/>
      <w:lang w:val="en-GB"/>
    </w:rPr>
  </w:style>
  <w:style w:type="character" w:styleId="UnresolvedMention">
    <w:name w:val="Unresolved Mention"/>
    <w:basedOn w:val="DefaultParagraphFont"/>
    <w:uiPriority w:val="99"/>
    <w:semiHidden/>
    <w:unhideWhenUsed/>
    <w:rsid w:val="00833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5-SG11-R-0006/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s/ITU-T/ipr/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5-SG11-R-0005/es" TargetMode="External"/><Relationship Id="rId5" Type="http://schemas.openxmlformats.org/officeDocument/2006/relationships/webSettings" Target="webSettings.xml"/><Relationship Id="rId15" Type="http://schemas.openxmlformats.org/officeDocument/2006/relationships/hyperlink" Target="mailto:tsbdir@itu.int"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www.itu.int/es/ITU-T/ipr/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9</TotalTime>
  <Pages>5</Pages>
  <Words>1517</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10437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TSB (RC)</dc:creator>
  <cp:lastModifiedBy>Braud, Olivia</cp:lastModifiedBy>
  <cp:revision>4</cp:revision>
  <cp:lastPrinted>2025-04-10T12:00:00Z</cp:lastPrinted>
  <dcterms:created xsi:type="dcterms:W3CDTF">2025-04-03T13:48:00Z</dcterms:created>
  <dcterms:modified xsi:type="dcterms:W3CDTF">2025-04-10T12:01:00Z</dcterms:modified>
</cp:coreProperties>
</file>