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170" w:type="dxa"/>
        <w:tblLayout w:type="fixed"/>
        <w:tblLook w:val="0000" w:firstRow="0" w:lastRow="0" w:firstColumn="0" w:lastColumn="0" w:noHBand="0" w:noVBand="0"/>
      </w:tblPr>
      <w:tblGrid>
        <w:gridCol w:w="1238"/>
        <w:gridCol w:w="3082"/>
        <w:gridCol w:w="3327"/>
        <w:gridCol w:w="2523"/>
      </w:tblGrid>
      <w:tr w:rsidR="00FA46A0" w:rsidRPr="005020A4" w14:paraId="493727AE" w14:textId="77777777" w:rsidTr="00F17F00">
        <w:trPr>
          <w:trHeight w:val="1260"/>
        </w:trPr>
        <w:tc>
          <w:tcPr>
            <w:tcW w:w="12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674030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674030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674030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674030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674030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674030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52D62E1" w14:textId="77777777" w:rsidR="00FA46A0" w:rsidRPr="00674030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674030" w14:paraId="0DC86AF3" w14:textId="77777777" w:rsidTr="005020A4">
        <w:trPr>
          <w:cantSplit/>
          <w:trHeight w:val="357"/>
        </w:trPr>
        <w:tc>
          <w:tcPr>
            <w:tcW w:w="4320" w:type="dxa"/>
            <w:gridSpan w:val="2"/>
            <w:vAlign w:val="center"/>
          </w:tcPr>
          <w:p w14:paraId="63FA2529" w14:textId="77777777" w:rsidR="00FA46A0" w:rsidRPr="005020A4" w:rsidRDefault="00FA46A0" w:rsidP="005020A4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0E7085C4" w14:textId="45B6B6F8" w:rsidR="00FA46A0" w:rsidRPr="00674030" w:rsidRDefault="00DF3447" w:rsidP="005020A4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674030">
              <w:rPr>
                <w:lang w:val="ru-RU"/>
              </w:rPr>
              <w:t xml:space="preserve">Женева, </w:t>
            </w:r>
            <w:r w:rsidR="00375817" w:rsidRPr="00674030">
              <w:rPr>
                <w:lang w:val="ru-RU"/>
              </w:rPr>
              <w:t>2</w:t>
            </w:r>
            <w:r w:rsidR="00621104" w:rsidRPr="00674030">
              <w:rPr>
                <w:lang w:val="ru-RU"/>
              </w:rPr>
              <w:t>5</w:t>
            </w:r>
            <w:r w:rsidR="00375817" w:rsidRPr="00674030">
              <w:rPr>
                <w:lang w:val="ru-RU"/>
              </w:rPr>
              <w:t xml:space="preserve"> </w:t>
            </w:r>
            <w:r w:rsidR="00621104" w:rsidRPr="00674030">
              <w:rPr>
                <w:lang w:val="ru-RU"/>
              </w:rPr>
              <w:t>марта</w:t>
            </w:r>
            <w:r w:rsidR="00375817" w:rsidRPr="00674030">
              <w:rPr>
                <w:lang w:val="ru-RU"/>
              </w:rPr>
              <w:t xml:space="preserve"> 2025</w:t>
            </w:r>
            <w:r w:rsidRPr="00674030">
              <w:rPr>
                <w:lang w:val="ru-RU"/>
              </w:rPr>
              <w:t xml:space="preserve"> года</w:t>
            </w:r>
          </w:p>
        </w:tc>
      </w:tr>
      <w:tr w:rsidR="00B84746" w:rsidRPr="005020A4" w14:paraId="21DD573F" w14:textId="77777777" w:rsidTr="00F17F00">
        <w:trPr>
          <w:cantSplit/>
          <w:trHeight w:val="306"/>
        </w:trPr>
        <w:tc>
          <w:tcPr>
            <w:tcW w:w="1238" w:type="dxa"/>
          </w:tcPr>
          <w:p w14:paraId="5CBBAF56" w14:textId="77777777" w:rsidR="00B84746" w:rsidRPr="00674030" w:rsidRDefault="00B84746" w:rsidP="00C274E1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674030">
              <w:rPr>
                <w:b/>
                <w:bCs/>
                <w:szCs w:val="22"/>
                <w:lang w:val="ru-RU"/>
              </w:rPr>
              <w:t>Осн</w:t>
            </w:r>
            <w:r w:rsidRPr="00674030">
              <w:rPr>
                <w:szCs w:val="22"/>
                <w:lang w:val="ru-RU"/>
              </w:rPr>
              <w:t>.:</w:t>
            </w:r>
          </w:p>
        </w:tc>
        <w:tc>
          <w:tcPr>
            <w:tcW w:w="3082" w:type="dxa"/>
          </w:tcPr>
          <w:p w14:paraId="274265E3" w14:textId="0C7468AE" w:rsidR="00B84746" w:rsidRPr="00674030" w:rsidRDefault="00B84746" w:rsidP="00C274E1">
            <w:pPr>
              <w:pStyle w:val="Tabletext"/>
              <w:spacing w:before="0" w:after="0"/>
              <w:rPr>
                <w:b/>
                <w:bCs/>
                <w:szCs w:val="22"/>
                <w:lang w:val="ru-RU"/>
              </w:rPr>
            </w:pPr>
            <w:r w:rsidRPr="00674030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621104" w:rsidRPr="00674030">
              <w:rPr>
                <w:b/>
                <w:bCs/>
                <w:szCs w:val="22"/>
                <w:lang w:val="ru-RU"/>
              </w:rPr>
              <w:t>35</w:t>
            </w:r>
            <w:r w:rsidRPr="00674030">
              <w:rPr>
                <w:b/>
                <w:bCs/>
                <w:szCs w:val="22"/>
                <w:lang w:val="ru-RU"/>
              </w:rPr>
              <w:t xml:space="preserve"> БСЭ</w:t>
            </w:r>
            <w:r w:rsidRPr="00674030">
              <w:rPr>
                <w:b/>
                <w:bCs/>
                <w:szCs w:val="22"/>
                <w:lang w:val="ru-RU"/>
              </w:rPr>
              <w:br/>
            </w:r>
            <w:r w:rsidR="00621104" w:rsidRPr="00674030">
              <w:rPr>
                <w:lang w:val="ru-RU"/>
              </w:rPr>
              <w:t>SG11/DA</w:t>
            </w:r>
          </w:p>
        </w:tc>
        <w:tc>
          <w:tcPr>
            <w:tcW w:w="5850" w:type="dxa"/>
            <w:gridSpan w:val="2"/>
            <w:vMerge w:val="restart"/>
          </w:tcPr>
          <w:p w14:paraId="04E7EB04" w14:textId="73F39979" w:rsidR="00B84746" w:rsidRPr="00674030" w:rsidRDefault="00B84746" w:rsidP="005020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b/>
                <w:bCs/>
                <w:szCs w:val="22"/>
                <w:lang w:val="ru-RU"/>
              </w:rPr>
              <w:t>Кому</w:t>
            </w:r>
            <w:r w:rsidRPr="00674030">
              <w:rPr>
                <w:szCs w:val="22"/>
                <w:lang w:val="ru-RU"/>
              </w:rPr>
              <w:t>:</w:t>
            </w:r>
          </w:p>
          <w:p w14:paraId="1A727018" w14:textId="428FE7B1" w:rsidR="00B84746" w:rsidRPr="00674030" w:rsidRDefault="00BD6B68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szCs w:val="22"/>
                <w:lang w:val="ru-RU"/>
              </w:rPr>
              <w:sym w:font="Symbol" w:char="F02D"/>
            </w:r>
            <w:r w:rsidR="00B84746" w:rsidRPr="00674030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5BBD01A0" w14:textId="270859B4" w:rsidR="00375817" w:rsidRPr="00674030" w:rsidRDefault="00BD6B68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szCs w:val="22"/>
                <w:lang w:val="ru-RU"/>
              </w:rPr>
              <w:sym w:font="Symbol" w:char="F02D"/>
            </w:r>
            <w:r w:rsidR="00375817" w:rsidRPr="00674030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30EFCD1F" w14:textId="77777777" w:rsidR="00E30580" w:rsidRPr="00674030" w:rsidRDefault="00E30580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b/>
                <w:bCs/>
                <w:szCs w:val="22"/>
                <w:lang w:val="ru-RU"/>
              </w:rPr>
              <w:t>Копии</w:t>
            </w:r>
            <w:r w:rsidRPr="00674030">
              <w:rPr>
                <w:szCs w:val="22"/>
                <w:lang w:val="ru-RU"/>
              </w:rPr>
              <w:t>:</w:t>
            </w:r>
          </w:p>
          <w:p w14:paraId="081F1570" w14:textId="1747BAF0" w:rsidR="00B84746" w:rsidRPr="00674030" w:rsidRDefault="00BD6B68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b/>
                <w:bCs/>
                <w:szCs w:val="22"/>
                <w:lang w:val="ru-RU"/>
              </w:rPr>
            </w:pPr>
            <w:r w:rsidRPr="00674030">
              <w:rPr>
                <w:szCs w:val="22"/>
                <w:lang w:val="ru-RU"/>
              </w:rPr>
              <w:sym w:font="Symbol" w:char="F02D"/>
            </w:r>
            <w:r w:rsidR="00B84746" w:rsidRPr="00674030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37934D58" w:rsidR="00B84746" w:rsidRPr="00674030" w:rsidRDefault="00BD6B68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szCs w:val="22"/>
                <w:lang w:val="ru-RU"/>
              </w:rPr>
              <w:sym w:font="Symbol" w:char="F02D"/>
            </w:r>
            <w:r w:rsidR="00B84746" w:rsidRPr="00674030">
              <w:rPr>
                <w:szCs w:val="22"/>
                <w:lang w:val="ru-RU"/>
              </w:rPr>
              <w:tab/>
              <w:t>Ассоциированным членам</w:t>
            </w:r>
            <w:r w:rsidR="00F12D97" w:rsidRPr="00674030">
              <w:rPr>
                <w:szCs w:val="22"/>
                <w:lang w:val="ru-RU"/>
              </w:rPr>
              <w:t xml:space="preserve">, </w:t>
            </w:r>
            <w:r w:rsidR="00F12D97" w:rsidRPr="00674030">
              <w:rPr>
                <w:lang w:val="ru-RU"/>
              </w:rPr>
              <w:t xml:space="preserve">участвующим в работе </w:t>
            </w:r>
            <w:r w:rsidR="00325E4D" w:rsidRPr="00674030">
              <w:rPr>
                <w:lang w:val="ru-RU"/>
              </w:rPr>
              <w:t>11</w:t>
            </w:r>
            <w:r w:rsidR="00F12D97" w:rsidRPr="00674030">
              <w:rPr>
                <w:lang w:val="ru-RU"/>
              </w:rPr>
              <w:noBreakHyphen/>
              <w:t>й Исследовательской комиссии</w:t>
            </w:r>
            <w:r w:rsidR="00325E4D" w:rsidRPr="00674030">
              <w:rPr>
                <w:szCs w:val="22"/>
                <w:lang w:val="ru-RU"/>
              </w:rPr>
              <w:t xml:space="preserve"> МСЭ-Т</w:t>
            </w:r>
          </w:p>
          <w:p w14:paraId="16ECAE56" w14:textId="2438AABD" w:rsidR="00B84746" w:rsidRPr="00674030" w:rsidRDefault="00BD6B68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szCs w:val="22"/>
                <w:lang w:val="ru-RU"/>
              </w:rPr>
              <w:sym w:font="Symbol" w:char="F02D"/>
            </w:r>
            <w:r w:rsidR="00B84746" w:rsidRPr="00674030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6EEAE5D9" w:rsidR="00B84746" w:rsidRPr="00674030" w:rsidRDefault="00BD6B68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szCs w:val="22"/>
                <w:lang w:val="ru-RU"/>
              </w:rPr>
              <w:sym w:font="Symbol" w:char="F02D"/>
            </w:r>
            <w:r w:rsidR="00B84746" w:rsidRPr="00674030">
              <w:rPr>
                <w:szCs w:val="22"/>
                <w:lang w:val="ru-RU"/>
              </w:rPr>
              <w:tab/>
            </w:r>
            <w:r w:rsidR="00F12D97" w:rsidRPr="00674030">
              <w:rPr>
                <w:lang w:val="ru-RU"/>
              </w:rPr>
              <w:t xml:space="preserve">Председателю и заместителям </w:t>
            </w:r>
            <w:r w:rsidR="00F26A42" w:rsidRPr="00674030">
              <w:rPr>
                <w:lang w:val="ru-RU"/>
              </w:rPr>
              <w:t xml:space="preserve">Председателя </w:t>
            </w:r>
            <w:r w:rsidR="00325E4D" w:rsidRPr="00674030">
              <w:rPr>
                <w:lang w:val="ru-RU"/>
              </w:rPr>
              <w:t>11</w:t>
            </w:r>
            <w:r w:rsidR="00F12D97" w:rsidRPr="00674030">
              <w:rPr>
                <w:lang w:val="ru-RU"/>
              </w:rPr>
              <w:noBreakHyphen/>
              <w:t>й</w:t>
            </w:r>
            <w:r w:rsidRPr="00674030">
              <w:rPr>
                <w:lang w:val="ru-RU"/>
              </w:rPr>
              <w:t> </w:t>
            </w:r>
            <w:r w:rsidR="00F12D97" w:rsidRPr="00674030">
              <w:rPr>
                <w:lang w:val="ru-RU"/>
              </w:rPr>
              <w:t>Исследовательской комиссии МСЭ-Т</w:t>
            </w:r>
          </w:p>
          <w:p w14:paraId="7A2D983B" w14:textId="5A6B4D5A" w:rsidR="00B84746" w:rsidRPr="00674030" w:rsidRDefault="00BD6B68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szCs w:val="22"/>
                <w:lang w:val="ru-RU"/>
              </w:rPr>
              <w:sym w:font="Symbol" w:char="F02D"/>
            </w:r>
            <w:r w:rsidR="00B84746" w:rsidRPr="00674030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6493ADB3" w:rsidR="00ED2F1E" w:rsidRPr="00674030" w:rsidRDefault="00BD6B68" w:rsidP="005020A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rPr>
                <w:szCs w:val="22"/>
                <w:lang w:val="ru-RU"/>
              </w:rPr>
            </w:pPr>
            <w:r w:rsidRPr="00674030">
              <w:rPr>
                <w:szCs w:val="22"/>
                <w:lang w:val="ru-RU"/>
              </w:rPr>
              <w:sym w:font="Symbol" w:char="F02D"/>
            </w:r>
            <w:r w:rsidR="00B84746" w:rsidRPr="00674030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621104" w:rsidRPr="00674030" w14:paraId="59643F58" w14:textId="77777777" w:rsidTr="00F17F00">
        <w:trPr>
          <w:cantSplit/>
          <w:trHeight w:val="70"/>
        </w:trPr>
        <w:tc>
          <w:tcPr>
            <w:tcW w:w="1238" w:type="dxa"/>
          </w:tcPr>
          <w:p w14:paraId="0F76D4B7" w14:textId="1C2D0D2C" w:rsidR="00621104" w:rsidRPr="005020A4" w:rsidRDefault="00621104" w:rsidP="00C274E1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5020A4">
              <w:rPr>
                <w:szCs w:val="22"/>
                <w:lang w:val="ru-RU"/>
              </w:rPr>
              <w:t>Тел.:</w:t>
            </w:r>
          </w:p>
        </w:tc>
        <w:tc>
          <w:tcPr>
            <w:tcW w:w="3082" w:type="dxa"/>
          </w:tcPr>
          <w:p w14:paraId="5CCB23E1" w14:textId="07FB2609" w:rsidR="00621104" w:rsidRPr="00674030" w:rsidRDefault="00621104" w:rsidP="00C274E1">
            <w:pPr>
              <w:pStyle w:val="Tabletext"/>
              <w:spacing w:before="0" w:after="0"/>
              <w:rPr>
                <w:b/>
                <w:szCs w:val="22"/>
                <w:lang w:val="ru-RU"/>
              </w:rPr>
            </w:pPr>
            <w:r w:rsidRPr="00674030">
              <w:rPr>
                <w:rFonts w:cstheme="minorHAnsi"/>
                <w:szCs w:val="22"/>
                <w:lang w:val="ru-RU"/>
              </w:rPr>
              <w:t>+41 22 730 5780</w:t>
            </w:r>
          </w:p>
        </w:tc>
        <w:tc>
          <w:tcPr>
            <w:tcW w:w="5850" w:type="dxa"/>
            <w:gridSpan w:val="2"/>
            <w:vMerge/>
          </w:tcPr>
          <w:p w14:paraId="782C5FCD" w14:textId="77777777" w:rsidR="00621104" w:rsidRPr="00674030" w:rsidRDefault="00621104" w:rsidP="0062110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621104" w:rsidRPr="00674030" w14:paraId="3EF71149" w14:textId="77777777" w:rsidTr="00F17F00">
        <w:trPr>
          <w:cantSplit/>
          <w:trHeight w:val="388"/>
        </w:trPr>
        <w:tc>
          <w:tcPr>
            <w:tcW w:w="1238" w:type="dxa"/>
          </w:tcPr>
          <w:p w14:paraId="65A440B2" w14:textId="7E271778" w:rsidR="00621104" w:rsidRPr="005020A4" w:rsidRDefault="00621104" w:rsidP="00C274E1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5020A4">
              <w:rPr>
                <w:szCs w:val="22"/>
                <w:lang w:val="ru-RU"/>
              </w:rPr>
              <w:t>Факс:</w:t>
            </w:r>
          </w:p>
        </w:tc>
        <w:tc>
          <w:tcPr>
            <w:tcW w:w="3082" w:type="dxa"/>
          </w:tcPr>
          <w:p w14:paraId="6952E333" w14:textId="10F9A427" w:rsidR="00621104" w:rsidRPr="00674030" w:rsidRDefault="00621104" w:rsidP="00C274E1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674030">
              <w:rPr>
                <w:rFonts w:cstheme="minorHAnsi"/>
                <w:szCs w:val="22"/>
                <w:lang w:val="ru-RU"/>
              </w:rPr>
              <w:t>+41 22 730 5853</w:t>
            </w:r>
          </w:p>
        </w:tc>
        <w:tc>
          <w:tcPr>
            <w:tcW w:w="5850" w:type="dxa"/>
            <w:gridSpan w:val="2"/>
            <w:vMerge/>
          </w:tcPr>
          <w:p w14:paraId="2BE30301" w14:textId="77777777" w:rsidR="00621104" w:rsidRPr="00674030" w:rsidRDefault="00621104" w:rsidP="0062110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621104" w:rsidRPr="00674030" w14:paraId="14553D92" w14:textId="77777777" w:rsidTr="00F17F00">
        <w:trPr>
          <w:cantSplit/>
          <w:trHeight w:val="801"/>
        </w:trPr>
        <w:tc>
          <w:tcPr>
            <w:tcW w:w="1238" w:type="dxa"/>
          </w:tcPr>
          <w:p w14:paraId="75DF072E" w14:textId="209F9EC1" w:rsidR="00621104" w:rsidRPr="005020A4" w:rsidRDefault="00621104" w:rsidP="00C274E1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5020A4">
              <w:rPr>
                <w:szCs w:val="22"/>
                <w:lang w:val="ru-RU"/>
              </w:rPr>
              <w:t>Эл. почта:</w:t>
            </w:r>
          </w:p>
        </w:tc>
        <w:tc>
          <w:tcPr>
            <w:tcW w:w="3082" w:type="dxa"/>
          </w:tcPr>
          <w:p w14:paraId="0823655A" w14:textId="316899CB" w:rsidR="00621104" w:rsidRPr="00674030" w:rsidRDefault="00621104" w:rsidP="00C274E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674030">
                <w:rPr>
                  <w:rStyle w:val="Hyperlink"/>
                  <w:rFonts w:cstheme="minorHAnsi"/>
                  <w:szCs w:val="22"/>
                  <w:lang w:val="ru-RU"/>
                </w:rPr>
                <w:t>tsbsg11@itu.int</w:t>
              </w:r>
            </w:hyperlink>
          </w:p>
        </w:tc>
        <w:tc>
          <w:tcPr>
            <w:tcW w:w="5850" w:type="dxa"/>
            <w:gridSpan w:val="2"/>
            <w:vMerge/>
          </w:tcPr>
          <w:p w14:paraId="498BD41D" w14:textId="33BA8E1E" w:rsidR="00621104" w:rsidRPr="00674030" w:rsidRDefault="00621104" w:rsidP="0062110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5020A4" w14:paraId="5C105EF0" w14:textId="77777777" w:rsidTr="00F17F00">
        <w:trPr>
          <w:cantSplit/>
        </w:trPr>
        <w:tc>
          <w:tcPr>
            <w:tcW w:w="1238" w:type="dxa"/>
          </w:tcPr>
          <w:p w14:paraId="2527C622" w14:textId="77777777" w:rsidR="00F12D97" w:rsidRPr="00674030" w:rsidRDefault="00F12D97" w:rsidP="005020A4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674030">
              <w:rPr>
                <w:b/>
                <w:bCs/>
                <w:szCs w:val="22"/>
                <w:lang w:val="ru-RU"/>
              </w:rPr>
              <w:t>Предмет</w:t>
            </w:r>
            <w:r w:rsidRPr="00674030">
              <w:rPr>
                <w:szCs w:val="22"/>
                <w:lang w:val="ru-RU"/>
              </w:rPr>
              <w:t>:</w:t>
            </w:r>
          </w:p>
        </w:tc>
        <w:tc>
          <w:tcPr>
            <w:tcW w:w="8932" w:type="dxa"/>
            <w:gridSpan w:val="3"/>
          </w:tcPr>
          <w:p w14:paraId="01E8D3C2" w14:textId="63CE7476" w:rsidR="00F12D97" w:rsidRPr="00674030" w:rsidRDefault="00375817" w:rsidP="005020A4">
            <w:pPr>
              <w:pStyle w:val="Tabletext"/>
              <w:spacing w:before="0" w:after="60"/>
              <w:rPr>
                <w:rFonts w:cstheme="minorHAnsi"/>
                <w:b/>
                <w:szCs w:val="22"/>
                <w:lang w:val="ru-RU"/>
              </w:rPr>
            </w:pPr>
            <w:r w:rsidRPr="00674030">
              <w:rPr>
                <w:b/>
                <w:bCs/>
                <w:szCs w:val="22"/>
                <w:lang w:val="ru-RU"/>
              </w:rPr>
              <w:t>Консультации с Государствами-Членами по проектам Рекомендаций МСЭ-</w:t>
            </w:r>
            <w:r w:rsidR="00B60271" w:rsidRPr="00674030">
              <w:rPr>
                <w:b/>
                <w:bCs/>
                <w:szCs w:val="22"/>
                <w:lang w:val="ru-RU"/>
              </w:rPr>
              <w:t>Т</w:t>
            </w:r>
            <w:r w:rsidR="00B60271" w:rsidRPr="00674030">
              <w:rPr>
                <w:lang w:val="ru-RU"/>
              </w:rPr>
              <w:t xml:space="preserve"> </w:t>
            </w:r>
            <w:r w:rsidR="00B60271" w:rsidRPr="00674030">
              <w:rPr>
                <w:b/>
                <w:bCs/>
                <w:szCs w:val="22"/>
                <w:lang w:val="ru-RU"/>
              </w:rPr>
              <w:t>Q.5055 (ранее – Q.CEIR) и МСЭ-T Q.5056 (ранее – Q.FC-MCM)</w:t>
            </w:r>
            <w:r w:rsidRPr="00674030">
              <w:rPr>
                <w:b/>
                <w:bCs/>
                <w:szCs w:val="22"/>
                <w:lang w:val="ru-RU"/>
              </w:rPr>
              <w:t xml:space="preserve">, по которым сделаны заключения и которые предложены для утверждения на собрании </w:t>
            </w:r>
            <w:r w:rsidR="00B60271" w:rsidRPr="00674030">
              <w:rPr>
                <w:b/>
                <w:bCs/>
                <w:szCs w:val="22"/>
                <w:lang w:val="ru-RU"/>
              </w:rPr>
              <w:t>11</w:t>
            </w:r>
            <w:r w:rsidRPr="00674030">
              <w:rPr>
                <w:b/>
                <w:bCs/>
                <w:szCs w:val="22"/>
                <w:lang w:val="ru-RU"/>
              </w:rPr>
              <w:t>-й Исследовательской комиссии МСЭ-Т (</w:t>
            </w:r>
            <w:r w:rsidR="00B60271" w:rsidRPr="00674030">
              <w:rPr>
                <w:b/>
                <w:bCs/>
                <w:szCs w:val="22"/>
                <w:lang w:val="ru-RU"/>
              </w:rPr>
              <w:t xml:space="preserve">запланировано в </w:t>
            </w:r>
            <w:r w:rsidRPr="00674030">
              <w:rPr>
                <w:b/>
                <w:bCs/>
                <w:szCs w:val="22"/>
                <w:lang w:val="ru-RU"/>
              </w:rPr>
              <w:t>Женев</w:t>
            </w:r>
            <w:r w:rsidR="00B60271" w:rsidRPr="00674030">
              <w:rPr>
                <w:b/>
                <w:bCs/>
                <w:szCs w:val="22"/>
                <w:lang w:val="ru-RU"/>
              </w:rPr>
              <w:t>е</w:t>
            </w:r>
            <w:r w:rsidRPr="00674030">
              <w:rPr>
                <w:b/>
                <w:bCs/>
                <w:szCs w:val="22"/>
                <w:lang w:val="ru-RU"/>
              </w:rPr>
              <w:t xml:space="preserve">, </w:t>
            </w:r>
            <w:r w:rsidR="00B60271" w:rsidRPr="00674030">
              <w:rPr>
                <w:b/>
                <w:bCs/>
                <w:szCs w:val="22"/>
                <w:lang w:val="ru-RU"/>
              </w:rPr>
              <w:t xml:space="preserve">17–26 ноября </w:t>
            </w:r>
            <w:r w:rsidRPr="00674030">
              <w:rPr>
                <w:b/>
                <w:bCs/>
                <w:szCs w:val="22"/>
                <w:lang w:val="ru-RU"/>
              </w:rPr>
              <w:t>2025 г.)</w:t>
            </w:r>
          </w:p>
        </w:tc>
      </w:tr>
    </w:tbl>
    <w:p w14:paraId="660599B5" w14:textId="77777777" w:rsidR="00414B3C" w:rsidRPr="00674030" w:rsidRDefault="00414B3C" w:rsidP="005020A4">
      <w:pPr>
        <w:spacing w:before="0" w:after="100"/>
        <w:ind w:left="-187"/>
        <w:rPr>
          <w:lang w:val="ru-RU"/>
        </w:rPr>
      </w:pPr>
      <w:r w:rsidRPr="00674030">
        <w:rPr>
          <w:lang w:val="ru-RU"/>
        </w:rPr>
        <w:t>Уважаемая госпожа,</w:t>
      </w:r>
      <w:r w:rsidRPr="00674030">
        <w:rPr>
          <w:lang w:val="ru-RU"/>
        </w:rPr>
        <w:br/>
        <w:t>уважаемый господин,</w:t>
      </w:r>
    </w:p>
    <w:p w14:paraId="13322DDF" w14:textId="590BB142" w:rsidR="00375817" w:rsidRPr="00674030" w:rsidRDefault="00375817" w:rsidP="005020A4">
      <w:pPr>
        <w:spacing w:before="0" w:after="100"/>
        <w:ind w:left="-180"/>
        <w:jc w:val="both"/>
        <w:rPr>
          <w:szCs w:val="22"/>
          <w:lang w:val="ru-RU"/>
        </w:rPr>
      </w:pPr>
      <w:r w:rsidRPr="00674030">
        <w:rPr>
          <w:bCs/>
          <w:szCs w:val="22"/>
          <w:lang w:val="ru-RU"/>
        </w:rPr>
        <w:t>1</w:t>
      </w:r>
      <w:r w:rsidRPr="00674030">
        <w:rPr>
          <w:szCs w:val="22"/>
          <w:lang w:val="ru-RU"/>
        </w:rPr>
        <w:tab/>
      </w:r>
      <w:r w:rsidR="00325E4D" w:rsidRPr="00674030">
        <w:rPr>
          <w:szCs w:val="22"/>
          <w:lang w:val="ru-RU"/>
        </w:rPr>
        <w:t>11-я Исследовательская комиссия МСЭ-Т (Требования к сигнализации, протоколы, спецификации тестирования и борьба с контрафактными устройствами электросвязи/ИКТ) намерена применить традиционную процедуру утверждения, описанную в разделе 9 Резолюции 1 (Пересм.</w:t>
      </w:r>
      <w:r w:rsidR="00BD6B68" w:rsidRPr="00674030">
        <w:rPr>
          <w:szCs w:val="22"/>
          <w:lang w:val="ru-RU"/>
        </w:rPr>
        <w:t> </w:t>
      </w:r>
      <w:r w:rsidR="00325E4D" w:rsidRPr="00674030">
        <w:rPr>
          <w:szCs w:val="22"/>
          <w:lang w:val="ru-RU"/>
        </w:rPr>
        <w:t>Женева, 2022 г.) ВАСЭ, для утверждения указанных выше проектов Рекомендаций на своем следующем собрании, которое планируется провести в Женеве</w:t>
      </w:r>
      <w:r w:rsidRPr="00674030">
        <w:rPr>
          <w:szCs w:val="22"/>
          <w:lang w:val="ru-RU"/>
        </w:rPr>
        <w:t xml:space="preserve"> </w:t>
      </w:r>
      <w:r w:rsidR="00325E4D" w:rsidRPr="00674030">
        <w:rPr>
          <w:szCs w:val="22"/>
          <w:lang w:val="ru-RU"/>
        </w:rPr>
        <w:t xml:space="preserve">17–26 ноября </w:t>
      </w:r>
      <w:r w:rsidRPr="00674030">
        <w:rPr>
          <w:szCs w:val="22"/>
          <w:lang w:val="ru-RU"/>
        </w:rPr>
        <w:t xml:space="preserve">2025 года. </w:t>
      </w:r>
      <w:r w:rsidR="00325E4D" w:rsidRPr="00674030">
        <w:rPr>
          <w:bCs/>
          <w:szCs w:val="22"/>
          <w:lang w:val="ru-RU"/>
        </w:rPr>
        <w:t>Повестка дня и вся соответствующая информация, касающаяся собрания 11-й Исследовательской комиссии МСЭ-Т, будут опубликованы в установленном порядке</w:t>
      </w:r>
      <w:r w:rsidRPr="00674030">
        <w:rPr>
          <w:szCs w:val="22"/>
          <w:lang w:val="ru-RU"/>
        </w:rPr>
        <w:t>.</w:t>
      </w:r>
    </w:p>
    <w:p w14:paraId="66EC0509" w14:textId="5EDD772F" w:rsidR="00022D94" w:rsidRPr="00674030" w:rsidRDefault="00022D94" w:rsidP="005020A4">
      <w:pPr>
        <w:pStyle w:val="Note"/>
        <w:spacing w:before="0" w:after="100"/>
        <w:ind w:left="-142"/>
        <w:jc w:val="both"/>
        <w:rPr>
          <w:lang w:val="ru-RU"/>
        </w:rPr>
      </w:pPr>
      <w:r w:rsidRPr="00674030">
        <w:rPr>
          <w:lang w:val="ru-RU"/>
        </w:rPr>
        <w:t>ПРИМЕЧАНИЕ.</w:t>
      </w:r>
      <w:r w:rsidR="0037493A" w:rsidRPr="00674030">
        <w:rPr>
          <w:lang w:val="ru-RU"/>
        </w:rPr>
        <w:t xml:space="preserve"> – В отношении п</w:t>
      </w:r>
      <w:r w:rsidRPr="00674030">
        <w:rPr>
          <w:lang w:val="ru-RU"/>
        </w:rPr>
        <w:t>роект</w:t>
      </w:r>
      <w:r w:rsidR="0037493A" w:rsidRPr="00674030">
        <w:rPr>
          <w:lang w:val="ru-RU"/>
        </w:rPr>
        <w:t>а</w:t>
      </w:r>
      <w:r w:rsidRPr="00674030">
        <w:rPr>
          <w:lang w:val="ru-RU"/>
        </w:rPr>
        <w:t xml:space="preserve"> новой Рекомендации МСЭ-Т Q.5055 (ранее – Q.CEIR), </w:t>
      </w:r>
      <w:r w:rsidR="0037493A" w:rsidRPr="00674030">
        <w:rPr>
          <w:lang w:val="ru-RU"/>
        </w:rPr>
        <w:t xml:space="preserve">по которому </w:t>
      </w:r>
      <w:r w:rsidRPr="00674030">
        <w:rPr>
          <w:lang w:val="ru-RU"/>
        </w:rPr>
        <w:t xml:space="preserve">на </w:t>
      </w:r>
      <w:r w:rsidR="0037493A" w:rsidRPr="00674030">
        <w:rPr>
          <w:lang w:val="ru-RU"/>
        </w:rPr>
        <w:t xml:space="preserve">собрании </w:t>
      </w:r>
      <w:r w:rsidRPr="00674030">
        <w:rPr>
          <w:lang w:val="ru-RU"/>
        </w:rPr>
        <w:t>ИК11 в мае 2024 года</w:t>
      </w:r>
      <w:r w:rsidR="0037493A" w:rsidRPr="00674030">
        <w:rPr>
          <w:lang w:val="ru-RU"/>
        </w:rPr>
        <w:t xml:space="preserve"> получено согласие</w:t>
      </w:r>
      <w:r w:rsidRPr="00674030">
        <w:rPr>
          <w:lang w:val="ru-RU"/>
        </w:rPr>
        <w:t xml:space="preserve">, процесс утверждения </w:t>
      </w:r>
      <w:r w:rsidR="0037493A" w:rsidRPr="00674030">
        <w:rPr>
          <w:lang w:val="ru-RU"/>
        </w:rPr>
        <w:t xml:space="preserve">изменен </w:t>
      </w:r>
      <w:r w:rsidRPr="00674030">
        <w:rPr>
          <w:lang w:val="ru-RU"/>
        </w:rPr>
        <w:t>на традиционный процесс утверждения (</w:t>
      </w:r>
      <w:r w:rsidR="0037493A" w:rsidRPr="00674030">
        <w:rPr>
          <w:lang w:val="ru-RU"/>
        </w:rPr>
        <w:t>ТПУ</w:t>
      </w:r>
      <w:r w:rsidRPr="00674030">
        <w:rPr>
          <w:lang w:val="ru-RU"/>
        </w:rPr>
        <w:t xml:space="preserve">) в соответствии с </w:t>
      </w:r>
      <w:r w:rsidR="0037493A" w:rsidRPr="00674030">
        <w:rPr>
          <w:lang w:val="ru-RU"/>
        </w:rPr>
        <w:t>пунктом 5.2 Рекомендации МСЭ-T A.8</w:t>
      </w:r>
      <w:r w:rsidRPr="00674030">
        <w:rPr>
          <w:lang w:val="ru-RU"/>
        </w:rPr>
        <w:t>.</w:t>
      </w:r>
    </w:p>
    <w:p w14:paraId="07168341" w14:textId="27EC890D" w:rsidR="00375817" w:rsidRPr="00674030" w:rsidRDefault="00375817" w:rsidP="005020A4">
      <w:pPr>
        <w:spacing w:before="0" w:after="100"/>
        <w:ind w:left="-180"/>
        <w:jc w:val="both"/>
        <w:rPr>
          <w:szCs w:val="22"/>
          <w:lang w:val="ru-RU"/>
        </w:rPr>
      </w:pPr>
      <w:r w:rsidRPr="00674030">
        <w:rPr>
          <w:bCs/>
          <w:szCs w:val="22"/>
          <w:lang w:val="ru-RU"/>
        </w:rPr>
        <w:t>2</w:t>
      </w:r>
      <w:r w:rsidRPr="00674030">
        <w:rPr>
          <w:szCs w:val="22"/>
          <w:lang w:val="ru-RU"/>
        </w:rPr>
        <w:tab/>
        <w:t>Названи</w:t>
      </w:r>
      <w:r w:rsidR="00B60271" w:rsidRPr="00674030">
        <w:rPr>
          <w:szCs w:val="22"/>
          <w:lang w:val="ru-RU"/>
        </w:rPr>
        <w:t>я</w:t>
      </w:r>
      <w:r w:rsidRPr="00674030">
        <w:rPr>
          <w:szCs w:val="22"/>
          <w:lang w:val="ru-RU"/>
        </w:rPr>
        <w:t xml:space="preserve">, резюме предлагаемых к утверждению проектов </w:t>
      </w:r>
      <w:r w:rsidR="0037493A" w:rsidRPr="00674030">
        <w:rPr>
          <w:szCs w:val="22"/>
          <w:lang w:val="ru-RU"/>
        </w:rPr>
        <w:t>Рекомендаций</w:t>
      </w:r>
      <w:r w:rsidRPr="00674030">
        <w:rPr>
          <w:szCs w:val="22"/>
          <w:lang w:val="ru-RU"/>
        </w:rPr>
        <w:t xml:space="preserve"> МСЭ-Т и указание на</w:t>
      </w:r>
      <w:r w:rsidR="00DA5BCE" w:rsidRPr="00674030">
        <w:rPr>
          <w:szCs w:val="22"/>
          <w:lang w:val="ru-RU"/>
        </w:rPr>
        <w:t> </w:t>
      </w:r>
      <w:r w:rsidRPr="00674030">
        <w:rPr>
          <w:szCs w:val="22"/>
          <w:lang w:val="ru-RU"/>
        </w:rPr>
        <w:t xml:space="preserve">место их размещения содержатся в </w:t>
      </w:r>
      <w:r w:rsidRPr="00674030">
        <w:rPr>
          <w:b/>
          <w:bCs/>
          <w:szCs w:val="22"/>
          <w:lang w:val="ru-RU"/>
        </w:rPr>
        <w:t>Приложении 1</w:t>
      </w:r>
      <w:r w:rsidRPr="00674030">
        <w:rPr>
          <w:szCs w:val="22"/>
          <w:lang w:val="ru-RU"/>
        </w:rPr>
        <w:t>.</w:t>
      </w:r>
    </w:p>
    <w:p w14:paraId="05B613C8" w14:textId="0446CB0F" w:rsidR="00375817" w:rsidRPr="00674030" w:rsidRDefault="00375817" w:rsidP="005020A4">
      <w:pPr>
        <w:spacing w:before="0" w:after="100"/>
        <w:ind w:left="-180"/>
        <w:jc w:val="both"/>
        <w:rPr>
          <w:szCs w:val="22"/>
          <w:lang w:val="ru-RU"/>
        </w:rPr>
      </w:pPr>
      <w:r w:rsidRPr="00674030">
        <w:rPr>
          <w:bCs/>
          <w:szCs w:val="22"/>
          <w:lang w:val="ru-RU"/>
        </w:rPr>
        <w:t>3</w:t>
      </w:r>
      <w:r w:rsidRPr="00674030">
        <w:rPr>
          <w:szCs w:val="22"/>
          <w:lang w:val="ru-RU"/>
        </w:rPr>
        <w:tab/>
        <w:t>Настоящий Циркуляр открывает официальные консультации с Государ</w:t>
      </w:r>
      <w:r w:rsidRPr="00674030">
        <w:rPr>
          <w:rFonts w:cstheme="minorHAnsi"/>
          <w:szCs w:val="22"/>
          <w:lang w:val="ru-RU"/>
        </w:rPr>
        <w:t>ствами − Членами</w:t>
      </w:r>
      <w:r w:rsidRPr="00674030">
        <w:rPr>
          <w:szCs w:val="22"/>
          <w:lang w:val="ru-RU"/>
        </w:rPr>
        <w:t xml:space="preserve"> МСЭ относительно возможности рассмотрения этих текстов с целью их утверждения на предстоящем собрании в соответствии с п. 9.4 Резолюции 1. Государствам-Членам предлагается заполнить содержащуюся в </w:t>
      </w:r>
      <w:r w:rsidRPr="00674030">
        <w:rPr>
          <w:b/>
          <w:bCs/>
          <w:szCs w:val="22"/>
          <w:lang w:val="ru-RU"/>
        </w:rPr>
        <w:t>Приложении 2</w:t>
      </w:r>
      <w:r w:rsidRPr="00674030">
        <w:rPr>
          <w:szCs w:val="22"/>
          <w:lang w:val="ru-RU"/>
        </w:rPr>
        <w:t xml:space="preserve"> форму и вернуть ее не позднее 23 час. 59 мин. UTC </w:t>
      </w:r>
      <w:r w:rsidR="00325E4D" w:rsidRPr="00674030">
        <w:rPr>
          <w:b/>
          <w:bCs/>
          <w:szCs w:val="22"/>
          <w:lang w:val="ru-RU"/>
        </w:rPr>
        <w:t>5 ноября</w:t>
      </w:r>
      <w:r w:rsidRPr="00674030">
        <w:rPr>
          <w:b/>
          <w:bCs/>
          <w:szCs w:val="22"/>
          <w:lang w:val="ru-RU"/>
        </w:rPr>
        <w:t xml:space="preserve"> 2025 года</w:t>
      </w:r>
      <w:r w:rsidRPr="00674030">
        <w:rPr>
          <w:szCs w:val="22"/>
          <w:lang w:val="ru-RU"/>
        </w:rPr>
        <w:t>.</w:t>
      </w:r>
    </w:p>
    <w:p w14:paraId="352197DA" w14:textId="21D853E6" w:rsidR="00375817" w:rsidRPr="00674030" w:rsidRDefault="0062108A" w:rsidP="005020A4">
      <w:pPr>
        <w:spacing w:before="0" w:after="100"/>
        <w:ind w:left="-180"/>
        <w:jc w:val="both"/>
        <w:rPr>
          <w:szCs w:val="22"/>
          <w:lang w:val="ru-RU"/>
        </w:rPr>
      </w:pPr>
      <w:r w:rsidRPr="00674030">
        <w:rPr>
          <w:szCs w:val="22"/>
          <w:lang w:val="ru-RU"/>
        </w:rPr>
        <w:t>4</w:t>
      </w:r>
      <w:r w:rsidRPr="00674030">
        <w:rPr>
          <w:szCs w:val="22"/>
          <w:lang w:val="ru-RU"/>
        </w:rPr>
        <w:tab/>
      </w:r>
      <w:r w:rsidR="00B60271" w:rsidRPr="00674030">
        <w:rPr>
          <w:szCs w:val="22"/>
          <w:lang w:val="ru-RU"/>
        </w:rPr>
        <w:t xml:space="preserve"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</w:t>
      </w:r>
      <w:r w:rsidR="00375817" w:rsidRPr="00674030">
        <w:rPr>
          <w:szCs w:val="22"/>
          <w:lang w:val="ru-RU"/>
        </w:rPr>
        <w:t>Государства</w:t>
      </w:r>
      <w:r w:rsidR="00BD6B68" w:rsidRPr="00674030">
        <w:rPr>
          <w:szCs w:val="22"/>
          <w:lang w:val="ru-RU"/>
        </w:rPr>
        <w:t>­</w:t>
      </w:r>
      <w:r w:rsidR="00375817" w:rsidRPr="00674030">
        <w:rPr>
          <w:szCs w:val="22"/>
          <w:lang w:val="ru-RU"/>
        </w:rPr>
        <w:t>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3D464895" w14:textId="184F438B" w:rsidR="00F12D97" w:rsidRPr="00674030" w:rsidRDefault="002F0899" w:rsidP="005020A4">
      <w:pPr>
        <w:ind w:left="-187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543538E6" wp14:editId="30356FA6">
            <wp:simplePos x="0" y="0"/>
            <wp:positionH relativeFrom="column">
              <wp:posOffset>-133984</wp:posOffset>
            </wp:positionH>
            <wp:positionV relativeFrom="paragraph">
              <wp:posOffset>217805</wp:posOffset>
            </wp:positionV>
            <wp:extent cx="768389" cy="342918"/>
            <wp:effectExtent l="0" t="0" r="0" b="0"/>
            <wp:wrapNone/>
            <wp:docPr id="51539117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9117" name="Picture 1" descr="A black text on a white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D97" w:rsidRPr="00674030">
        <w:rPr>
          <w:lang w:val="ru-RU"/>
        </w:rPr>
        <w:t>С уважением,</w:t>
      </w:r>
    </w:p>
    <w:p w14:paraId="0F1C6E01" w14:textId="02F551C9" w:rsidR="00414B3C" w:rsidRPr="00674030" w:rsidRDefault="003E38F2" w:rsidP="005020A4">
      <w:pPr>
        <w:spacing w:before="600"/>
        <w:ind w:left="-187"/>
        <w:rPr>
          <w:lang w:val="ru-RU"/>
        </w:rPr>
      </w:pPr>
      <w:r w:rsidRPr="00674030">
        <w:rPr>
          <w:lang w:val="ru-RU"/>
        </w:rPr>
        <w:t>Сейдзо Оноэ</w:t>
      </w:r>
      <w:r w:rsidR="00414B3C" w:rsidRPr="00674030">
        <w:rPr>
          <w:lang w:val="ru-RU"/>
        </w:rPr>
        <w:t xml:space="preserve"> </w:t>
      </w:r>
      <w:r w:rsidR="00BD6B68" w:rsidRPr="00674030">
        <w:rPr>
          <w:lang w:val="ru-RU"/>
        </w:rPr>
        <w:br/>
      </w:r>
      <w:r w:rsidR="00414B3C" w:rsidRPr="00674030">
        <w:rPr>
          <w:lang w:val="ru-RU"/>
        </w:rPr>
        <w:t xml:space="preserve">Директор Бюро </w:t>
      </w:r>
      <w:r w:rsidR="00414B3C" w:rsidRPr="00674030">
        <w:rPr>
          <w:lang w:val="ru-RU"/>
        </w:rPr>
        <w:br/>
        <w:t>стандартизации электросвязи</w:t>
      </w:r>
    </w:p>
    <w:p w14:paraId="3D57658F" w14:textId="1CB1A19C" w:rsidR="009001FF" w:rsidRPr="00674030" w:rsidRDefault="00C62B05" w:rsidP="005020A4">
      <w:pPr>
        <w:ind w:left="-187"/>
        <w:rPr>
          <w:lang w:val="ru-RU"/>
        </w:rPr>
      </w:pPr>
      <w:r w:rsidRPr="00674030">
        <w:rPr>
          <w:b/>
          <w:bCs/>
          <w:lang w:val="ru-RU"/>
        </w:rPr>
        <w:t>Приложения</w:t>
      </w:r>
      <w:r w:rsidRPr="00674030">
        <w:rPr>
          <w:lang w:val="ru-RU"/>
        </w:rPr>
        <w:t>: 2</w:t>
      </w:r>
    </w:p>
    <w:p w14:paraId="5384ECF1" w14:textId="77777777" w:rsidR="00713D99" w:rsidRPr="00674030" w:rsidRDefault="00713D99" w:rsidP="00BD6B68">
      <w:pPr>
        <w:pStyle w:val="AnnexNo"/>
        <w:rPr>
          <w:lang w:val="ru-RU"/>
        </w:rPr>
      </w:pPr>
      <w:r w:rsidRPr="00674030">
        <w:rPr>
          <w:lang w:val="ru-RU"/>
        </w:rPr>
        <w:lastRenderedPageBreak/>
        <w:t>ПРИЛОЖЕНИЕ 1</w:t>
      </w:r>
    </w:p>
    <w:p w14:paraId="0C57CACE" w14:textId="18AB88C7" w:rsidR="00375817" w:rsidRPr="00674030" w:rsidRDefault="00375817" w:rsidP="00BD6B68">
      <w:pPr>
        <w:pStyle w:val="Annextitle"/>
        <w:rPr>
          <w:lang w:val="ru-RU"/>
        </w:rPr>
      </w:pPr>
      <w:r w:rsidRPr="00674030">
        <w:rPr>
          <w:lang w:val="ru-RU"/>
        </w:rPr>
        <w:t xml:space="preserve">Резюме и указания на места размещения </w:t>
      </w:r>
      <w:r w:rsidR="00DD488D" w:rsidRPr="00674030">
        <w:rPr>
          <w:lang w:val="ru-RU"/>
        </w:rPr>
        <w:t>проектов Рекомендаций МСЭ-Т Q.5055 (ранее – Q.CEIR) и МСЭ-Т Q.5056 (ранее – Q.FC-MCM)</w:t>
      </w:r>
      <w:r w:rsidRPr="00674030">
        <w:rPr>
          <w:lang w:val="ru-RU"/>
        </w:rPr>
        <w:t>,</w:t>
      </w:r>
      <w:r w:rsidR="00BD6B68" w:rsidRPr="00674030">
        <w:rPr>
          <w:lang w:val="ru-RU"/>
        </w:rPr>
        <w:br/>
      </w:r>
      <w:r w:rsidRPr="00674030">
        <w:rPr>
          <w:lang w:val="ru-RU"/>
        </w:rPr>
        <w:t xml:space="preserve"> по которым сделаны</w:t>
      </w:r>
      <w:r w:rsidR="00BD6B68" w:rsidRPr="00674030">
        <w:rPr>
          <w:lang w:val="ru-RU"/>
        </w:rPr>
        <w:t> </w:t>
      </w:r>
      <w:r w:rsidRPr="00674030">
        <w:rPr>
          <w:lang w:val="ru-RU"/>
        </w:rPr>
        <w:t>заключения</w:t>
      </w:r>
    </w:p>
    <w:p w14:paraId="41F8E2E3" w14:textId="2D9D14D0" w:rsidR="00DD488D" w:rsidRPr="00674030" w:rsidRDefault="00DD488D" w:rsidP="00BD6B68">
      <w:pPr>
        <w:pStyle w:val="Note"/>
        <w:rPr>
          <w:rFonts w:cstheme="minorHAnsi"/>
          <w:i/>
          <w:iCs/>
          <w:szCs w:val="22"/>
          <w:lang w:val="ru-RU"/>
        </w:rPr>
      </w:pPr>
      <w:r w:rsidRPr="00674030">
        <w:rPr>
          <w:i/>
          <w:iCs/>
          <w:lang w:val="ru-RU"/>
        </w:rPr>
        <w:t xml:space="preserve">ПРИМЕЧАНИЕ. – В соответствии с просьбой, высказанной на заключительном пленарном заседании ИК11 28 февраля 2025 года, Государствам-Членам также предлагается представить замечания, если таковые возникнут, относительно использования слов </w:t>
      </w:r>
      <w:r w:rsidR="00260C1D" w:rsidRPr="00674030">
        <w:rPr>
          <w:i/>
          <w:iCs/>
          <w:lang w:val="ru-RU"/>
        </w:rPr>
        <w:t>"легальный" (</w:t>
      </w:r>
      <w:r w:rsidRPr="00674030">
        <w:rPr>
          <w:i/>
          <w:iCs/>
          <w:lang w:val="ru-RU"/>
        </w:rPr>
        <w:t>"lega</w:t>
      </w:r>
      <w:r w:rsidR="00260C1D" w:rsidRPr="00674030">
        <w:rPr>
          <w:i/>
          <w:iCs/>
          <w:lang w:val="ru-RU"/>
        </w:rPr>
        <w:t>l</w:t>
      </w:r>
      <w:r w:rsidRPr="00674030">
        <w:rPr>
          <w:i/>
          <w:iCs/>
          <w:lang w:val="ru-RU"/>
        </w:rPr>
        <w:t>"</w:t>
      </w:r>
      <w:r w:rsidR="00260C1D" w:rsidRPr="00674030">
        <w:rPr>
          <w:i/>
          <w:iCs/>
          <w:lang w:val="ru-RU"/>
        </w:rPr>
        <w:t>)</w:t>
      </w:r>
      <w:r w:rsidRPr="00674030">
        <w:rPr>
          <w:i/>
          <w:iCs/>
          <w:lang w:val="ru-RU"/>
        </w:rPr>
        <w:t xml:space="preserve"> и </w:t>
      </w:r>
      <w:r w:rsidR="00260C1D" w:rsidRPr="00674030">
        <w:rPr>
          <w:i/>
          <w:iCs/>
          <w:lang w:val="ru-RU"/>
        </w:rPr>
        <w:t>"нелегальный (</w:t>
      </w:r>
      <w:r w:rsidRPr="00674030">
        <w:rPr>
          <w:i/>
          <w:iCs/>
          <w:lang w:val="ru-RU"/>
        </w:rPr>
        <w:t>"illegal"</w:t>
      </w:r>
      <w:r w:rsidR="00260C1D" w:rsidRPr="00674030">
        <w:rPr>
          <w:i/>
          <w:iCs/>
          <w:lang w:val="ru-RU"/>
        </w:rPr>
        <w:t>)</w:t>
      </w:r>
      <w:r w:rsidRPr="00674030">
        <w:rPr>
          <w:i/>
          <w:iCs/>
          <w:lang w:val="ru-RU"/>
        </w:rPr>
        <w:t>, упоминаемых в проектах этих Рекомендаций.</w:t>
      </w:r>
    </w:p>
    <w:p w14:paraId="1F0C0134" w14:textId="57415219" w:rsidR="00375817" w:rsidRPr="00674030" w:rsidRDefault="00632434" w:rsidP="00BD6B68">
      <w:pPr>
        <w:pStyle w:val="Heading1"/>
        <w:rPr>
          <w:lang w:val="ru-RU"/>
        </w:rPr>
      </w:pPr>
      <w:r w:rsidRPr="00674030">
        <w:rPr>
          <w:lang w:val="ru-RU"/>
        </w:rPr>
        <w:t>1</w:t>
      </w:r>
      <w:r w:rsidRPr="00674030">
        <w:rPr>
          <w:lang w:val="ru-RU"/>
        </w:rPr>
        <w:tab/>
      </w:r>
      <w:r w:rsidR="00375817" w:rsidRPr="00674030">
        <w:rPr>
          <w:lang w:val="ru-RU"/>
        </w:rPr>
        <w:t xml:space="preserve">Проект </w:t>
      </w:r>
      <w:r w:rsidR="00DD488D" w:rsidRPr="00674030">
        <w:rPr>
          <w:lang w:val="ru-RU"/>
        </w:rPr>
        <w:t>новой Рекомендации МСЭ-Т Q.5055 (ранее – Q.CEIR) [</w:t>
      </w:r>
      <w:hyperlink r:id="rId14" w:history="1">
        <w:r w:rsidR="00DD488D" w:rsidRPr="00674030">
          <w:rPr>
            <w:rStyle w:val="Hyperlink"/>
            <w:lang w:val="ru-RU"/>
          </w:rPr>
          <w:t>SG11-R5</w:t>
        </w:r>
      </w:hyperlink>
      <w:r w:rsidR="00DD488D" w:rsidRPr="00674030">
        <w:rPr>
          <w:lang w:val="ru-RU"/>
        </w:rPr>
        <w:t>]</w:t>
      </w:r>
    </w:p>
    <w:p w14:paraId="48B45716" w14:textId="6AC021E1" w:rsidR="00DD488D" w:rsidRPr="00674030" w:rsidRDefault="00DD488D" w:rsidP="00DD488D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>Технические требования, интерфейсы и общие функции центрального регистра идентификации</w:t>
      </w:r>
      <w:r w:rsidR="00674030">
        <w:t> </w:t>
      </w:r>
      <w:r w:rsidRPr="00674030">
        <w:rPr>
          <w:lang w:val="ru-RU"/>
        </w:rPr>
        <w:t>оборудования (CEIR)</w:t>
      </w:r>
    </w:p>
    <w:p w14:paraId="497DCCD2" w14:textId="77777777" w:rsidR="00DD488D" w:rsidRPr="00674030" w:rsidRDefault="00DD488D" w:rsidP="00BD6B68">
      <w:pPr>
        <w:pStyle w:val="Headingb"/>
        <w:rPr>
          <w:rFonts w:cstheme="minorHAnsi"/>
          <w:szCs w:val="22"/>
          <w:lang w:val="ru-RU"/>
        </w:rPr>
      </w:pPr>
      <w:r w:rsidRPr="00674030">
        <w:rPr>
          <w:lang w:val="ru-RU"/>
        </w:rPr>
        <w:t>Резюме</w:t>
      </w:r>
    </w:p>
    <w:p w14:paraId="7A27685B" w14:textId="364E2964" w:rsidR="00DD488D" w:rsidRPr="00674030" w:rsidRDefault="00C510F7" w:rsidP="00BD6B68">
      <w:pPr>
        <w:rPr>
          <w:color w:val="000000"/>
          <w:szCs w:val="18"/>
          <w:lang w:val="ru-RU"/>
        </w:rPr>
      </w:pPr>
      <w:r w:rsidRPr="00674030">
        <w:rPr>
          <w:lang w:val="ru-RU"/>
        </w:rPr>
        <w:t xml:space="preserve">В условиях </w:t>
      </w:r>
      <w:r w:rsidR="00DD488D" w:rsidRPr="00674030">
        <w:rPr>
          <w:lang w:val="ru-RU"/>
        </w:rPr>
        <w:t xml:space="preserve">расширения использования устройств подвижной связи </w:t>
      </w:r>
      <w:r w:rsidR="00260C1D" w:rsidRPr="00674030">
        <w:rPr>
          <w:lang w:val="ru-RU"/>
        </w:rPr>
        <w:t xml:space="preserve">во всем </w:t>
      </w:r>
      <w:r w:rsidR="00DD488D" w:rsidRPr="00674030">
        <w:rPr>
          <w:lang w:val="ru-RU"/>
        </w:rPr>
        <w:t>мир</w:t>
      </w:r>
      <w:r w:rsidR="00260C1D" w:rsidRPr="00674030">
        <w:rPr>
          <w:lang w:val="ru-RU"/>
        </w:rPr>
        <w:t xml:space="preserve">е </w:t>
      </w:r>
      <w:r w:rsidRPr="00674030">
        <w:rPr>
          <w:lang w:val="ru-RU"/>
        </w:rPr>
        <w:t>растет</w:t>
      </w:r>
      <w:r w:rsidR="00DD488D" w:rsidRPr="00674030">
        <w:rPr>
          <w:lang w:val="ru-RU"/>
        </w:rPr>
        <w:t xml:space="preserve"> числ</w:t>
      </w:r>
      <w:r w:rsidRPr="00674030">
        <w:rPr>
          <w:lang w:val="ru-RU"/>
        </w:rPr>
        <w:t>о</w:t>
      </w:r>
      <w:r w:rsidR="00DD488D" w:rsidRPr="00674030">
        <w:rPr>
          <w:lang w:val="ru-RU"/>
        </w:rPr>
        <w:t xml:space="preserve"> случаев хищения мобильных устройств, </w:t>
      </w:r>
      <w:r w:rsidR="00260C1D" w:rsidRPr="00674030">
        <w:rPr>
          <w:lang w:val="ru-RU"/>
        </w:rPr>
        <w:t>копирования</w:t>
      </w:r>
      <w:r w:rsidR="00DD488D" w:rsidRPr="00674030">
        <w:rPr>
          <w:lang w:val="ru-RU"/>
        </w:rPr>
        <w:t xml:space="preserve"> </w:t>
      </w:r>
      <w:r w:rsidRPr="00674030">
        <w:rPr>
          <w:lang w:val="ru-RU"/>
        </w:rPr>
        <w:t xml:space="preserve">международных </w:t>
      </w:r>
      <w:r w:rsidR="00DD488D" w:rsidRPr="00674030">
        <w:rPr>
          <w:lang w:val="ru-RU"/>
        </w:rPr>
        <w:t xml:space="preserve">идентификаторов </w:t>
      </w:r>
      <w:r w:rsidR="00260C1D" w:rsidRPr="00674030">
        <w:rPr>
          <w:lang w:val="ru-RU"/>
        </w:rPr>
        <w:t>аппаратуры подвижной связи</w:t>
      </w:r>
      <w:r w:rsidR="00DD488D" w:rsidRPr="00674030">
        <w:rPr>
          <w:lang w:val="ru-RU"/>
        </w:rPr>
        <w:t xml:space="preserve"> (IMEI) и использования контрафактных мобильных устройств. Один из возможных способов предотвращения использования таких не отвечающих нормам устройств, согласно Рекомендациям МСЭ-Т Q.5050, МСЭ-Т Q.5051 и МСЭ-Т Q.5052, заключается в том, чтобы операторы сетей подвижной связи (MNO) блокировали </w:t>
      </w:r>
      <w:r w:rsidR="00B30BB6" w:rsidRPr="00674030">
        <w:rPr>
          <w:lang w:val="ru-RU"/>
        </w:rPr>
        <w:t>не отвечающи</w:t>
      </w:r>
      <w:r w:rsidR="000E4D5A" w:rsidRPr="00674030">
        <w:rPr>
          <w:lang w:val="ru-RU"/>
        </w:rPr>
        <w:t>й</w:t>
      </w:r>
      <w:r w:rsidR="00B30BB6" w:rsidRPr="00674030">
        <w:rPr>
          <w:lang w:val="ru-RU"/>
        </w:rPr>
        <w:t xml:space="preserve"> нормам </w:t>
      </w:r>
      <w:r w:rsidR="00DD488D" w:rsidRPr="00674030">
        <w:rPr>
          <w:lang w:val="ru-RU"/>
        </w:rPr>
        <w:t xml:space="preserve">уникальный идентификатор мобильных устройств в </w:t>
      </w:r>
      <w:r w:rsidRPr="00674030">
        <w:rPr>
          <w:lang w:val="ru-RU"/>
        </w:rPr>
        <w:t xml:space="preserve">регистре </w:t>
      </w:r>
      <w:r w:rsidR="00DD488D" w:rsidRPr="00674030">
        <w:rPr>
          <w:lang w:val="ru-RU"/>
        </w:rPr>
        <w:t xml:space="preserve">идентификации оборудования (EIR) и </w:t>
      </w:r>
      <w:r w:rsidR="00024072" w:rsidRPr="00674030">
        <w:rPr>
          <w:lang w:val="ru-RU"/>
        </w:rPr>
        <w:t>внедр</w:t>
      </w:r>
      <w:r w:rsidR="008C7047" w:rsidRPr="00674030">
        <w:rPr>
          <w:lang w:val="ru-RU"/>
        </w:rPr>
        <w:t>и</w:t>
      </w:r>
      <w:r w:rsidR="00024072" w:rsidRPr="00674030">
        <w:rPr>
          <w:lang w:val="ru-RU"/>
        </w:rPr>
        <w:t xml:space="preserve">ли </w:t>
      </w:r>
      <w:r w:rsidR="008C7047" w:rsidRPr="00674030">
        <w:rPr>
          <w:lang w:val="ru-RU"/>
        </w:rPr>
        <w:t xml:space="preserve">ряд </w:t>
      </w:r>
      <w:r w:rsidR="00024072" w:rsidRPr="00674030">
        <w:rPr>
          <w:lang w:val="ru-RU"/>
        </w:rPr>
        <w:t>перечн</w:t>
      </w:r>
      <w:r w:rsidR="008C7047" w:rsidRPr="00674030">
        <w:rPr>
          <w:lang w:val="ru-RU"/>
        </w:rPr>
        <w:t>ей</w:t>
      </w:r>
      <w:r w:rsidR="00024072" w:rsidRPr="00674030">
        <w:rPr>
          <w:lang w:val="ru-RU"/>
        </w:rPr>
        <w:t xml:space="preserve"> </w:t>
      </w:r>
      <w:r w:rsidR="005062FD" w:rsidRPr="00674030">
        <w:rPr>
          <w:lang w:val="ru-RU"/>
        </w:rPr>
        <w:t xml:space="preserve">управления </w:t>
      </w:r>
      <w:r w:rsidR="00DD488D" w:rsidRPr="00674030">
        <w:rPr>
          <w:lang w:val="ru-RU"/>
        </w:rPr>
        <w:t>устройств</w:t>
      </w:r>
      <w:r w:rsidR="00CC66B5" w:rsidRPr="00674030">
        <w:rPr>
          <w:lang w:val="ru-RU"/>
        </w:rPr>
        <w:t>ами</w:t>
      </w:r>
      <w:r w:rsidR="00DD488D" w:rsidRPr="00674030">
        <w:rPr>
          <w:lang w:val="ru-RU"/>
        </w:rPr>
        <w:t xml:space="preserve"> (</w:t>
      </w:r>
      <w:r w:rsidR="00F25EE4" w:rsidRPr="00674030">
        <w:rPr>
          <w:lang w:val="ru-RU"/>
        </w:rPr>
        <w:t>таки</w:t>
      </w:r>
      <w:r w:rsidR="008C7047" w:rsidRPr="00674030">
        <w:rPr>
          <w:lang w:val="ru-RU"/>
        </w:rPr>
        <w:t>х</w:t>
      </w:r>
      <w:r w:rsidR="00F25EE4" w:rsidRPr="00674030">
        <w:rPr>
          <w:lang w:val="ru-RU"/>
        </w:rPr>
        <w:t xml:space="preserve"> как </w:t>
      </w:r>
      <w:r w:rsidR="008C7047" w:rsidRPr="00674030">
        <w:rPr>
          <w:lang w:val="ru-RU"/>
        </w:rPr>
        <w:t xml:space="preserve">перечни </w:t>
      </w:r>
      <w:r w:rsidR="00DD488D" w:rsidRPr="00674030">
        <w:rPr>
          <w:lang w:val="ru-RU"/>
        </w:rPr>
        <w:t>разрешенны</w:t>
      </w:r>
      <w:r w:rsidR="008C7047" w:rsidRPr="00674030">
        <w:rPr>
          <w:lang w:val="ru-RU"/>
        </w:rPr>
        <w:t>х</w:t>
      </w:r>
      <w:r w:rsidR="00DD488D" w:rsidRPr="00674030">
        <w:rPr>
          <w:lang w:val="ru-RU"/>
        </w:rPr>
        <w:t>, отслеживаемы</w:t>
      </w:r>
      <w:r w:rsidR="008C7047" w:rsidRPr="00674030">
        <w:rPr>
          <w:lang w:val="ru-RU"/>
        </w:rPr>
        <w:t>х</w:t>
      </w:r>
      <w:r w:rsidR="00DD488D" w:rsidRPr="00674030">
        <w:rPr>
          <w:lang w:val="ru-RU"/>
        </w:rPr>
        <w:t xml:space="preserve"> и заблокированны</w:t>
      </w:r>
      <w:r w:rsidR="008C7047" w:rsidRPr="00674030">
        <w:rPr>
          <w:lang w:val="ru-RU"/>
        </w:rPr>
        <w:t>х</w:t>
      </w:r>
      <w:r w:rsidR="00DD488D" w:rsidRPr="00674030">
        <w:rPr>
          <w:lang w:val="ru-RU"/>
        </w:rPr>
        <w:t xml:space="preserve"> устройств) для управления этим процессом.</w:t>
      </w:r>
    </w:p>
    <w:p w14:paraId="54DB639E" w14:textId="59991A66" w:rsidR="00DD488D" w:rsidRPr="00674030" w:rsidRDefault="00DD488D" w:rsidP="00BD6B68">
      <w:pPr>
        <w:rPr>
          <w:color w:val="000000"/>
          <w:szCs w:val="18"/>
          <w:lang w:val="ru-RU"/>
        </w:rPr>
      </w:pPr>
      <w:r w:rsidRPr="00674030">
        <w:rPr>
          <w:lang w:val="ru-RU"/>
        </w:rPr>
        <w:t>В Рекомендациях МСЭ-Т Q.5050, МСЭ-Т Q.5051 и МСЭ-Т Q.5052 также указывается на необходимость одновременной блокировки не отвечающих нормам устройств различными MNO (внутри страны</w:t>
      </w:r>
      <w:r w:rsidR="008C7047" w:rsidRPr="00674030">
        <w:rPr>
          <w:lang w:val="ru-RU"/>
        </w:rPr>
        <w:t>,</w:t>
      </w:r>
      <w:r w:rsidRPr="00674030">
        <w:rPr>
          <w:lang w:val="ru-RU"/>
        </w:rPr>
        <w:t xml:space="preserve"> </w:t>
      </w:r>
      <w:r w:rsidR="008C7047" w:rsidRPr="00674030">
        <w:rPr>
          <w:lang w:val="ru-RU"/>
        </w:rPr>
        <w:t>а</w:t>
      </w:r>
      <w:r w:rsidRPr="00674030">
        <w:rPr>
          <w:lang w:val="ru-RU"/>
        </w:rPr>
        <w:t xml:space="preserve"> </w:t>
      </w:r>
      <w:r w:rsidR="00221BA2" w:rsidRPr="00674030">
        <w:rPr>
          <w:lang w:val="ru-RU"/>
        </w:rPr>
        <w:t>также во всем мире</w:t>
      </w:r>
      <w:r w:rsidRPr="00674030">
        <w:rPr>
          <w:lang w:val="ru-RU"/>
        </w:rPr>
        <w:t xml:space="preserve">), для чего требуется </w:t>
      </w:r>
      <w:r w:rsidR="002957AF" w:rsidRPr="00674030">
        <w:rPr>
          <w:lang w:val="ru-RU"/>
        </w:rPr>
        <w:t xml:space="preserve">использовать </w:t>
      </w:r>
      <w:r w:rsidRPr="00674030">
        <w:rPr>
          <w:lang w:val="ru-RU"/>
        </w:rPr>
        <w:t xml:space="preserve">центральный регистр идентификации оборудования (CEIR), </w:t>
      </w:r>
      <w:r w:rsidR="008C7047" w:rsidRPr="00674030">
        <w:rPr>
          <w:lang w:val="ru-RU"/>
        </w:rPr>
        <w:t xml:space="preserve">предназначенный для </w:t>
      </w:r>
      <w:r w:rsidRPr="00674030">
        <w:rPr>
          <w:lang w:val="ru-RU"/>
        </w:rPr>
        <w:t>консолид</w:t>
      </w:r>
      <w:r w:rsidR="008C7047" w:rsidRPr="00674030">
        <w:rPr>
          <w:lang w:val="ru-RU"/>
        </w:rPr>
        <w:t xml:space="preserve">ации </w:t>
      </w:r>
      <w:r w:rsidRPr="00674030">
        <w:rPr>
          <w:lang w:val="ru-RU"/>
        </w:rPr>
        <w:t>и распростран</w:t>
      </w:r>
      <w:r w:rsidR="008C7047" w:rsidRPr="00674030">
        <w:rPr>
          <w:lang w:val="ru-RU"/>
        </w:rPr>
        <w:t xml:space="preserve">ения </w:t>
      </w:r>
      <w:r w:rsidRPr="00674030">
        <w:rPr>
          <w:lang w:val="ru-RU"/>
        </w:rPr>
        <w:t>данны</w:t>
      </w:r>
      <w:r w:rsidR="008C7047" w:rsidRPr="00674030">
        <w:rPr>
          <w:lang w:val="ru-RU"/>
        </w:rPr>
        <w:t>х</w:t>
      </w:r>
      <w:r w:rsidRPr="00674030">
        <w:rPr>
          <w:lang w:val="ru-RU"/>
        </w:rPr>
        <w:t>, содержащи</w:t>
      </w:r>
      <w:r w:rsidR="008C7047" w:rsidRPr="00674030">
        <w:rPr>
          <w:lang w:val="ru-RU"/>
        </w:rPr>
        <w:t>х</w:t>
      </w:r>
      <w:r w:rsidRPr="00674030">
        <w:rPr>
          <w:lang w:val="ru-RU"/>
        </w:rPr>
        <w:t>ся в этих перечнях</w:t>
      </w:r>
      <w:r w:rsidR="008C7047" w:rsidRPr="00674030">
        <w:rPr>
          <w:lang w:val="ru-RU"/>
        </w:rPr>
        <w:t xml:space="preserve"> управления устройствами</w:t>
      </w:r>
      <w:r w:rsidRPr="00674030">
        <w:rPr>
          <w:lang w:val="ru-RU"/>
        </w:rPr>
        <w:t>, среди всех подключенных MNO.</w:t>
      </w:r>
    </w:p>
    <w:p w14:paraId="7F898846" w14:textId="1465873A" w:rsidR="00DD488D" w:rsidRPr="00674030" w:rsidRDefault="00C510F7" w:rsidP="00DD488D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 xml:space="preserve">Для оказания </w:t>
      </w:r>
      <w:r w:rsidR="00DD488D" w:rsidRPr="00674030">
        <w:rPr>
          <w:lang w:val="ru-RU"/>
        </w:rPr>
        <w:t>помощ</w:t>
      </w:r>
      <w:r w:rsidRPr="00674030">
        <w:rPr>
          <w:lang w:val="ru-RU"/>
        </w:rPr>
        <w:t>и</w:t>
      </w:r>
      <w:r w:rsidR="00DD488D" w:rsidRPr="00674030">
        <w:rPr>
          <w:lang w:val="ru-RU"/>
        </w:rPr>
        <w:t xml:space="preserve"> странам, намеревающимся внедрить CEIR, </w:t>
      </w:r>
      <w:r w:rsidRPr="00674030">
        <w:rPr>
          <w:lang w:val="ru-RU"/>
        </w:rPr>
        <w:t xml:space="preserve">в данной </w:t>
      </w:r>
      <w:r w:rsidR="00DD488D" w:rsidRPr="00674030">
        <w:rPr>
          <w:lang w:val="ru-RU"/>
        </w:rPr>
        <w:t>Рекомендаци</w:t>
      </w:r>
      <w:r w:rsidRPr="00674030">
        <w:rPr>
          <w:lang w:val="ru-RU"/>
        </w:rPr>
        <w:t>и</w:t>
      </w:r>
      <w:r w:rsidR="00DD488D" w:rsidRPr="00674030">
        <w:rPr>
          <w:lang w:val="ru-RU"/>
        </w:rPr>
        <w:t xml:space="preserve"> </w:t>
      </w:r>
      <w:r w:rsidRPr="00674030">
        <w:rPr>
          <w:lang w:val="ru-RU"/>
        </w:rPr>
        <w:t xml:space="preserve">приводится </w:t>
      </w:r>
      <w:r w:rsidR="00DD488D" w:rsidRPr="00674030">
        <w:rPr>
          <w:lang w:val="ru-RU"/>
        </w:rPr>
        <w:t>подробное техническое описание системы CEIR, требований</w:t>
      </w:r>
      <w:r w:rsidRPr="00674030">
        <w:rPr>
          <w:lang w:val="ru-RU"/>
        </w:rPr>
        <w:t xml:space="preserve"> к ней</w:t>
      </w:r>
      <w:r w:rsidR="00DD488D" w:rsidRPr="00674030">
        <w:rPr>
          <w:lang w:val="ru-RU"/>
        </w:rPr>
        <w:t>, интерфейсов и основных функций, которые она должна предоставлять, а также некоторы</w:t>
      </w:r>
      <w:r w:rsidRPr="00674030">
        <w:rPr>
          <w:lang w:val="ru-RU"/>
        </w:rPr>
        <w:t>х</w:t>
      </w:r>
      <w:r w:rsidR="00DD488D" w:rsidRPr="00674030">
        <w:rPr>
          <w:lang w:val="ru-RU"/>
        </w:rPr>
        <w:t xml:space="preserve"> дополнительны</w:t>
      </w:r>
      <w:r w:rsidRPr="00674030">
        <w:rPr>
          <w:lang w:val="ru-RU"/>
        </w:rPr>
        <w:t>х</w:t>
      </w:r>
      <w:r w:rsidR="00DD488D" w:rsidRPr="00674030">
        <w:rPr>
          <w:lang w:val="ru-RU"/>
        </w:rPr>
        <w:t xml:space="preserve"> функци</w:t>
      </w:r>
      <w:r w:rsidRPr="00674030">
        <w:rPr>
          <w:lang w:val="ru-RU"/>
        </w:rPr>
        <w:t>й</w:t>
      </w:r>
      <w:r w:rsidR="00DD488D" w:rsidRPr="00674030">
        <w:rPr>
          <w:lang w:val="ru-RU"/>
        </w:rPr>
        <w:t>, которые могут использоваться в зависимости от конкретных требований клиента. В ней также описываются различные заинтересованные стороны системы CEIR и их предполагаемые или ожидаемые роли и обязанности.</w:t>
      </w:r>
    </w:p>
    <w:p w14:paraId="5A3DEA80" w14:textId="77777777" w:rsidR="00DD488D" w:rsidRPr="00674030" w:rsidRDefault="00DD488D" w:rsidP="00BD6B68">
      <w:pPr>
        <w:pStyle w:val="Note"/>
        <w:rPr>
          <w:rFonts w:cstheme="minorHAnsi"/>
          <w:szCs w:val="22"/>
          <w:lang w:val="ru-RU"/>
        </w:rPr>
      </w:pPr>
      <w:r w:rsidRPr="00674030">
        <w:rPr>
          <w:lang w:val="ru-RU"/>
        </w:rPr>
        <w:t xml:space="preserve">ПРИМЕЧАНИЕ БСЭ. – На дату настоящего Циркуляра БСЭ не получило в отношении настоящего проекта текста каких-либо заявлений в соответствии с ПИС. Для получения актуальной информации членам предлагается обращаться к базе данных ПИС по адресу: </w:t>
      </w:r>
      <w:hyperlink r:id="rId15" w:history="1">
        <w:r w:rsidRPr="00674030">
          <w:rPr>
            <w:color w:val="0000FF"/>
            <w:u w:val="single"/>
            <w:lang w:val="ru-RU"/>
          </w:rPr>
          <w:t>www.itu.int/ipr/</w:t>
        </w:r>
      </w:hyperlink>
      <w:r w:rsidRPr="00674030">
        <w:rPr>
          <w:lang w:val="ru-RU"/>
        </w:rPr>
        <w:t>.</w:t>
      </w:r>
    </w:p>
    <w:p w14:paraId="657A23BE" w14:textId="643823B6" w:rsidR="00375817" w:rsidRPr="00674030" w:rsidRDefault="00632434" w:rsidP="00632434">
      <w:pPr>
        <w:pStyle w:val="Heading1"/>
        <w:rPr>
          <w:lang w:val="ru-RU"/>
        </w:rPr>
      </w:pPr>
      <w:r w:rsidRPr="00674030">
        <w:rPr>
          <w:lang w:val="ru-RU"/>
        </w:rPr>
        <w:t>2</w:t>
      </w:r>
      <w:r w:rsidRPr="00674030">
        <w:rPr>
          <w:lang w:val="ru-RU"/>
        </w:rPr>
        <w:tab/>
      </w:r>
      <w:r w:rsidR="00375817" w:rsidRPr="00674030">
        <w:rPr>
          <w:lang w:val="ru-RU"/>
        </w:rPr>
        <w:t xml:space="preserve">Проект </w:t>
      </w:r>
      <w:r w:rsidR="00DD488D" w:rsidRPr="00674030">
        <w:rPr>
          <w:lang w:val="ru-RU"/>
        </w:rPr>
        <w:t xml:space="preserve">новой Рекомендации МСЭ-T Q.5056 (ранее </w:t>
      </w:r>
      <w:r w:rsidR="00E52AC9" w:rsidRPr="00674030">
        <w:rPr>
          <w:lang w:val="ru-RU"/>
        </w:rPr>
        <w:t>–</w:t>
      </w:r>
      <w:r w:rsidR="00DD488D" w:rsidRPr="00674030">
        <w:rPr>
          <w:lang w:val="ru-RU"/>
        </w:rPr>
        <w:t xml:space="preserve"> Q.FC-MCM) [</w:t>
      </w:r>
      <w:hyperlink r:id="rId16" w:history="1">
        <w:r w:rsidR="00DD488D" w:rsidRPr="00674030">
          <w:rPr>
            <w:rStyle w:val="Hyperlink"/>
            <w:lang w:val="ru-RU"/>
          </w:rPr>
          <w:t>SG11-R6</w:t>
        </w:r>
      </w:hyperlink>
      <w:r w:rsidR="00DD488D" w:rsidRPr="00674030">
        <w:rPr>
          <w:lang w:val="ru-RU"/>
        </w:rPr>
        <w:t>]</w:t>
      </w:r>
    </w:p>
    <w:p w14:paraId="2FAA551F" w14:textId="77777777" w:rsidR="00DD488D" w:rsidRPr="00674030" w:rsidRDefault="00DD488D" w:rsidP="00DD488D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>Структура для борьбы с неправомерным присвоением мультимедийного контента</w:t>
      </w:r>
    </w:p>
    <w:p w14:paraId="34905696" w14:textId="77777777" w:rsidR="00DD488D" w:rsidRPr="00674030" w:rsidRDefault="00DD488D" w:rsidP="00BD6B68">
      <w:pPr>
        <w:pStyle w:val="Headingb"/>
        <w:rPr>
          <w:rFonts w:cstheme="minorHAnsi"/>
          <w:szCs w:val="22"/>
          <w:lang w:val="ru-RU"/>
        </w:rPr>
      </w:pPr>
      <w:r w:rsidRPr="00674030">
        <w:rPr>
          <w:lang w:val="ru-RU"/>
        </w:rPr>
        <w:t>Резюме</w:t>
      </w:r>
    </w:p>
    <w:p w14:paraId="2056878B" w14:textId="7F9F1F04" w:rsidR="00DD488D" w:rsidRPr="00674030" w:rsidRDefault="00C510F7" w:rsidP="00BD6B68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 xml:space="preserve">В условиях </w:t>
      </w:r>
      <w:r w:rsidR="00DD488D" w:rsidRPr="00674030">
        <w:rPr>
          <w:lang w:val="ru-RU"/>
        </w:rPr>
        <w:t>расширени</w:t>
      </w:r>
      <w:r w:rsidR="005C17DB" w:rsidRPr="00674030">
        <w:rPr>
          <w:lang w:val="ru-RU"/>
        </w:rPr>
        <w:t>я</w:t>
      </w:r>
      <w:r w:rsidR="00DD488D" w:rsidRPr="00674030">
        <w:rPr>
          <w:lang w:val="ru-RU"/>
        </w:rPr>
        <w:t xml:space="preserve"> возможностей установления соединений и </w:t>
      </w:r>
      <w:r w:rsidR="005C17DB" w:rsidRPr="00674030">
        <w:rPr>
          <w:lang w:val="ru-RU"/>
        </w:rPr>
        <w:t>широкой</w:t>
      </w:r>
      <w:r w:rsidR="00DD488D" w:rsidRPr="00674030">
        <w:rPr>
          <w:lang w:val="ru-RU"/>
        </w:rPr>
        <w:t xml:space="preserve"> доступност</w:t>
      </w:r>
      <w:r w:rsidR="005C17DB" w:rsidRPr="00674030">
        <w:rPr>
          <w:lang w:val="ru-RU"/>
        </w:rPr>
        <w:t>и</w:t>
      </w:r>
      <w:r w:rsidR="00DD488D" w:rsidRPr="00674030">
        <w:rPr>
          <w:lang w:val="ru-RU"/>
        </w:rPr>
        <w:t xml:space="preserve"> решений доставки контента с помощью технологии </w:t>
      </w:r>
      <w:r w:rsidR="0062108A" w:rsidRPr="00674030">
        <w:rPr>
          <w:lang w:val="ru-RU"/>
        </w:rPr>
        <w:t xml:space="preserve">over-the-top </w:t>
      </w:r>
      <w:r w:rsidR="00DD488D" w:rsidRPr="00674030">
        <w:rPr>
          <w:lang w:val="ru-RU"/>
        </w:rPr>
        <w:t xml:space="preserve">(OTT) </w:t>
      </w:r>
      <w:r w:rsidRPr="00674030">
        <w:rPr>
          <w:lang w:val="ru-RU"/>
        </w:rPr>
        <w:t xml:space="preserve">во всем мире наблюдаются случаи </w:t>
      </w:r>
      <w:r w:rsidR="00DD488D" w:rsidRPr="00674030">
        <w:rPr>
          <w:lang w:val="ru-RU"/>
        </w:rPr>
        <w:t>неправомерного присвоения мультимедийного контента, в том числе из-за использования поддельного или вредоносного программного обеспечения либо контрафактных или вредоносных</w:t>
      </w:r>
      <w:r w:rsidR="00BE245B" w:rsidRPr="00674030">
        <w:rPr>
          <w:lang w:val="ru-RU"/>
        </w:rPr>
        <w:t> </w:t>
      </w:r>
      <w:r w:rsidR="00DD488D" w:rsidRPr="00674030">
        <w:rPr>
          <w:lang w:val="ru-RU"/>
        </w:rPr>
        <w:t>приемников.</w:t>
      </w:r>
    </w:p>
    <w:p w14:paraId="329AAB2D" w14:textId="230D918B" w:rsidR="00DD488D" w:rsidRPr="00674030" w:rsidRDefault="00DD488D" w:rsidP="00BD6B68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 xml:space="preserve">Этот процесс имеет негативные последствия для всех заинтересованных сторон. Так, создатели и распространители контента получают меньше доходов, администрации собирают меньше налогов, операторы сетей </w:t>
      </w:r>
      <w:r w:rsidR="005C17DB" w:rsidRPr="00674030">
        <w:rPr>
          <w:lang w:val="ru-RU"/>
        </w:rPr>
        <w:t xml:space="preserve">сталкиваются с более серьезными последствиями для </w:t>
      </w:r>
      <w:r w:rsidRPr="00674030">
        <w:rPr>
          <w:lang w:val="ru-RU"/>
        </w:rPr>
        <w:t xml:space="preserve">инфраструктуры и </w:t>
      </w:r>
      <w:r w:rsidRPr="00674030">
        <w:rPr>
          <w:lang w:val="ru-RU"/>
        </w:rPr>
        <w:lastRenderedPageBreak/>
        <w:t xml:space="preserve">безопасности сетей, расширяется поверхность атаки на </w:t>
      </w:r>
      <w:r w:rsidR="005C17DB" w:rsidRPr="00674030">
        <w:rPr>
          <w:lang w:val="ru-RU"/>
        </w:rPr>
        <w:t xml:space="preserve">услуги </w:t>
      </w:r>
      <w:r w:rsidRPr="00674030">
        <w:rPr>
          <w:lang w:val="ru-RU"/>
        </w:rPr>
        <w:t>интернет</w:t>
      </w:r>
      <w:r w:rsidR="005C17DB" w:rsidRPr="00674030">
        <w:rPr>
          <w:lang w:val="ru-RU"/>
        </w:rPr>
        <w:t xml:space="preserve">а </w:t>
      </w:r>
      <w:r w:rsidRPr="00674030">
        <w:rPr>
          <w:lang w:val="ru-RU"/>
        </w:rPr>
        <w:t xml:space="preserve">и повышаются риски для потребителей, персональные данные </w:t>
      </w:r>
      <w:r w:rsidR="005C17DB" w:rsidRPr="00674030">
        <w:rPr>
          <w:lang w:val="ru-RU"/>
        </w:rPr>
        <w:t xml:space="preserve">которых </w:t>
      </w:r>
      <w:r w:rsidRPr="00674030">
        <w:rPr>
          <w:lang w:val="ru-RU"/>
        </w:rPr>
        <w:t>могут быть украдены или скомпрометированы, – и все это из-за поддельного или вредоносного программного обеспечения либо контрафактных или вредоносных приемников.</w:t>
      </w:r>
    </w:p>
    <w:p w14:paraId="72A5A25B" w14:textId="77777777" w:rsidR="00DD488D" w:rsidRPr="00674030" w:rsidRDefault="00DD488D" w:rsidP="00BD6B68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>Кроме того, контент, похищенный в одной стране, часто распространяется по всему миру, поэтому для смягчения проблемы международного цифрового пиратства требуется международное сотрудничество между всеми заинтересованными сторонами.</w:t>
      </w:r>
    </w:p>
    <w:p w14:paraId="57526210" w14:textId="629FC903" w:rsidR="00DD488D" w:rsidRPr="00674030" w:rsidRDefault="00DD488D" w:rsidP="00BD6B68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>Отрасль уже приняла масштабные меры для предотвращения подобных случаев, однако, сознавая продолжающийся рост цифрового пиратства, нарушения прав интеллектуальной собственности и их негативные последствия, администрации пытаются решить эту проблему путем адаптации своих правил и процедур, призванных смягчить проблему неправомерного распространения и использования мультимедийного контента.</w:t>
      </w:r>
    </w:p>
    <w:p w14:paraId="0E88D3F6" w14:textId="343D53D1" w:rsidR="00DD488D" w:rsidRPr="00674030" w:rsidRDefault="005C17DB" w:rsidP="00BD6B68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>С у</w:t>
      </w:r>
      <w:r w:rsidR="00DD488D" w:rsidRPr="00674030">
        <w:rPr>
          <w:lang w:val="ru-RU"/>
        </w:rPr>
        <w:t>ч</w:t>
      </w:r>
      <w:r w:rsidRPr="00674030">
        <w:rPr>
          <w:lang w:val="ru-RU"/>
        </w:rPr>
        <w:t xml:space="preserve">етом </w:t>
      </w:r>
      <w:r w:rsidR="00DD488D" w:rsidRPr="00674030">
        <w:rPr>
          <w:lang w:val="ru-RU"/>
        </w:rPr>
        <w:t>сложност</w:t>
      </w:r>
      <w:r w:rsidRPr="00674030">
        <w:rPr>
          <w:lang w:val="ru-RU"/>
        </w:rPr>
        <w:t>и</w:t>
      </w:r>
      <w:r w:rsidR="00DD488D" w:rsidRPr="00674030">
        <w:rPr>
          <w:lang w:val="ru-RU"/>
        </w:rPr>
        <w:t xml:space="preserve"> данного сценария единого решения не существует и всем заинтересованным сторонам необходимо совместно предпринять ряд действий.</w:t>
      </w:r>
    </w:p>
    <w:p w14:paraId="3238372B" w14:textId="77777777" w:rsidR="00DD488D" w:rsidRPr="00674030" w:rsidRDefault="00DD488D" w:rsidP="00BD6B68">
      <w:pPr>
        <w:rPr>
          <w:rFonts w:cstheme="minorHAnsi"/>
          <w:szCs w:val="22"/>
          <w:lang w:val="ru-RU"/>
        </w:rPr>
      </w:pPr>
      <w:r w:rsidRPr="00674030">
        <w:rPr>
          <w:lang w:val="ru-RU"/>
        </w:rPr>
        <w:t>Таким образом, целью настоящей Рекомендации МСЭ-T Q.5056 является представление эталонной структуры, включающей требования и действия, которые следует учитывать при реализации решений по борьбе с неправомерным присвоением мультимедийного контента (MCM).</w:t>
      </w:r>
    </w:p>
    <w:p w14:paraId="43A2A530" w14:textId="31A94C4E" w:rsidR="00375817" w:rsidRPr="00674030" w:rsidRDefault="00DD488D" w:rsidP="0062108A">
      <w:pPr>
        <w:pStyle w:val="Note"/>
        <w:rPr>
          <w:szCs w:val="22"/>
          <w:lang w:val="ru-RU"/>
        </w:rPr>
      </w:pPr>
      <w:r w:rsidRPr="00674030">
        <w:rPr>
          <w:lang w:val="ru-RU"/>
        </w:rPr>
        <w:t xml:space="preserve">ПРИМЕЧАНИЕ БСЭ. – На дату настоящего Циркуляра БСЭ не получило в отношении настоящего проекта текста каких-либо заявлений в соответствии с ПИС. Для получения актуальной информации членам предлагается обращаться к базе данных ПИС по адресу: </w:t>
      </w:r>
      <w:hyperlink r:id="rId17" w:history="1">
        <w:r w:rsidRPr="00674030">
          <w:rPr>
            <w:color w:val="0000FF"/>
            <w:u w:val="single"/>
            <w:lang w:val="ru-RU"/>
          </w:rPr>
          <w:t>www.itu.int/ipr/</w:t>
        </w:r>
      </w:hyperlink>
      <w:r w:rsidRPr="00674030">
        <w:rPr>
          <w:lang w:val="ru-RU"/>
        </w:rPr>
        <w:t>.</w:t>
      </w:r>
    </w:p>
    <w:p w14:paraId="4DAFF8D6" w14:textId="4A620334" w:rsidR="00375817" w:rsidRPr="00674030" w:rsidRDefault="00375817" w:rsidP="00632434">
      <w:pPr>
        <w:rPr>
          <w:lang w:val="ru-RU"/>
        </w:rPr>
      </w:pPr>
    </w:p>
    <w:p w14:paraId="7BFBB5A0" w14:textId="77777777" w:rsidR="00A7119D" w:rsidRPr="00674030" w:rsidRDefault="00A7119D" w:rsidP="00632434">
      <w:pPr>
        <w:rPr>
          <w:lang w:val="ru-RU"/>
        </w:rPr>
      </w:pPr>
      <w:r w:rsidRPr="00674030">
        <w:rPr>
          <w:lang w:val="ru-RU"/>
        </w:rPr>
        <w:br w:type="page"/>
      </w:r>
    </w:p>
    <w:p w14:paraId="50BC49D3" w14:textId="609CD747" w:rsidR="00713D99" w:rsidRPr="00674030" w:rsidRDefault="00713D99" w:rsidP="00BF1038">
      <w:pPr>
        <w:pStyle w:val="AnnexNo"/>
        <w:pageBreakBefore/>
        <w:rPr>
          <w:lang w:val="ru-RU"/>
        </w:rPr>
      </w:pPr>
      <w:r w:rsidRPr="00674030">
        <w:rPr>
          <w:lang w:val="ru-RU"/>
        </w:rPr>
        <w:lastRenderedPageBreak/>
        <w:t>ПРИЛОЖЕНИЕ 2</w:t>
      </w:r>
    </w:p>
    <w:p w14:paraId="6268FE8A" w14:textId="7EC166FA" w:rsidR="00713D99" w:rsidRPr="00674030" w:rsidRDefault="00375817" w:rsidP="003B7466">
      <w:pPr>
        <w:pStyle w:val="Annextitle"/>
        <w:spacing w:after="240"/>
        <w:rPr>
          <w:lang w:val="ru-RU"/>
        </w:rPr>
      </w:pPr>
      <w:r w:rsidRPr="00674030">
        <w:rPr>
          <w:bCs/>
          <w:lang w:val="ru-RU"/>
        </w:rPr>
        <w:t xml:space="preserve">Предмет: ответ Государства-Члена на Циркуляр </w:t>
      </w:r>
      <w:r w:rsidR="00F97DE1" w:rsidRPr="00674030">
        <w:rPr>
          <w:bCs/>
          <w:lang w:val="ru-RU"/>
        </w:rPr>
        <w:t xml:space="preserve">35 </w:t>
      </w:r>
      <w:r w:rsidRPr="00674030">
        <w:rPr>
          <w:bCs/>
          <w:lang w:val="ru-RU"/>
        </w:rPr>
        <w:t>БСЭ</w:t>
      </w:r>
      <w:r w:rsidR="00DA5BCE" w:rsidRPr="00674030">
        <w:rPr>
          <w:bCs/>
          <w:lang w:val="ru-RU"/>
        </w:rPr>
        <w:t>:</w:t>
      </w:r>
      <w:r w:rsidRPr="00674030">
        <w:rPr>
          <w:lang w:val="ru-RU"/>
        </w:rPr>
        <w:br/>
      </w:r>
      <w:r w:rsidRPr="00674030">
        <w:rPr>
          <w:bCs/>
          <w:lang w:val="ru-RU"/>
        </w:rPr>
        <w:t xml:space="preserve">Консультации по проектам Рекомендаций </w:t>
      </w:r>
      <w:r w:rsidR="00F81915" w:rsidRPr="00674030">
        <w:rPr>
          <w:bCs/>
          <w:lang w:val="ru-RU"/>
        </w:rPr>
        <w:t>МСЭ-Т Q.5055 (ранее – Q.CEIR) и МСЭ-T Q.5056 (ранее – Q.FC-MCM)</w:t>
      </w:r>
      <w:r w:rsidRPr="00674030">
        <w:rPr>
          <w:bCs/>
          <w:lang w:val="ru-RU"/>
        </w:rPr>
        <w:t>, по которым сделаны заключения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5020A4" w14:paraId="19031902" w14:textId="77777777" w:rsidTr="009F717B">
        <w:tc>
          <w:tcPr>
            <w:tcW w:w="1064" w:type="dxa"/>
            <w:shd w:val="clear" w:color="auto" w:fill="auto"/>
          </w:tcPr>
          <w:p w14:paraId="70F9DAA2" w14:textId="77777777" w:rsidR="00713D99" w:rsidRPr="00674030" w:rsidRDefault="00713D99" w:rsidP="003B7466">
            <w:pPr>
              <w:spacing w:before="240"/>
              <w:ind w:left="-113"/>
              <w:jc w:val="right"/>
              <w:rPr>
                <w:lang w:val="ru-RU"/>
              </w:rPr>
            </w:pPr>
            <w:r w:rsidRPr="00674030">
              <w:rPr>
                <w:b/>
                <w:bCs/>
                <w:lang w:val="ru-RU"/>
              </w:rPr>
              <w:t>Кому</w:t>
            </w:r>
            <w:r w:rsidRPr="00674030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6EEEFBEA" w14:textId="38358E2C" w:rsidR="00713D99" w:rsidRPr="00674030" w:rsidRDefault="00713D99" w:rsidP="00F254DD">
            <w:pPr>
              <w:spacing w:before="240"/>
              <w:rPr>
                <w:lang w:val="ru-RU"/>
              </w:rPr>
            </w:pPr>
            <w:r w:rsidRPr="00674030">
              <w:rPr>
                <w:lang w:val="ru-RU"/>
              </w:rPr>
              <w:t xml:space="preserve">Директору </w:t>
            </w:r>
            <w:r w:rsidRPr="00674030">
              <w:rPr>
                <w:lang w:val="ru-RU"/>
              </w:rPr>
              <w:br/>
              <w:t>Бюро стандартизации электросвязи</w:t>
            </w:r>
            <w:r w:rsidR="00A7119D" w:rsidRPr="00674030">
              <w:rPr>
                <w:lang w:val="ru-RU"/>
              </w:rPr>
              <w:br/>
            </w:r>
            <w:r w:rsidRPr="00674030">
              <w:rPr>
                <w:lang w:val="ru-RU"/>
              </w:rPr>
              <w:t>Международный союз электросвязи</w:t>
            </w:r>
            <w:r w:rsidR="00A7119D" w:rsidRPr="00674030">
              <w:rPr>
                <w:lang w:val="ru-RU"/>
              </w:rPr>
              <w:br/>
            </w:r>
            <w:r w:rsidRPr="00674030">
              <w:rPr>
                <w:lang w:val="ru-RU"/>
              </w:rPr>
              <w:t>Place des Nations</w:t>
            </w:r>
            <w:r w:rsidR="00A7119D" w:rsidRPr="00674030">
              <w:rPr>
                <w:lang w:val="ru-RU"/>
              </w:rPr>
              <w:br/>
            </w:r>
            <w:r w:rsidRPr="00674030">
              <w:rPr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61432708" w14:textId="77777777" w:rsidR="00713D99" w:rsidRPr="00674030" w:rsidRDefault="00713D99" w:rsidP="00713D99">
            <w:pPr>
              <w:jc w:val="right"/>
              <w:rPr>
                <w:lang w:val="ru-RU"/>
              </w:rPr>
            </w:pPr>
            <w:r w:rsidRPr="00674030">
              <w:rPr>
                <w:b/>
                <w:bCs/>
                <w:lang w:val="ru-RU"/>
              </w:rPr>
              <w:t>От</w:t>
            </w:r>
            <w:r w:rsidRPr="00674030">
              <w:rPr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5546D26A" w14:textId="1C5306B8" w:rsidR="00713D99" w:rsidRPr="00674030" w:rsidRDefault="00713D99" w:rsidP="0006300A">
            <w:pPr>
              <w:rPr>
                <w:lang w:val="ru-RU"/>
              </w:rPr>
            </w:pPr>
            <w:r w:rsidRPr="00674030">
              <w:rPr>
                <w:highlight w:val="green"/>
                <w:lang w:val="ru-RU"/>
              </w:rPr>
              <w:t>[Фамилия]</w:t>
            </w:r>
            <w:r w:rsidR="00A7119D" w:rsidRPr="00674030">
              <w:rPr>
                <w:highlight w:val="green"/>
                <w:lang w:val="ru-RU"/>
              </w:rPr>
              <w:br/>
            </w:r>
            <w:r w:rsidRPr="00674030">
              <w:rPr>
                <w:highlight w:val="green"/>
                <w:lang w:val="ru-RU"/>
              </w:rPr>
              <w:t>[Официальная должность/титул]</w:t>
            </w:r>
            <w:r w:rsidR="00A7119D" w:rsidRPr="00674030">
              <w:rPr>
                <w:highlight w:val="green"/>
                <w:lang w:val="ru-RU"/>
              </w:rPr>
              <w:br/>
            </w:r>
            <w:r w:rsidRPr="00674030">
              <w:rPr>
                <w:highlight w:val="green"/>
                <w:lang w:val="ru-RU"/>
              </w:rPr>
              <w:t>[Адрес]</w:t>
            </w:r>
          </w:p>
        </w:tc>
      </w:tr>
      <w:tr w:rsidR="00713D99" w:rsidRPr="00674030" w14:paraId="6B3A3593" w14:textId="77777777" w:rsidTr="009F717B">
        <w:tc>
          <w:tcPr>
            <w:tcW w:w="1064" w:type="dxa"/>
            <w:shd w:val="clear" w:color="auto" w:fill="auto"/>
          </w:tcPr>
          <w:p w14:paraId="26E315CE" w14:textId="77777777" w:rsidR="00713D99" w:rsidRPr="00674030" w:rsidRDefault="00713D99" w:rsidP="00F254DD">
            <w:pPr>
              <w:spacing w:before="60"/>
              <w:ind w:left="-113"/>
              <w:jc w:val="right"/>
              <w:rPr>
                <w:lang w:val="ru-RU"/>
              </w:rPr>
            </w:pPr>
            <w:r w:rsidRPr="00674030">
              <w:rPr>
                <w:b/>
                <w:bCs/>
                <w:lang w:val="ru-RU"/>
              </w:rPr>
              <w:t>Факс</w:t>
            </w:r>
            <w:r w:rsidRPr="00674030">
              <w:rPr>
                <w:lang w:val="ru-RU"/>
              </w:rPr>
              <w:t>:</w:t>
            </w:r>
          </w:p>
          <w:p w14:paraId="70C83C86" w14:textId="77777777" w:rsidR="00713D99" w:rsidRPr="00674030" w:rsidRDefault="00713D99" w:rsidP="00713D99">
            <w:pPr>
              <w:spacing w:before="0"/>
              <w:ind w:left="-113"/>
              <w:jc w:val="right"/>
              <w:rPr>
                <w:lang w:val="ru-RU"/>
              </w:rPr>
            </w:pPr>
            <w:r w:rsidRPr="00674030">
              <w:rPr>
                <w:b/>
                <w:bCs/>
                <w:lang w:val="ru-RU"/>
              </w:rPr>
              <w:t>Эл. почта</w:t>
            </w:r>
            <w:r w:rsidRPr="00674030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4CC6E5D4" w14:textId="77777777" w:rsidR="00713D99" w:rsidRPr="00674030" w:rsidRDefault="00713D99" w:rsidP="00F254DD">
            <w:pPr>
              <w:spacing w:before="60"/>
              <w:rPr>
                <w:lang w:val="ru-RU"/>
              </w:rPr>
            </w:pPr>
            <w:r w:rsidRPr="00674030">
              <w:rPr>
                <w:lang w:val="ru-RU"/>
              </w:rPr>
              <w:t>+41 22 730 5853</w:t>
            </w:r>
          </w:p>
          <w:p w14:paraId="056BC751" w14:textId="77777777" w:rsidR="00713D99" w:rsidRPr="00674030" w:rsidRDefault="00713D99" w:rsidP="00713D99">
            <w:pPr>
              <w:spacing w:before="0"/>
              <w:rPr>
                <w:lang w:val="ru-RU"/>
              </w:rPr>
            </w:pPr>
            <w:hyperlink r:id="rId18" w:history="1">
              <w:r w:rsidRPr="00674030">
                <w:rPr>
                  <w:color w:val="0000FF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12CA24FA" w14:textId="77777777" w:rsidR="00713D99" w:rsidRPr="00674030" w:rsidRDefault="00713D99" w:rsidP="007A1D34">
            <w:pPr>
              <w:spacing w:before="60"/>
              <w:jc w:val="right"/>
              <w:rPr>
                <w:lang w:val="ru-RU"/>
              </w:rPr>
            </w:pPr>
            <w:r w:rsidRPr="00674030">
              <w:rPr>
                <w:b/>
                <w:bCs/>
                <w:lang w:val="ru-RU"/>
              </w:rPr>
              <w:t>Факс</w:t>
            </w:r>
            <w:r w:rsidRPr="00674030">
              <w:rPr>
                <w:lang w:val="ru-RU"/>
              </w:rPr>
              <w:t>:</w:t>
            </w:r>
          </w:p>
          <w:p w14:paraId="6FF94749" w14:textId="77777777" w:rsidR="00713D99" w:rsidRPr="00674030" w:rsidRDefault="00713D99" w:rsidP="00713D99">
            <w:pPr>
              <w:spacing w:before="0"/>
              <w:jc w:val="right"/>
              <w:rPr>
                <w:lang w:val="ru-RU"/>
              </w:rPr>
            </w:pPr>
            <w:r w:rsidRPr="00674030">
              <w:rPr>
                <w:b/>
                <w:bCs/>
                <w:lang w:val="ru-RU"/>
              </w:rPr>
              <w:t>Эл. почта</w:t>
            </w:r>
            <w:r w:rsidRPr="00674030">
              <w:rPr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4930ABC3" w14:textId="77777777" w:rsidR="00713D99" w:rsidRPr="00674030" w:rsidRDefault="00713D99" w:rsidP="00713D99">
            <w:pPr>
              <w:spacing w:before="0"/>
              <w:rPr>
                <w:lang w:val="ru-RU"/>
              </w:rPr>
            </w:pPr>
          </w:p>
        </w:tc>
      </w:tr>
      <w:tr w:rsidR="00713D99" w:rsidRPr="00674030" w14:paraId="0C59F2A2" w14:textId="77777777" w:rsidTr="009F717B">
        <w:tc>
          <w:tcPr>
            <w:tcW w:w="1064" w:type="dxa"/>
            <w:shd w:val="clear" w:color="auto" w:fill="auto"/>
          </w:tcPr>
          <w:p w14:paraId="33262B29" w14:textId="77777777" w:rsidR="00713D99" w:rsidRPr="00674030" w:rsidRDefault="00713D99" w:rsidP="00713D99">
            <w:pPr>
              <w:spacing w:before="0"/>
              <w:ind w:left="-113"/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  <w:shd w:val="clear" w:color="auto" w:fill="auto"/>
          </w:tcPr>
          <w:p w14:paraId="5A5286F4" w14:textId="77777777" w:rsidR="00713D99" w:rsidRPr="00674030" w:rsidRDefault="00713D99" w:rsidP="00713D99">
            <w:pPr>
              <w:spacing w:before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2B102E49" w14:textId="77777777" w:rsidR="00713D99" w:rsidRPr="00674030" w:rsidRDefault="00713D99" w:rsidP="00713D99">
            <w:pPr>
              <w:spacing w:before="0"/>
              <w:jc w:val="right"/>
              <w:rPr>
                <w:b/>
                <w:bCs/>
                <w:lang w:val="ru-RU"/>
              </w:rPr>
            </w:pPr>
            <w:r w:rsidRPr="00674030">
              <w:rPr>
                <w:b/>
                <w:bCs/>
                <w:lang w:val="ru-RU"/>
              </w:rPr>
              <w:t>Дата</w:t>
            </w:r>
            <w:r w:rsidRPr="00674030">
              <w:rPr>
                <w:lang w:val="ru-RU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26CC72B9" w14:textId="77777777" w:rsidR="00713D99" w:rsidRPr="00674030" w:rsidRDefault="00713D99" w:rsidP="00713D99">
            <w:pPr>
              <w:spacing w:before="0"/>
              <w:rPr>
                <w:lang w:val="ru-RU"/>
              </w:rPr>
            </w:pPr>
            <w:r w:rsidRPr="00674030">
              <w:rPr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674030" w:rsidRDefault="00713D99" w:rsidP="003B7466">
      <w:pPr>
        <w:spacing w:before="240"/>
        <w:rPr>
          <w:lang w:val="ru-RU"/>
        </w:rPr>
      </w:pPr>
      <w:r w:rsidRPr="00674030">
        <w:rPr>
          <w:lang w:val="ru-RU"/>
        </w:rPr>
        <w:t>Уважаемая госпожа,</w:t>
      </w:r>
      <w:r w:rsidRPr="00674030">
        <w:rPr>
          <w:lang w:val="ru-RU"/>
        </w:rPr>
        <w:br/>
        <w:t>уважаемый господин,</w:t>
      </w:r>
    </w:p>
    <w:p w14:paraId="2006987F" w14:textId="41801B05" w:rsidR="00713D99" w:rsidRPr="00674030" w:rsidRDefault="00713D99" w:rsidP="003B7466">
      <w:pPr>
        <w:spacing w:after="120"/>
        <w:rPr>
          <w:lang w:val="ru-RU"/>
        </w:rPr>
      </w:pPr>
      <w:r w:rsidRPr="00674030">
        <w:rPr>
          <w:lang w:val="ru-RU"/>
        </w:rPr>
        <w:t xml:space="preserve">В рамках консультаций с Государствами-Членами </w:t>
      </w:r>
      <w:r w:rsidRPr="00674030">
        <w:rPr>
          <w:bCs/>
          <w:lang w:val="ru-RU"/>
        </w:rPr>
        <w:t>по указанным в Циркуляре </w:t>
      </w:r>
      <w:r w:rsidR="00F97DE1" w:rsidRPr="00674030">
        <w:rPr>
          <w:bCs/>
          <w:lang w:val="ru-RU"/>
        </w:rPr>
        <w:t>35</w:t>
      </w:r>
      <w:r w:rsidRPr="00674030">
        <w:rPr>
          <w:bCs/>
          <w:lang w:val="ru-RU"/>
        </w:rPr>
        <w:t xml:space="preserve"> БСЭ проектам текстов, по которым сделано </w:t>
      </w:r>
      <w:r w:rsidRPr="00674030">
        <w:rPr>
          <w:lang w:val="ru-RU"/>
        </w:rPr>
        <w:t>заключение</w:t>
      </w:r>
      <w:r w:rsidRPr="00674030">
        <w:rPr>
          <w:bCs/>
          <w:lang w:val="ru-RU"/>
        </w:rPr>
        <w:t xml:space="preserve">, </w:t>
      </w:r>
      <w:r w:rsidRPr="00674030">
        <w:rPr>
          <w:lang w:val="ru-RU"/>
        </w:rPr>
        <w:t>я хотел/хотела бы сообщить вам мнение администрации, изложенное в таблице,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46"/>
      </w:tblGrid>
      <w:tr w:rsidR="00713D99" w:rsidRPr="005020A4" w14:paraId="79AE88E6" w14:textId="77777777" w:rsidTr="009F717B">
        <w:trPr>
          <w:cantSplit/>
          <w:tblHeader/>
        </w:trPr>
        <w:tc>
          <w:tcPr>
            <w:tcW w:w="1980" w:type="dxa"/>
            <w:vAlign w:val="center"/>
          </w:tcPr>
          <w:p w14:paraId="381500CD" w14:textId="77777777" w:rsidR="00713D99" w:rsidRPr="00674030" w:rsidRDefault="00713D99" w:rsidP="003B7466">
            <w:pPr>
              <w:spacing w:before="40" w:after="40"/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7646" w:type="dxa"/>
            <w:shd w:val="clear" w:color="auto" w:fill="auto"/>
            <w:vAlign w:val="center"/>
          </w:tcPr>
          <w:p w14:paraId="18CC88F3" w14:textId="77777777" w:rsidR="00713D99" w:rsidRPr="00674030" w:rsidRDefault="00713D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674030">
              <w:rPr>
                <w:b/>
                <w:bCs/>
                <w:sz w:val="21"/>
                <w:szCs w:val="21"/>
                <w:lang w:val="ru-RU"/>
              </w:rPr>
              <w:t>Выбрать одну из двух ячеек</w:t>
            </w:r>
          </w:p>
        </w:tc>
      </w:tr>
      <w:tr w:rsidR="00375817" w:rsidRPr="005020A4" w14:paraId="791C7EBF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C95B" w14:textId="381ABD9B" w:rsidR="00375817" w:rsidRPr="00674030" w:rsidRDefault="00375817" w:rsidP="000B2C89">
            <w:pPr>
              <w:spacing w:before="40" w:after="40"/>
              <w:ind w:left="-57" w:right="-57"/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674030">
              <w:rPr>
                <w:b/>
                <w:bCs/>
                <w:sz w:val="21"/>
                <w:szCs w:val="21"/>
                <w:lang w:val="ru-RU"/>
              </w:rPr>
              <w:t xml:space="preserve">Проект </w:t>
            </w:r>
            <w:r w:rsidR="00F97DE1" w:rsidRPr="00674030">
              <w:rPr>
                <w:b/>
                <w:bCs/>
                <w:sz w:val="21"/>
                <w:szCs w:val="21"/>
                <w:lang w:val="ru-RU"/>
              </w:rPr>
              <w:t>новой</w:t>
            </w:r>
            <w:r w:rsidRPr="00674030">
              <w:rPr>
                <w:b/>
                <w:bCs/>
                <w:sz w:val="21"/>
                <w:szCs w:val="21"/>
                <w:lang w:val="ru-RU"/>
              </w:rPr>
              <w:t xml:space="preserve"> Рекомендации МСЭ-T </w:t>
            </w:r>
            <w:r w:rsidR="002455C1" w:rsidRPr="00674030">
              <w:rPr>
                <w:b/>
                <w:bCs/>
                <w:sz w:val="21"/>
                <w:szCs w:val="21"/>
                <w:lang w:val="ru-RU"/>
              </w:rPr>
              <w:t>Q.5055 (ранее – Q.CEIR)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6DD1" w14:textId="3E475B18" w:rsidR="00375817" w:rsidRPr="00674030" w:rsidRDefault="002F08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16494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53" w:rsidRPr="00674030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A4453" w:rsidRPr="00674030">
              <w:rPr>
                <w:sz w:val="21"/>
                <w:szCs w:val="21"/>
                <w:lang w:val="ru-RU"/>
              </w:rPr>
              <w:tab/>
            </w:r>
            <w:r w:rsidR="00375817" w:rsidRPr="00674030">
              <w:rPr>
                <w:b/>
                <w:bCs/>
                <w:sz w:val="21"/>
                <w:szCs w:val="21"/>
                <w:lang w:val="ru-RU"/>
              </w:rPr>
              <w:t>Предоставляет полномочия</w:t>
            </w:r>
            <w:r w:rsidR="00375817" w:rsidRPr="00674030">
              <w:rPr>
                <w:sz w:val="21"/>
                <w:szCs w:val="21"/>
                <w:lang w:val="ru-RU"/>
              </w:rPr>
              <w:t xml:space="preserve"> </w:t>
            </w:r>
            <w:r w:rsidR="00F97DE1" w:rsidRPr="00674030">
              <w:rPr>
                <w:sz w:val="21"/>
                <w:szCs w:val="21"/>
                <w:lang w:val="ru-RU"/>
              </w:rPr>
              <w:t>11-й Исследовательской комиссии</w:t>
            </w:r>
            <w:r w:rsidR="00375817" w:rsidRPr="00674030">
              <w:rPr>
                <w:sz w:val="21"/>
                <w:szCs w:val="21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63ACC8E2" w14:textId="1B383F04" w:rsidR="00375817" w:rsidRPr="00674030" w:rsidRDefault="002F08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674030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674030">
              <w:rPr>
                <w:sz w:val="21"/>
                <w:szCs w:val="21"/>
                <w:lang w:val="ru-RU"/>
              </w:rPr>
              <w:tab/>
              <w:t>Замечания или предлагаемые изменения отсутствуют</w:t>
            </w:r>
          </w:p>
          <w:p w14:paraId="76A37DC2" w14:textId="4180FBE6" w:rsidR="00375817" w:rsidRPr="00674030" w:rsidRDefault="002F08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674030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674030">
              <w:rPr>
                <w:sz w:val="21"/>
                <w:szCs w:val="21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75817" w:rsidRPr="005020A4" w14:paraId="14014E30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94" w14:textId="77777777" w:rsidR="00375817" w:rsidRPr="00674030" w:rsidRDefault="00375817" w:rsidP="003B7466">
            <w:pPr>
              <w:spacing w:before="40" w:after="40"/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1415" w14:textId="26F5E625" w:rsidR="00375817" w:rsidRPr="00674030" w:rsidRDefault="002F08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-6548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674030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674030">
              <w:rPr>
                <w:sz w:val="21"/>
                <w:szCs w:val="21"/>
                <w:lang w:val="ru-RU"/>
              </w:rPr>
              <w:tab/>
            </w:r>
            <w:r w:rsidR="00375817" w:rsidRPr="00674030">
              <w:rPr>
                <w:b/>
                <w:bCs/>
                <w:sz w:val="21"/>
                <w:szCs w:val="21"/>
                <w:lang w:val="ru-RU"/>
              </w:rPr>
              <w:t>Не предоставляет полномочий</w:t>
            </w:r>
            <w:r w:rsidR="00375817" w:rsidRPr="00674030">
              <w:rPr>
                <w:sz w:val="21"/>
                <w:szCs w:val="21"/>
                <w:lang w:val="ru-RU"/>
              </w:rPr>
              <w:t xml:space="preserve"> </w:t>
            </w:r>
            <w:r w:rsidR="00F97DE1" w:rsidRPr="00674030">
              <w:rPr>
                <w:sz w:val="21"/>
                <w:szCs w:val="21"/>
                <w:lang w:val="ru-RU"/>
              </w:rPr>
              <w:t xml:space="preserve">11-й Исследовательской комиссии </w:t>
            </w:r>
            <w:r w:rsidR="00375817" w:rsidRPr="00674030">
              <w:rPr>
                <w:sz w:val="21"/>
                <w:szCs w:val="21"/>
                <w:lang w:val="ru-RU"/>
              </w:rPr>
              <w:t>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75817" w:rsidRPr="005020A4" w14:paraId="14C2EAB9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31C6" w14:textId="13009002" w:rsidR="00375817" w:rsidRPr="00674030" w:rsidRDefault="00375817" w:rsidP="000B2C89">
            <w:pPr>
              <w:spacing w:before="40" w:after="40"/>
              <w:ind w:left="-57" w:right="-57"/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674030">
              <w:rPr>
                <w:b/>
                <w:bCs/>
                <w:sz w:val="21"/>
                <w:szCs w:val="21"/>
                <w:lang w:val="ru-RU"/>
              </w:rPr>
              <w:t xml:space="preserve">Проект </w:t>
            </w:r>
            <w:r w:rsidR="00F97DE1" w:rsidRPr="00674030">
              <w:rPr>
                <w:b/>
                <w:bCs/>
                <w:sz w:val="21"/>
                <w:szCs w:val="21"/>
                <w:lang w:val="ru-RU"/>
              </w:rPr>
              <w:t>новой</w:t>
            </w:r>
            <w:r w:rsidRPr="00674030">
              <w:rPr>
                <w:b/>
                <w:bCs/>
                <w:sz w:val="21"/>
                <w:szCs w:val="21"/>
                <w:lang w:val="ru-RU"/>
              </w:rPr>
              <w:t xml:space="preserve"> Рекомендации МСЭ-Т </w:t>
            </w:r>
            <w:r w:rsidR="002455C1" w:rsidRPr="00674030">
              <w:rPr>
                <w:b/>
                <w:bCs/>
                <w:sz w:val="21"/>
                <w:szCs w:val="21"/>
                <w:lang w:val="ru-RU"/>
              </w:rPr>
              <w:t>Q.5056 (ранее – Q.FC</w:t>
            </w:r>
            <w:r w:rsidR="000B2C89" w:rsidRPr="000B2C89">
              <w:rPr>
                <w:b/>
                <w:bCs/>
                <w:sz w:val="21"/>
                <w:szCs w:val="21"/>
                <w:lang w:val="ru-RU"/>
              </w:rPr>
              <w:t>­</w:t>
            </w:r>
            <w:r w:rsidR="002455C1" w:rsidRPr="00674030">
              <w:rPr>
                <w:b/>
                <w:bCs/>
                <w:sz w:val="21"/>
                <w:szCs w:val="21"/>
                <w:lang w:val="ru-RU"/>
              </w:rPr>
              <w:t>MCM)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4475" w14:textId="3B6758F8" w:rsidR="00375817" w:rsidRPr="00674030" w:rsidRDefault="002F08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31345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674030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674030">
              <w:rPr>
                <w:b/>
                <w:bCs/>
                <w:sz w:val="21"/>
                <w:szCs w:val="21"/>
                <w:lang w:val="ru-RU"/>
              </w:rPr>
              <w:tab/>
              <w:t>Предоставляет полномочия</w:t>
            </w:r>
            <w:r w:rsidR="00375817" w:rsidRPr="00674030">
              <w:rPr>
                <w:sz w:val="21"/>
                <w:szCs w:val="21"/>
                <w:lang w:val="ru-RU"/>
              </w:rPr>
              <w:t xml:space="preserve"> </w:t>
            </w:r>
            <w:r w:rsidR="00F11544" w:rsidRPr="00674030">
              <w:rPr>
                <w:sz w:val="21"/>
                <w:szCs w:val="21"/>
                <w:lang w:val="ru-RU"/>
              </w:rPr>
              <w:t xml:space="preserve">11-й Исследовательской комиссии </w:t>
            </w:r>
            <w:r w:rsidR="00375817" w:rsidRPr="00674030">
              <w:rPr>
                <w:sz w:val="21"/>
                <w:szCs w:val="21"/>
                <w:lang w:val="ru-RU"/>
              </w:rPr>
              <w:t>для рассмотрения этого текста с целью его утверждения (в этом случае выбрать один из двух вариантов):</w:t>
            </w:r>
          </w:p>
          <w:p w14:paraId="4A7219F0" w14:textId="31FA4255" w:rsidR="00375817" w:rsidRPr="00674030" w:rsidRDefault="002F08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-661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674030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674030">
              <w:rPr>
                <w:sz w:val="21"/>
                <w:szCs w:val="21"/>
                <w:lang w:val="ru-RU"/>
              </w:rPr>
              <w:tab/>
              <w:t>Замечания или предлагаемые изменения отсутствуют</w:t>
            </w:r>
          </w:p>
          <w:p w14:paraId="1659F970" w14:textId="5DAE53A1" w:rsidR="00375817" w:rsidRPr="00674030" w:rsidRDefault="002F08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b/>
                <w:bCs/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-1781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674030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674030">
              <w:rPr>
                <w:sz w:val="21"/>
                <w:szCs w:val="21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5020A4" w14:paraId="2C5FCFFC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750E" w14:textId="77777777" w:rsidR="00713D99" w:rsidRPr="00674030" w:rsidRDefault="00713D99" w:rsidP="003B7466">
            <w:pPr>
              <w:spacing w:before="40" w:after="40"/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5641" w14:textId="3637E098" w:rsidR="00713D99" w:rsidRPr="00674030" w:rsidRDefault="002F08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b/>
                <w:bCs/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11473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674030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713D99" w:rsidRPr="00674030">
              <w:rPr>
                <w:sz w:val="21"/>
                <w:szCs w:val="21"/>
                <w:lang w:val="ru-RU"/>
              </w:rPr>
              <w:tab/>
            </w:r>
            <w:r w:rsidR="00713D99" w:rsidRPr="00674030">
              <w:rPr>
                <w:b/>
                <w:bCs/>
                <w:sz w:val="21"/>
                <w:szCs w:val="21"/>
                <w:lang w:val="ru-RU"/>
              </w:rPr>
              <w:t>Не предоставляет полномочий</w:t>
            </w:r>
            <w:r w:rsidR="00713D99" w:rsidRPr="00674030">
              <w:rPr>
                <w:sz w:val="21"/>
                <w:szCs w:val="21"/>
                <w:lang w:val="ru-RU"/>
              </w:rPr>
              <w:t xml:space="preserve"> </w:t>
            </w:r>
            <w:r w:rsidR="00F11544" w:rsidRPr="00674030">
              <w:rPr>
                <w:sz w:val="21"/>
                <w:szCs w:val="21"/>
                <w:lang w:val="ru-RU"/>
              </w:rPr>
              <w:t xml:space="preserve">11-й Исследовательской комиссии </w:t>
            </w:r>
            <w:r w:rsidR="00713D99" w:rsidRPr="00674030">
              <w:rPr>
                <w:sz w:val="21"/>
                <w:szCs w:val="21"/>
                <w:lang w:val="ru-RU"/>
              </w:rPr>
              <w:t>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1587B1FA" w:rsidR="00713D99" w:rsidRPr="00674030" w:rsidRDefault="00713D99" w:rsidP="00721EE9">
      <w:pPr>
        <w:spacing w:before="240"/>
        <w:rPr>
          <w:lang w:val="ru-RU"/>
        </w:rPr>
      </w:pPr>
      <w:r w:rsidRPr="00674030">
        <w:rPr>
          <w:lang w:val="ru-RU"/>
        </w:rPr>
        <w:t>С уважением,</w:t>
      </w:r>
    </w:p>
    <w:p w14:paraId="0A882A1E" w14:textId="20899374" w:rsidR="00C62B05" w:rsidRPr="00674030" w:rsidRDefault="00713D99" w:rsidP="00721EE9">
      <w:pPr>
        <w:spacing w:before="240"/>
        <w:rPr>
          <w:lang w:val="ru-RU"/>
        </w:rPr>
      </w:pPr>
      <w:r w:rsidRPr="00674030">
        <w:rPr>
          <w:highlight w:val="green"/>
          <w:lang w:val="ru-RU"/>
        </w:rPr>
        <w:t>[Фамилия]</w:t>
      </w:r>
      <w:r w:rsidRPr="00674030">
        <w:rPr>
          <w:highlight w:val="green"/>
          <w:lang w:val="ru-RU"/>
        </w:rPr>
        <w:br/>
        <w:t>[Официальная должность/титул]</w:t>
      </w:r>
      <w:r w:rsidRPr="00674030">
        <w:rPr>
          <w:lang w:val="ru-RU"/>
        </w:rPr>
        <w:br/>
        <w:t xml:space="preserve">Администрация </w:t>
      </w:r>
      <w:r w:rsidRPr="00674030">
        <w:rPr>
          <w:highlight w:val="green"/>
          <w:lang w:val="ru-RU"/>
        </w:rPr>
        <w:t>[Государства-Члена]</w:t>
      </w:r>
    </w:p>
    <w:sectPr w:rsidR="00C62B05" w:rsidRPr="00674030" w:rsidSect="001A1F24">
      <w:headerReference w:type="default" r:id="rId19"/>
      <w:footerReference w:type="first" r:id="rId20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03F6" w14:textId="77777777" w:rsidR="00660959" w:rsidRDefault="00660959">
      <w:r>
        <w:separator/>
      </w:r>
    </w:p>
  </w:endnote>
  <w:endnote w:type="continuationSeparator" w:id="0">
    <w:p w14:paraId="64825258" w14:textId="77777777" w:rsidR="00660959" w:rsidRDefault="00660959">
      <w:r>
        <w:continuationSeparator/>
      </w:r>
    </w:p>
  </w:endnote>
  <w:endnote w:type="continuationNotice" w:id="1">
    <w:p w14:paraId="23C7505A" w14:textId="77777777" w:rsidR="00660959" w:rsidRDefault="0066095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DA5BCE" w:rsidRDefault="004A54F8">
    <w:pPr>
      <w:pStyle w:val="FirstFooter"/>
      <w:ind w:left="-397" w:right="-397"/>
      <w:jc w:val="center"/>
      <w:rPr>
        <w:sz w:val="18"/>
        <w:szCs w:val="18"/>
      </w:rPr>
    </w:pPr>
    <w:r w:rsidRPr="00DA5BCE">
      <w:rPr>
        <w:color w:val="0070C0"/>
        <w:sz w:val="18"/>
        <w:szCs w:val="18"/>
      </w:rPr>
      <w:t>International Telecommunication Union • Place des Nations • CH-1211 Geneva 20 • Switzerland</w:t>
    </w:r>
    <w:r w:rsidRPr="00DA5BCE">
      <w:rPr>
        <w:color w:val="0070C0"/>
        <w:sz w:val="18"/>
        <w:szCs w:val="18"/>
      </w:rPr>
      <w:br/>
    </w:r>
    <w:r w:rsidRPr="00DA5BCE">
      <w:rPr>
        <w:color w:val="0070C0"/>
        <w:sz w:val="18"/>
        <w:szCs w:val="18"/>
        <w:lang w:val="ru-RU"/>
      </w:rPr>
      <w:t>Тел.</w:t>
    </w:r>
    <w:r w:rsidRPr="00DA5BCE">
      <w:rPr>
        <w:color w:val="0070C0"/>
        <w:sz w:val="18"/>
        <w:szCs w:val="18"/>
      </w:rPr>
      <w:t xml:space="preserve">: +41 22 730 5111 • </w:t>
    </w:r>
    <w:r w:rsidRPr="00DA5BCE">
      <w:rPr>
        <w:color w:val="0070C0"/>
        <w:sz w:val="18"/>
        <w:szCs w:val="18"/>
        <w:lang w:val="ru-RU"/>
      </w:rPr>
      <w:t>Факс</w:t>
    </w:r>
    <w:r w:rsidRPr="00DA5BCE">
      <w:rPr>
        <w:color w:val="0070C0"/>
        <w:sz w:val="18"/>
        <w:szCs w:val="18"/>
      </w:rPr>
      <w:t xml:space="preserve">: +41 22 733 7256 • </w:t>
    </w:r>
    <w:r w:rsidRPr="00DA5BCE">
      <w:rPr>
        <w:color w:val="0070C0"/>
        <w:sz w:val="18"/>
        <w:szCs w:val="18"/>
        <w:lang w:val="ru-RU"/>
      </w:rPr>
      <w:t>Эл. почта</w:t>
    </w:r>
    <w:r w:rsidRPr="00DA5BCE">
      <w:rPr>
        <w:color w:val="0070C0"/>
        <w:sz w:val="18"/>
        <w:szCs w:val="18"/>
      </w:rPr>
      <w:t xml:space="preserve">: </w:t>
    </w:r>
    <w:hyperlink r:id="rId1" w:history="1">
      <w:r w:rsidRPr="00DA5BCE">
        <w:rPr>
          <w:rStyle w:val="Hyperlink"/>
          <w:color w:val="0070C0"/>
          <w:sz w:val="18"/>
          <w:szCs w:val="18"/>
        </w:rPr>
        <w:t>itumail@itu.int</w:t>
      </w:r>
    </w:hyperlink>
    <w:r w:rsidRPr="00DA5BCE">
      <w:rPr>
        <w:color w:val="0070C0"/>
        <w:sz w:val="18"/>
        <w:szCs w:val="18"/>
      </w:rPr>
      <w:t xml:space="preserve"> • </w:t>
    </w:r>
    <w:hyperlink r:id="rId2" w:history="1">
      <w:r w:rsidRPr="00DA5BCE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16BC" w14:textId="77777777" w:rsidR="00660959" w:rsidRDefault="00660959">
      <w:r>
        <w:t>____________________</w:t>
      </w:r>
    </w:p>
  </w:footnote>
  <w:footnote w:type="continuationSeparator" w:id="0">
    <w:p w14:paraId="288CB741" w14:textId="77777777" w:rsidR="00660959" w:rsidRDefault="00660959">
      <w:r>
        <w:continuationSeparator/>
      </w:r>
    </w:p>
  </w:footnote>
  <w:footnote w:type="continuationNotice" w:id="1">
    <w:p w14:paraId="0C73DEEC" w14:textId="77777777" w:rsidR="00660959" w:rsidRDefault="0066095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08EDA0A0" w:rsidR="00982411" w:rsidRDefault="0006300A">
        <w:pPr>
          <w:pStyle w:val="Header"/>
        </w:pPr>
        <w:r>
          <w:rPr>
            <w:lang w:val="ru-RU"/>
          </w:rPr>
          <w:t xml:space="preserve">- </w:t>
        </w:r>
        <w:r w:rsidR="00982411">
          <w:fldChar w:fldCharType="begin"/>
        </w:r>
        <w:r w:rsidR="00982411">
          <w:instrText xml:space="preserve"> PAGE   \* MERGEFORMAT </w:instrText>
        </w:r>
        <w:r w:rsidR="00982411">
          <w:fldChar w:fldCharType="separate"/>
        </w:r>
        <w:r w:rsidR="00982411">
          <w:rPr>
            <w:noProof/>
          </w:rPr>
          <w:t>2</w:t>
        </w:r>
        <w:r w:rsidR="00982411"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p>
    </w:sdtContent>
  </w:sdt>
  <w:p w14:paraId="0E56D3CB" w14:textId="5F1C61D2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092420">
      <w:rPr>
        <w:lang w:val="ru-RU"/>
      </w:rPr>
      <w:t>35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5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7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0"/>
  </w:num>
  <w:num w:numId="13" w16cid:durableId="259024582">
    <w:abstractNumId w:val="31"/>
  </w:num>
  <w:num w:numId="14" w16cid:durableId="68507006">
    <w:abstractNumId w:val="39"/>
  </w:num>
  <w:num w:numId="15" w16cid:durableId="1523322403">
    <w:abstractNumId w:val="37"/>
  </w:num>
  <w:num w:numId="16" w16cid:durableId="1341545519">
    <w:abstractNumId w:val="13"/>
  </w:num>
  <w:num w:numId="17" w16cid:durableId="663900088">
    <w:abstractNumId w:val="11"/>
  </w:num>
  <w:num w:numId="18" w16cid:durableId="1883980613">
    <w:abstractNumId w:val="34"/>
  </w:num>
  <w:num w:numId="19" w16cid:durableId="1523931048">
    <w:abstractNumId w:val="45"/>
  </w:num>
  <w:num w:numId="20" w16cid:durableId="496574885">
    <w:abstractNumId w:val="16"/>
  </w:num>
  <w:num w:numId="21" w16cid:durableId="241914137">
    <w:abstractNumId w:val="28"/>
  </w:num>
  <w:num w:numId="22" w16cid:durableId="725489192">
    <w:abstractNumId w:val="25"/>
  </w:num>
  <w:num w:numId="23" w16cid:durableId="1985118205">
    <w:abstractNumId w:val="24"/>
  </w:num>
  <w:num w:numId="24" w16cid:durableId="2083986707">
    <w:abstractNumId w:val="21"/>
  </w:num>
  <w:num w:numId="25" w16cid:durableId="1505509332">
    <w:abstractNumId w:val="14"/>
  </w:num>
  <w:num w:numId="26" w16cid:durableId="150218594">
    <w:abstractNumId w:val="18"/>
  </w:num>
  <w:num w:numId="27" w16cid:durableId="942616608">
    <w:abstractNumId w:val="44"/>
  </w:num>
  <w:num w:numId="28" w16cid:durableId="334769545">
    <w:abstractNumId w:val="22"/>
  </w:num>
  <w:num w:numId="29" w16cid:durableId="1559976025">
    <w:abstractNumId w:val="40"/>
  </w:num>
  <w:num w:numId="30" w16cid:durableId="1264418327">
    <w:abstractNumId w:val="33"/>
  </w:num>
  <w:num w:numId="31" w16cid:durableId="1456950427">
    <w:abstractNumId w:val="23"/>
  </w:num>
  <w:num w:numId="32" w16cid:durableId="471364242">
    <w:abstractNumId w:val="43"/>
  </w:num>
  <w:num w:numId="33" w16cid:durableId="1738280842">
    <w:abstractNumId w:val="15"/>
  </w:num>
  <w:num w:numId="34" w16cid:durableId="290329939">
    <w:abstractNumId w:val="35"/>
  </w:num>
  <w:num w:numId="35" w16cid:durableId="596402489">
    <w:abstractNumId w:val="12"/>
  </w:num>
  <w:num w:numId="36" w16cid:durableId="195847848">
    <w:abstractNumId w:val="38"/>
  </w:num>
  <w:num w:numId="37" w16cid:durableId="1782341371">
    <w:abstractNumId w:val="29"/>
  </w:num>
  <w:num w:numId="38" w16cid:durableId="297492829">
    <w:abstractNumId w:val="32"/>
  </w:num>
  <w:num w:numId="39" w16cid:durableId="1578713688">
    <w:abstractNumId w:val="20"/>
  </w:num>
  <w:num w:numId="40" w16cid:durableId="1787852321">
    <w:abstractNumId w:val="36"/>
  </w:num>
  <w:num w:numId="41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2" w16cid:durableId="755324824">
    <w:abstractNumId w:val="26"/>
  </w:num>
  <w:num w:numId="43" w16cid:durableId="338388796">
    <w:abstractNumId w:val="27"/>
  </w:num>
  <w:num w:numId="44" w16cid:durableId="43607854">
    <w:abstractNumId w:val="19"/>
  </w:num>
  <w:num w:numId="45" w16cid:durableId="540018201">
    <w:abstractNumId w:val="42"/>
  </w:num>
  <w:num w:numId="46" w16cid:durableId="176784757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D94"/>
    <w:rsid w:val="00022E6B"/>
    <w:rsid w:val="00024072"/>
    <w:rsid w:val="000247AE"/>
    <w:rsid w:val="00027795"/>
    <w:rsid w:val="00030121"/>
    <w:rsid w:val="0003097A"/>
    <w:rsid w:val="0003507E"/>
    <w:rsid w:val="00036219"/>
    <w:rsid w:val="00040014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00A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420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2C89"/>
    <w:rsid w:val="000B7244"/>
    <w:rsid w:val="000B7C8A"/>
    <w:rsid w:val="000C0281"/>
    <w:rsid w:val="000C2B0C"/>
    <w:rsid w:val="000D04CE"/>
    <w:rsid w:val="000D32E2"/>
    <w:rsid w:val="000D765E"/>
    <w:rsid w:val="000E1902"/>
    <w:rsid w:val="000E1D73"/>
    <w:rsid w:val="000E4D5A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1B47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3E2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1BA2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C1"/>
    <w:rsid w:val="002455EA"/>
    <w:rsid w:val="00250B2D"/>
    <w:rsid w:val="002521FC"/>
    <w:rsid w:val="00260B0E"/>
    <w:rsid w:val="00260C1D"/>
    <w:rsid w:val="00264361"/>
    <w:rsid w:val="002667D7"/>
    <w:rsid w:val="00276350"/>
    <w:rsid w:val="00276521"/>
    <w:rsid w:val="00277678"/>
    <w:rsid w:val="00283197"/>
    <w:rsid w:val="00284C8B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7AF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899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5E4D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17D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493A"/>
    <w:rsid w:val="003751DD"/>
    <w:rsid w:val="00375817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5A8"/>
    <w:rsid w:val="003B4978"/>
    <w:rsid w:val="003B6006"/>
    <w:rsid w:val="003B7466"/>
    <w:rsid w:val="003B79B5"/>
    <w:rsid w:val="003C06BD"/>
    <w:rsid w:val="003C468D"/>
    <w:rsid w:val="003C763F"/>
    <w:rsid w:val="003C7CB4"/>
    <w:rsid w:val="003D2067"/>
    <w:rsid w:val="003D3A10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646"/>
    <w:rsid w:val="00463ED7"/>
    <w:rsid w:val="00465508"/>
    <w:rsid w:val="0047269E"/>
    <w:rsid w:val="00472CE5"/>
    <w:rsid w:val="004731E5"/>
    <w:rsid w:val="004810A2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528F"/>
    <w:rsid w:val="004F6BD3"/>
    <w:rsid w:val="004F7494"/>
    <w:rsid w:val="00500E52"/>
    <w:rsid w:val="00501222"/>
    <w:rsid w:val="005020A4"/>
    <w:rsid w:val="00503ADB"/>
    <w:rsid w:val="00504FAD"/>
    <w:rsid w:val="005062F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3EE8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CA1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A78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02EF"/>
    <w:rsid w:val="005C17B4"/>
    <w:rsid w:val="005C17DB"/>
    <w:rsid w:val="005C2116"/>
    <w:rsid w:val="005C276B"/>
    <w:rsid w:val="005C62FE"/>
    <w:rsid w:val="005C64E1"/>
    <w:rsid w:val="005D0439"/>
    <w:rsid w:val="005D35C0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08A"/>
    <w:rsid w:val="00621104"/>
    <w:rsid w:val="00621476"/>
    <w:rsid w:val="00621748"/>
    <w:rsid w:val="00626153"/>
    <w:rsid w:val="0062713A"/>
    <w:rsid w:val="00627913"/>
    <w:rsid w:val="00627DCB"/>
    <w:rsid w:val="006301E0"/>
    <w:rsid w:val="00630D2B"/>
    <w:rsid w:val="00630EE5"/>
    <w:rsid w:val="00631067"/>
    <w:rsid w:val="00632434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959"/>
    <w:rsid w:val="00660C59"/>
    <w:rsid w:val="006618E8"/>
    <w:rsid w:val="006639A6"/>
    <w:rsid w:val="00665C89"/>
    <w:rsid w:val="0067102E"/>
    <w:rsid w:val="00672126"/>
    <w:rsid w:val="0067357A"/>
    <w:rsid w:val="00674030"/>
    <w:rsid w:val="0067444F"/>
    <w:rsid w:val="00676218"/>
    <w:rsid w:val="00677102"/>
    <w:rsid w:val="006771F7"/>
    <w:rsid w:val="006775EA"/>
    <w:rsid w:val="00677D37"/>
    <w:rsid w:val="0068115E"/>
    <w:rsid w:val="00681194"/>
    <w:rsid w:val="00681C6D"/>
    <w:rsid w:val="00683254"/>
    <w:rsid w:val="0068401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3C0E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4DCB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34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C7047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1E53"/>
    <w:rsid w:val="008E4BA4"/>
    <w:rsid w:val="008E4D58"/>
    <w:rsid w:val="008E61BA"/>
    <w:rsid w:val="008F00D5"/>
    <w:rsid w:val="008F28F2"/>
    <w:rsid w:val="008F3493"/>
    <w:rsid w:val="008F765C"/>
    <w:rsid w:val="009001FF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59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779"/>
    <w:rsid w:val="00947FA7"/>
    <w:rsid w:val="00954322"/>
    <w:rsid w:val="00954808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52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97E7B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0E29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1351"/>
    <w:rsid w:val="00B2488F"/>
    <w:rsid w:val="00B25361"/>
    <w:rsid w:val="00B27533"/>
    <w:rsid w:val="00B27613"/>
    <w:rsid w:val="00B3060B"/>
    <w:rsid w:val="00B307C6"/>
    <w:rsid w:val="00B30A7D"/>
    <w:rsid w:val="00B30BB6"/>
    <w:rsid w:val="00B31D4F"/>
    <w:rsid w:val="00B32233"/>
    <w:rsid w:val="00B33470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0271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2B9D"/>
    <w:rsid w:val="00BC32CF"/>
    <w:rsid w:val="00BC4CD5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6B68"/>
    <w:rsid w:val="00BD77BD"/>
    <w:rsid w:val="00BE0260"/>
    <w:rsid w:val="00BE17CB"/>
    <w:rsid w:val="00BE22E1"/>
    <w:rsid w:val="00BE245B"/>
    <w:rsid w:val="00BE2F07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BF679E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274E1"/>
    <w:rsid w:val="00C321E1"/>
    <w:rsid w:val="00C400D5"/>
    <w:rsid w:val="00C42E08"/>
    <w:rsid w:val="00C463B7"/>
    <w:rsid w:val="00C46D3A"/>
    <w:rsid w:val="00C47931"/>
    <w:rsid w:val="00C50DF4"/>
    <w:rsid w:val="00C510F7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0F76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4453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C66B5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440F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328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3E40"/>
    <w:rsid w:val="00DA498B"/>
    <w:rsid w:val="00DA5BCE"/>
    <w:rsid w:val="00DB0915"/>
    <w:rsid w:val="00DB13EB"/>
    <w:rsid w:val="00DB1638"/>
    <w:rsid w:val="00DB1FEC"/>
    <w:rsid w:val="00DB3855"/>
    <w:rsid w:val="00DB50F1"/>
    <w:rsid w:val="00DB5735"/>
    <w:rsid w:val="00DB5BF1"/>
    <w:rsid w:val="00DB66F6"/>
    <w:rsid w:val="00DC51AD"/>
    <w:rsid w:val="00DC6B78"/>
    <w:rsid w:val="00DC71FD"/>
    <w:rsid w:val="00DD170B"/>
    <w:rsid w:val="00DD488D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9B6"/>
    <w:rsid w:val="00E46B3B"/>
    <w:rsid w:val="00E46F57"/>
    <w:rsid w:val="00E4751B"/>
    <w:rsid w:val="00E5010C"/>
    <w:rsid w:val="00E5070C"/>
    <w:rsid w:val="00E50E9B"/>
    <w:rsid w:val="00E5281C"/>
    <w:rsid w:val="00E52AC9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4337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544"/>
    <w:rsid w:val="00F11BA1"/>
    <w:rsid w:val="00F12B52"/>
    <w:rsid w:val="00F12D97"/>
    <w:rsid w:val="00F132BC"/>
    <w:rsid w:val="00F16061"/>
    <w:rsid w:val="00F17F00"/>
    <w:rsid w:val="00F20728"/>
    <w:rsid w:val="00F22314"/>
    <w:rsid w:val="00F2245D"/>
    <w:rsid w:val="00F254DD"/>
    <w:rsid w:val="00F255FB"/>
    <w:rsid w:val="00F25636"/>
    <w:rsid w:val="00F25EE4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1915"/>
    <w:rsid w:val="00F83B0F"/>
    <w:rsid w:val="00F86AD4"/>
    <w:rsid w:val="00F8726F"/>
    <w:rsid w:val="00F8772F"/>
    <w:rsid w:val="00F90258"/>
    <w:rsid w:val="00F96A41"/>
    <w:rsid w:val="00F97680"/>
    <w:rsid w:val="00F97CB8"/>
    <w:rsid w:val="00F97DE1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B68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D6B68"/>
    <w:pPr>
      <w:keepNext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rsid w:val="00BD6B6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D6B6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D6B68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BD6B68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rsid w:val="00BD6B68"/>
    <w:pPr>
      <w:tabs>
        <w:tab w:val="center" w:pos="4703"/>
        <w:tab w:val="right" w:pos="9406"/>
      </w:tabs>
      <w:spacing w:before="0"/>
    </w:pPr>
    <w:rPr>
      <w:sz w:val="16"/>
    </w:rPr>
  </w:style>
  <w:style w:type="paragraph" w:customStyle="1" w:styleId="FirstFooter">
    <w:name w:val="FirstFooter"/>
    <w:basedOn w:val="Normal"/>
    <w:rsid w:val="00BD6B68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styleId="FootnoteReference">
    <w:name w:val="footnote reference"/>
    <w:aliases w:val="Appel note de bas de p,Footnote Reference/,ft#,Footnote symbol,Ref,de nota al pie"/>
    <w:rsid w:val="00BD6B68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BD6B68"/>
    <w:rPr>
      <w:sz w:val="20"/>
      <w:szCs w:val="20"/>
    </w:rPr>
  </w:style>
  <w:style w:type="paragraph" w:customStyle="1" w:styleId="Note">
    <w:name w:val="Note"/>
    <w:basedOn w:val="Normal"/>
    <w:rsid w:val="00BE245B"/>
    <w:pPr>
      <w:tabs>
        <w:tab w:val="left" w:pos="284"/>
      </w:tabs>
      <w:spacing w:before="80"/>
    </w:pPr>
    <w:rPr>
      <w:sz w:val="20"/>
    </w:rPr>
  </w:style>
  <w:style w:type="paragraph" w:styleId="Header">
    <w:name w:val="header"/>
    <w:basedOn w:val="Normal"/>
    <w:link w:val="HeaderChar"/>
    <w:uiPriority w:val="99"/>
    <w:rsid w:val="00BD6B6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BD6B68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spacing w:before="480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BD6B68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TOC1">
    <w:name w:val="toc 1"/>
    <w:basedOn w:val="Normal"/>
    <w:rsid w:val="00BD6B68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Normal"/>
    <w:next w:val="Normal"/>
    <w:autoRedefine/>
    <w:rsid w:val="00BD6B68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3"/>
    <w:next w:val="Normal"/>
    <w:rsid w:val="00BD6B68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8">
    <w:name w:val="toc 8"/>
    <w:basedOn w:val="TOC3"/>
    <w:next w:val="Normal"/>
    <w:rsid w:val="00BD6B68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BD6B68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BE245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BD6B6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BD6B6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character" w:styleId="Hyperlink">
    <w:name w:val="Hyperlink"/>
    <w:aliases w:val="超级链接,超链接1,Style 58,超????,하이퍼링크2,超?级链"/>
    <w:rsid w:val="00BD6B68"/>
    <w:rPr>
      <w:color w:val="0000FF"/>
      <w:u w:val="single"/>
    </w:rPr>
  </w:style>
  <w:style w:type="paragraph" w:styleId="BodyText2">
    <w:name w:val="Body Text 2"/>
    <w:basedOn w:val="Normal"/>
    <w:link w:val="BodyText2Char"/>
    <w:rsid w:val="00BD6B68"/>
    <w:rPr>
      <w:sz w:val="24"/>
    </w:rPr>
  </w:style>
  <w:style w:type="character" w:customStyle="1" w:styleId="BodyText2Char">
    <w:name w:val="Body Text 2 Char"/>
    <w:link w:val="BodyText2"/>
    <w:rsid w:val="0087300D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87300D"/>
    <w:pPr>
      <w:spacing w:before="1701"/>
      <w:ind w:right="91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D6B68"/>
    <w:rPr>
      <w:rFonts w:asciiTheme="minorHAnsi" w:hAnsiTheme="minorHAnsi"/>
      <w:sz w:val="18"/>
      <w:szCs w:val="24"/>
      <w:lang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spacing w:before="0" w:after="160" w:line="259" w:lineRule="auto"/>
      <w:ind w:left="720"/>
      <w:contextualSpacing/>
    </w:pPr>
    <w:rPr>
      <w:rFonts w:eastAsia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BD6B68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BD6B68"/>
    <w:rPr>
      <w:rFonts w:asciiTheme="minorHAnsi" w:hAnsiTheme="minorHAns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BD6B68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13D99"/>
    <w:rPr>
      <w:rFonts w:asciiTheme="minorHAnsi" w:hAnsiTheme="minorHAns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BD6B6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BD6B6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BD6B68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BD6B68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customStyle="1" w:styleId="Table">
    <w:name w:val="Table_#"/>
    <w:basedOn w:val="Normal"/>
    <w:next w:val="Normal"/>
    <w:rsid w:val="00BD6B68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BD6B68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BD6B68"/>
    <w:pPr>
      <w:tabs>
        <w:tab w:val="left" w:pos="141"/>
      </w:tabs>
      <w:ind w:left="141" w:hanging="141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D6B68"/>
    <w:rPr>
      <w:rFonts w:asciiTheme="minorHAnsi" w:hAnsiTheme="minorHAns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D6B68"/>
    <w:pPr>
      <w:tabs>
        <w:tab w:val="left" w:pos="284"/>
        <w:tab w:val="left" w:pos="4111"/>
      </w:tabs>
      <w:ind w:left="284" w:hanging="227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Theme="minorHAnsi" w:hAnsiTheme="minorHAnsi"/>
      <w:sz w:val="22"/>
      <w:szCs w:val="24"/>
      <w:lang w:val="ru-RU" w:eastAsia="en-US"/>
    </w:rPr>
  </w:style>
  <w:style w:type="paragraph" w:customStyle="1" w:styleId="itu">
    <w:name w:val="itu"/>
    <w:basedOn w:val="Normal"/>
    <w:rsid w:val="00BD6B68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BD6B68"/>
    <w:rPr>
      <w:rFonts w:asciiTheme="minorHAnsi" w:hAnsiTheme="minorHAnsi"/>
      <w:sz w:val="16"/>
      <w:szCs w:val="24"/>
      <w:lang w:eastAsia="en-US"/>
    </w:rPr>
  </w:style>
  <w:style w:type="paragraph" w:customStyle="1" w:styleId="TableText0">
    <w:name w:val="Table_Text"/>
    <w:basedOn w:val="Normal"/>
    <w:rsid w:val="00BD6B6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Theme="minorHAnsi" w:hAnsiTheme="minorHAnsi"/>
      <w:lang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D6B68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BE245B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ind w:left="360" w:hanging="36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tsbdir@itu.i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11@itu.int" TargetMode="External"/><Relationship Id="rId17" Type="http://schemas.openxmlformats.org/officeDocument/2006/relationships/hyperlink" Target="http://www.itu.int/ip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11-R-0006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ipr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1-R-0005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86EAE-47C0-4A47-A0A8-41DD6F6C0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55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9925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14</cp:revision>
  <cp:lastPrinted>2025-04-10T12:14:00Z</cp:lastPrinted>
  <dcterms:created xsi:type="dcterms:W3CDTF">2025-04-07T15:23:00Z</dcterms:created>
  <dcterms:modified xsi:type="dcterms:W3CDTF">2025-04-10T12:15:00Z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