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237"/>
        <w:gridCol w:w="5213"/>
      </w:tblGrid>
      <w:tr w:rsidR="00EF6A23" w:rsidRPr="00FF5C16" w14:paraId="20E2C178" w14:textId="77777777" w:rsidTr="003F083D">
        <w:trPr>
          <w:cantSplit/>
        </w:trPr>
        <w:tc>
          <w:tcPr>
            <w:tcW w:w="0" w:type="auto"/>
            <w:vAlign w:val="center"/>
          </w:tcPr>
          <w:p w14:paraId="7DDD6147" w14:textId="77777777" w:rsidR="00EF6A23" w:rsidRPr="00FF5C16" w:rsidRDefault="00EF6A23" w:rsidP="00D14F31">
            <w:pPr>
              <w:tabs>
                <w:tab w:val="right" w:pos="8732"/>
              </w:tabs>
              <w:spacing w:before="0"/>
              <w:rPr>
                <w:b/>
                <w:bCs/>
                <w:iCs/>
                <w:color w:val="FFFFFF"/>
                <w:sz w:val="30"/>
                <w:szCs w:val="30"/>
              </w:rPr>
            </w:pPr>
            <w:r w:rsidRPr="00FF5C16">
              <w:rPr>
                <w:noProof/>
                <w:lang w:eastAsia="zh-CN"/>
              </w:rPr>
              <w:drawing>
                <wp:inline distT="0" distB="0" distL="0" distR="0" wp14:anchorId="008AED8B" wp14:editId="6CC7A9B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30E9CB7E" w14:textId="77777777" w:rsidR="00EF6A23" w:rsidRPr="00FF5C16" w:rsidRDefault="00EF6A23" w:rsidP="00EF6A23">
            <w:pPr>
              <w:spacing w:before="0"/>
              <w:rPr>
                <w:rFonts w:cs="Times New Roman Bold"/>
                <w:b/>
                <w:bCs/>
                <w:iCs/>
                <w:smallCaps/>
                <w:sz w:val="34"/>
                <w:szCs w:val="34"/>
              </w:rPr>
            </w:pPr>
            <w:r w:rsidRPr="00FF5C16">
              <w:rPr>
                <w:rFonts w:cs="Times New Roman Bold"/>
                <w:b/>
                <w:bCs/>
                <w:iCs/>
                <w:smallCaps/>
                <w:sz w:val="34"/>
                <w:szCs w:val="34"/>
              </w:rPr>
              <w:t>Union internationale des télécommunications</w:t>
            </w:r>
          </w:p>
          <w:p w14:paraId="14306D6E" w14:textId="77777777" w:rsidR="00EF6A23" w:rsidRPr="00FF5C16" w:rsidRDefault="00EF6A23" w:rsidP="00EF6A23">
            <w:pPr>
              <w:spacing w:before="0"/>
              <w:rPr>
                <w:color w:val="FFFFFF"/>
                <w:sz w:val="26"/>
                <w:szCs w:val="26"/>
              </w:rPr>
            </w:pPr>
            <w:r w:rsidRPr="00FF5C16">
              <w:rPr>
                <w:rFonts w:cs="Times New Roman Bold"/>
                <w:b/>
                <w:bCs/>
                <w:iCs/>
                <w:smallCaps/>
                <w:sz w:val="28"/>
                <w:szCs w:val="28"/>
              </w:rPr>
              <w:t>B</w:t>
            </w:r>
            <w:r w:rsidRPr="00FF5C16">
              <w:rPr>
                <w:b/>
                <w:bCs/>
                <w:iCs/>
                <w:smallCaps/>
                <w:sz w:val="28"/>
                <w:szCs w:val="28"/>
              </w:rPr>
              <w:t>ureau de la Normalisation des Télécommunications</w:t>
            </w:r>
          </w:p>
        </w:tc>
      </w:tr>
      <w:tr w:rsidR="00036F4F" w:rsidRPr="00A108E6" w14:paraId="15B0C4D2" w14:textId="77777777" w:rsidTr="00A108E6">
        <w:trPr>
          <w:cantSplit/>
        </w:trPr>
        <w:tc>
          <w:tcPr>
            <w:tcW w:w="0" w:type="auto"/>
          </w:tcPr>
          <w:p w14:paraId="3624EE63" w14:textId="77777777" w:rsidR="00036F4F" w:rsidRPr="00A108E6" w:rsidRDefault="00036F4F" w:rsidP="00A5280F">
            <w:pPr>
              <w:tabs>
                <w:tab w:val="left" w:pos="4111"/>
              </w:tabs>
              <w:spacing w:before="10"/>
              <w:ind w:left="57"/>
              <w:rPr>
                <w:sz w:val="22"/>
                <w:szCs w:val="18"/>
              </w:rPr>
            </w:pPr>
          </w:p>
        </w:tc>
        <w:tc>
          <w:tcPr>
            <w:tcW w:w="3234" w:type="dxa"/>
          </w:tcPr>
          <w:p w14:paraId="41DA24FB" w14:textId="77777777" w:rsidR="00036F4F" w:rsidRPr="00A108E6" w:rsidRDefault="00036F4F" w:rsidP="00A5280F">
            <w:pPr>
              <w:tabs>
                <w:tab w:val="left" w:pos="4111"/>
              </w:tabs>
              <w:spacing w:before="10"/>
              <w:ind w:left="57"/>
              <w:rPr>
                <w:b/>
                <w:sz w:val="22"/>
                <w:szCs w:val="18"/>
              </w:rPr>
            </w:pPr>
          </w:p>
        </w:tc>
        <w:tc>
          <w:tcPr>
            <w:tcW w:w="5216" w:type="dxa"/>
          </w:tcPr>
          <w:p w14:paraId="68C982EE" w14:textId="76732DE9" w:rsidR="00036F4F" w:rsidRPr="00A108E6" w:rsidRDefault="00036F4F" w:rsidP="00A5645A">
            <w:pPr>
              <w:tabs>
                <w:tab w:val="clear" w:pos="794"/>
                <w:tab w:val="clear" w:pos="1191"/>
                <w:tab w:val="clear" w:pos="1588"/>
                <w:tab w:val="clear" w:pos="1985"/>
                <w:tab w:val="left" w:pos="284"/>
              </w:tabs>
              <w:spacing w:after="120"/>
              <w:ind w:left="284" w:hanging="227"/>
              <w:rPr>
                <w:sz w:val="22"/>
                <w:szCs w:val="18"/>
              </w:rPr>
            </w:pPr>
            <w:r w:rsidRPr="00A108E6">
              <w:rPr>
                <w:sz w:val="22"/>
                <w:szCs w:val="18"/>
              </w:rPr>
              <w:t>Genève, le</w:t>
            </w:r>
            <w:r w:rsidR="004419E9" w:rsidRPr="00A108E6">
              <w:rPr>
                <w:sz w:val="22"/>
                <w:szCs w:val="18"/>
              </w:rPr>
              <w:t xml:space="preserve"> </w:t>
            </w:r>
            <w:r w:rsidR="00473143" w:rsidRPr="00A108E6">
              <w:rPr>
                <w:sz w:val="22"/>
                <w:szCs w:val="18"/>
              </w:rPr>
              <w:t>25 mars 2025</w:t>
            </w:r>
          </w:p>
        </w:tc>
      </w:tr>
      <w:tr w:rsidR="00A108E6" w:rsidRPr="00A108E6" w14:paraId="7F6F043D" w14:textId="77777777" w:rsidTr="00A108E6">
        <w:trPr>
          <w:cantSplit/>
          <w:trHeight w:val="340"/>
        </w:trPr>
        <w:tc>
          <w:tcPr>
            <w:tcW w:w="0" w:type="auto"/>
          </w:tcPr>
          <w:p w14:paraId="397B7665" w14:textId="77777777" w:rsidR="00A108E6" w:rsidRPr="00A108E6" w:rsidRDefault="00A108E6" w:rsidP="00A108E6">
            <w:pPr>
              <w:tabs>
                <w:tab w:val="left" w:pos="4111"/>
              </w:tabs>
              <w:spacing w:before="10"/>
              <w:rPr>
                <w:b/>
                <w:bCs/>
                <w:sz w:val="22"/>
                <w:szCs w:val="18"/>
              </w:rPr>
            </w:pPr>
            <w:proofErr w:type="gramStart"/>
            <w:r w:rsidRPr="00A108E6">
              <w:rPr>
                <w:b/>
                <w:bCs/>
                <w:sz w:val="22"/>
                <w:szCs w:val="18"/>
              </w:rPr>
              <w:t>Réf.:</w:t>
            </w:r>
            <w:proofErr w:type="gramEnd"/>
          </w:p>
        </w:tc>
        <w:tc>
          <w:tcPr>
            <w:tcW w:w="3234" w:type="dxa"/>
          </w:tcPr>
          <w:p w14:paraId="5079CCD1" w14:textId="7048FA74" w:rsidR="00A108E6" w:rsidRPr="00A108E6" w:rsidRDefault="00A108E6" w:rsidP="00A5280F">
            <w:pPr>
              <w:tabs>
                <w:tab w:val="left" w:pos="4111"/>
              </w:tabs>
              <w:spacing w:before="10"/>
              <w:ind w:left="57"/>
              <w:rPr>
                <w:b/>
                <w:sz w:val="22"/>
                <w:szCs w:val="18"/>
              </w:rPr>
            </w:pPr>
            <w:r w:rsidRPr="00A108E6">
              <w:rPr>
                <w:b/>
                <w:sz w:val="22"/>
                <w:szCs w:val="18"/>
              </w:rPr>
              <w:t>Circulaire TSB 35</w:t>
            </w:r>
          </w:p>
          <w:p w14:paraId="6BB35CBE" w14:textId="7561C77C" w:rsidR="00A108E6" w:rsidRPr="00A108E6" w:rsidRDefault="00A108E6" w:rsidP="00307FB4">
            <w:pPr>
              <w:tabs>
                <w:tab w:val="left" w:pos="4111"/>
              </w:tabs>
              <w:spacing w:before="10"/>
              <w:ind w:left="57"/>
              <w:rPr>
                <w:b/>
                <w:bCs/>
                <w:sz w:val="22"/>
                <w:szCs w:val="18"/>
              </w:rPr>
            </w:pPr>
            <w:r w:rsidRPr="00A108E6">
              <w:rPr>
                <w:b/>
                <w:bCs/>
                <w:sz w:val="22"/>
                <w:szCs w:val="18"/>
              </w:rPr>
              <w:t>CE 11/DA</w:t>
            </w:r>
          </w:p>
        </w:tc>
        <w:tc>
          <w:tcPr>
            <w:tcW w:w="5216" w:type="dxa"/>
            <w:vMerge w:val="restart"/>
          </w:tcPr>
          <w:p w14:paraId="3DD36B4D" w14:textId="1F0DD2E2" w:rsidR="00A108E6" w:rsidRPr="00A108E6" w:rsidRDefault="00A108E6" w:rsidP="00421B0D">
            <w:pPr>
              <w:tabs>
                <w:tab w:val="left" w:pos="4111"/>
              </w:tabs>
              <w:spacing w:before="0" w:after="60"/>
              <w:ind w:left="426" w:hanging="426"/>
              <w:rPr>
                <w:sz w:val="22"/>
                <w:szCs w:val="18"/>
              </w:rPr>
            </w:pPr>
            <w:bookmarkStart w:id="0" w:name="Addressee_F"/>
            <w:bookmarkEnd w:id="0"/>
            <w:r w:rsidRPr="00A108E6">
              <w:rPr>
                <w:sz w:val="22"/>
                <w:szCs w:val="18"/>
              </w:rPr>
              <w:t>–</w:t>
            </w:r>
            <w:r w:rsidRPr="00A108E6">
              <w:rPr>
                <w:sz w:val="22"/>
                <w:szCs w:val="18"/>
              </w:rPr>
              <w:tab/>
              <w:t xml:space="preserve">Aux Administrations des États Membres de </w:t>
            </w:r>
            <w:proofErr w:type="gramStart"/>
            <w:r w:rsidRPr="00A108E6">
              <w:rPr>
                <w:sz w:val="22"/>
                <w:szCs w:val="18"/>
              </w:rPr>
              <w:t>l'Union;</w:t>
            </w:r>
            <w:proofErr w:type="gramEnd"/>
          </w:p>
          <w:p w14:paraId="7F853079" w14:textId="77777777" w:rsidR="00A108E6" w:rsidRPr="00A108E6" w:rsidRDefault="00A108E6" w:rsidP="00421B0D">
            <w:pPr>
              <w:tabs>
                <w:tab w:val="left" w:pos="4111"/>
              </w:tabs>
              <w:spacing w:before="0" w:after="60"/>
              <w:ind w:left="426" w:hanging="426"/>
              <w:rPr>
                <w:sz w:val="22"/>
                <w:szCs w:val="18"/>
              </w:rPr>
            </w:pPr>
            <w:r w:rsidRPr="00A108E6">
              <w:rPr>
                <w:sz w:val="22"/>
                <w:szCs w:val="18"/>
              </w:rPr>
              <w:t>–</w:t>
            </w:r>
            <w:r w:rsidRPr="00A108E6">
              <w:rPr>
                <w:sz w:val="22"/>
                <w:szCs w:val="18"/>
              </w:rPr>
              <w:tab/>
              <w:t>À l'État de Palestine (Résolution 99) (Rév. Dubaï, 2018))</w:t>
            </w:r>
          </w:p>
          <w:p w14:paraId="33A19994" w14:textId="77777777" w:rsidR="00A108E6" w:rsidRPr="00A108E6" w:rsidRDefault="00A108E6" w:rsidP="00421B0D">
            <w:pPr>
              <w:tabs>
                <w:tab w:val="clear" w:pos="794"/>
                <w:tab w:val="left" w:pos="226"/>
                <w:tab w:val="left" w:pos="4111"/>
              </w:tabs>
              <w:spacing w:before="0" w:after="60"/>
              <w:ind w:left="226" w:hanging="226"/>
              <w:rPr>
                <w:b/>
                <w:bCs/>
                <w:sz w:val="22"/>
                <w:szCs w:val="18"/>
              </w:rPr>
            </w:pPr>
            <w:proofErr w:type="gramStart"/>
            <w:r w:rsidRPr="00A108E6">
              <w:rPr>
                <w:b/>
                <w:bCs/>
                <w:sz w:val="22"/>
                <w:szCs w:val="18"/>
              </w:rPr>
              <w:t>Copie:</w:t>
            </w:r>
            <w:proofErr w:type="gramEnd"/>
          </w:p>
          <w:p w14:paraId="598D93E9" w14:textId="77777777" w:rsidR="00A108E6" w:rsidRPr="00A108E6" w:rsidRDefault="00A108E6" w:rsidP="00421B0D">
            <w:pPr>
              <w:tabs>
                <w:tab w:val="clear" w:pos="794"/>
                <w:tab w:val="left" w:pos="4111"/>
              </w:tabs>
              <w:spacing w:before="0" w:after="60"/>
              <w:ind w:left="426" w:hanging="426"/>
              <w:rPr>
                <w:sz w:val="22"/>
                <w:szCs w:val="18"/>
              </w:rPr>
            </w:pPr>
            <w:r w:rsidRPr="00A108E6">
              <w:rPr>
                <w:sz w:val="22"/>
                <w:szCs w:val="18"/>
              </w:rPr>
              <w:t>–</w:t>
            </w:r>
            <w:r w:rsidRPr="00A108E6">
              <w:rPr>
                <w:sz w:val="22"/>
                <w:szCs w:val="18"/>
              </w:rPr>
              <w:tab/>
              <w:t>Aux Membres du Secteur de l'UIT-</w:t>
            </w:r>
            <w:proofErr w:type="gramStart"/>
            <w:r w:rsidRPr="00A108E6">
              <w:rPr>
                <w:sz w:val="22"/>
                <w:szCs w:val="18"/>
              </w:rPr>
              <w:t>T;</w:t>
            </w:r>
            <w:proofErr w:type="gramEnd"/>
          </w:p>
          <w:p w14:paraId="277046FC" w14:textId="77777777" w:rsidR="00A108E6" w:rsidRPr="00A108E6" w:rsidRDefault="00A108E6" w:rsidP="00421B0D">
            <w:pPr>
              <w:tabs>
                <w:tab w:val="clear" w:pos="794"/>
                <w:tab w:val="left" w:pos="4111"/>
              </w:tabs>
              <w:spacing w:before="0" w:after="60"/>
              <w:ind w:left="426" w:hanging="426"/>
              <w:rPr>
                <w:sz w:val="22"/>
                <w:szCs w:val="18"/>
              </w:rPr>
            </w:pPr>
            <w:r w:rsidRPr="00A108E6">
              <w:rPr>
                <w:sz w:val="22"/>
                <w:szCs w:val="18"/>
              </w:rPr>
              <w:t>–</w:t>
            </w:r>
            <w:r w:rsidRPr="00A108E6">
              <w:rPr>
                <w:sz w:val="22"/>
                <w:szCs w:val="18"/>
              </w:rPr>
              <w:tab/>
              <w:t>Aux Associés participant aux travaux de la Commission d'études 11 de l'UIT-</w:t>
            </w:r>
            <w:proofErr w:type="gramStart"/>
            <w:r w:rsidRPr="00A108E6">
              <w:rPr>
                <w:sz w:val="22"/>
                <w:szCs w:val="18"/>
              </w:rPr>
              <w:t>T;</w:t>
            </w:r>
            <w:proofErr w:type="gramEnd"/>
          </w:p>
          <w:p w14:paraId="195FF642" w14:textId="77777777" w:rsidR="00A108E6" w:rsidRPr="00A108E6" w:rsidRDefault="00A108E6" w:rsidP="00421B0D">
            <w:pPr>
              <w:tabs>
                <w:tab w:val="clear" w:pos="794"/>
                <w:tab w:val="left" w:pos="4111"/>
              </w:tabs>
              <w:spacing w:before="0" w:after="60"/>
              <w:ind w:left="426" w:hanging="426"/>
              <w:rPr>
                <w:sz w:val="22"/>
                <w:szCs w:val="18"/>
              </w:rPr>
            </w:pPr>
            <w:r w:rsidRPr="00A108E6">
              <w:rPr>
                <w:sz w:val="22"/>
                <w:szCs w:val="18"/>
              </w:rPr>
              <w:t>–</w:t>
            </w:r>
            <w:r w:rsidRPr="00A108E6">
              <w:rPr>
                <w:sz w:val="22"/>
                <w:szCs w:val="18"/>
              </w:rPr>
              <w:tab/>
              <w:t xml:space="preserve">Aux établissements universitaires participant aux travaux de </w:t>
            </w:r>
            <w:proofErr w:type="gramStart"/>
            <w:r w:rsidRPr="00A108E6">
              <w:rPr>
                <w:sz w:val="22"/>
                <w:szCs w:val="18"/>
              </w:rPr>
              <w:t>l'UIT;</w:t>
            </w:r>
            <w:proofErr w:type="gramEnd"/>
          </w:p>
          <w:p w14:paraId="11770B1C" w14:textId="77777777" w:rsidR="00A108E6" w:rsidRPr="00A108E6" w:rsidRDefault="00A108E6" w:rsidP="00421B0D">
            <w:pPr>
              <w:tabs>
                <w:tab w:val="clear" w:pos="794"/>
                <w:tab w:val="left" w:pos="4111"/>
              </w:tabs>
              <w:spacing w:before="0" w:after="60"/>
              <w:ind w:left="426" w:hanging="426"/>
              <w:rPr>
                <w:sz w:val="22"/>
                <w:szCs w:val="18"/>
              </w:rPr>
            </w:pPr>
            <w:r w:rsidRPr="00A108E6">
              <w:rPr>
                <w:sz w:val="22"/>
                <w:szCs w:val="18"/>
              </w:rPr>
              <w:t>–</w:t>
            </w:r>
            <w:r w:rsidRPr="00A108E6">
              <w:rPr>
                <w:sz w:val="22"/>
                <w:szCs w:val="18"/>
              </w:rPr>
              <w:tab/>
              <w:t>Au Président et aux Vice-Présidents de la Commission d'études 11 de l'UIT-</w:t>
            </w:r>
            <w:proofErr w:type="gramStart"/>
            <w:r w:rsidRPr="00A108E6">
              <w:rPr>
                <w:sz w:val="22"/>
                <w:szCs w:val="18"/>
              </w:rPr>
              <w:t>T;</w:t>
            </w:r>
            <w:proofErr w:type="gramEnd"/>
          </w:p>
          <w:p w14:paraId="1EF1EF71" w14:textId="77777777" w:rsidR="00A108E6" w:rsidRPr="00A108E6" w:rsidRDefault="00A108E6" w:rsidP="00421B0D">
            <w:pPr>
              <w:tabs>
                <w:tab w:val="clear" w:pos="794"/>
                <w:tab w:val="left" w:pos="4111"/>
              </w:tabs>
              <w:spacing w:before="0" w:after="60"/>
              <w:ind w:left="426" w:hanging="426"/>
              <w:rPr>
                <w:sz w:val="22"/>
                <w:szCs w:val="18"/>
              </w:rPr>
            </w:pPr>
            <w:r w:rsidRPr="00A108E6">
              <w:rPr>
                <w:sz w:val="22"/>
                <w:szCs w:val="18"/>
              </w:rPr>
              <w:t>–</w:t>
            </w:r>
            <w:r w:rsidRPr="00A108E6">
              <w:rPr>
                <w:sz w:val="22"/>
                <w:szCs w:val="18"/>
              </w:rPr>
              <w:tab/>
              <w:t xml:space="preserve">Au Directeur du Bureau de développement des </w:t>
            </w:r>
            <w:proofErr w:type="gramStart"/>
            <w:r w:rsidRPr="00A108E6">
              <w:rPr>
                <w:sz w:val="22"/>
                <w:szCs w:val="18"/>
              </w:rPr>
              <w:t>télécommunications;</w:t>
            </w:r>
            <w:proofErr w:type="gramEnd"/>
          </w:p>
          <w:p w14:paraId="7CB323BD" w14:textId="427B735B" w:rsidR="00A108E6" w:rsidRPr="00A108E6" w:rsidRDefault="00A108E6" w:rsidP="00421B0D">
            <w:pPr>
              <w:tabs>
                <w:tab w:val="left" w:pos="4111"/>
              </w:tabs>
              <w:spacing w:before="0" w:after="60"/>
              <w:ind w:left="426" w:hanging="426"/>
              <w:rPr>
                <w:sz w:val="22"/>
                <w:szCs w:val="18"/>
              </w:rPr>
            </w:pPr>
            <w:r w:rsidRPr="00A108E6">
              <w:rPr>
                <w:sz w:val="22"/>
                <w:szCs w:val="18"/>
              </w:rPr>
              <w:t>–</w:t>
            </w:r>
            <w:r w:rsidRPr="00A108E6">
              <w:rPr>
                <w:sz w:val="22"/>
                <w:szCs w:val="18"/>
              </w:rPr>
              <w:tab/>
              <w:t>Au Directeur du Bureau des radiocommunications</w:t>
            </w:r>
          </w:p>
        </w:tc>
      </w:tr>
      <w:tr w:rsidR="00A108E6" w:rsidRPr="00A108E6" w14:paraId="4BE4E93B" w14:textId="77777777" w:rsidTr="00A108E6">
        <w:trPr>
          <w:cantSplit/>
        </w:trPr>
        <w:tc>
          <w:tcPr>
            <w:tcW w:w="0" w:type="auto"/>
          </w:tcPr>
          <w:p w14:paraId="00F318D4" w14:textId="77777777" w:rsidR="00A108E6" w:rsidRPr="00A108E6" w:rsidRDefault="00A108E6" w:rsidP="00A108E6">
            <w:pPr>
              <w:tabs>
                <w:tab w:val="left" w:pos="4111"/>
              </w:tabs>
              <w:spacing w:before="10"/>
              <w:rPr>
                <w:sz w:val="18"/>
                <w:szCs w:val="18"/>
              </w:rPr>
            </w:pPr>
            <w:proofErr w:type="gramStart"/>
            <w:r w:rsidRPr="00A108E6">
              <w:rPr>
                <w:sz w:val="22"/>
                <w:szCs w:val="18"/>
              </w:rPr>
              <w:t>Tél.:</w:t>
            </w:r>
            <w:proofErr w:type="gramEnd"/>
          </w:p>
        </w:tc>
        <w:tc>
          <w:tcPr>
            <w:tcW w:w="3234" w:type="dxa"/>
          </w:tcPr>
          <w:p w14:paraId="090C1A9E" w14:textId="163710DB" w:rsidR="00A108E6" w:rsidRPr="00A108E6" w:rsidRDefault="00A108E6" w:rsidP="00A5280F">
            <w:pPr>
              <w:tabs>
                <w:tab w:val="left" w:pos="4111"/>
              </w:tabs>
              <w:spacing w:before="0"/>
              <w:ind w:left="57"/>
              <w:rPr>
                <w:sz w:val="22"/>
                <w:szCs w:val="18"/>
              </w:rPr>
            </w:pPr>
            <w:r w:rsidRPr="00A108E6">
              <w:rPr>
                <w:sz w:val="22"/>
                <w:szCs w:val="18"/>
              </w:rPr>
              <w:t>+41 22 730 5780</w:t>
            </w:r>
          </w:p>
        </w:tc>
        <w:tc>
          <w:tcPr>
            <w:tcW w:w="5216" w:type="dxa"/>
            <w:vMerge/>
          </w:tcPr>
          <w:p w14:paraId="3065C936" w14:textId="1A4C632B" w:rsidR="00A108E6" w:rsidRPr="00A108E6" w:rsidRDefault="00A108E6" w:rsidP="00FF5C16">
            <w:pPr>
              <w:tabs>
                <w:tab w:val="left" w:pos="4111"/>
              </w:tabs>
              <w:spacing w:before="0" w:after="120"/>
              <w:ind w:left="426" w:hanging="426"/>
              <w:rPr>
                <w:b/>
                <w:sz w:val="22"/>
                <w:szCs w:val="18"/>
              </w:rPr>
            </w:pPr>
          </w:p>
        </w:tc>
      </w:tr>
      <w:tr w:rsidR="00A108E6" w:rsidRPr="00A108E6" w14:paraId="6D82E5A4" w14:textId="77777777" w:rsidTr="00421B0D">
        <w:trPr>
          <w:cantSplit/>
          <w:trHeight w:val="3591"/>
        </w:trPr>
        <w:tc>
          <w:tcPr>
            <w:tcW w:w="0" w:type="auto"/>
            <w:tcBorders>
              <w:bottom w:val="nil"/>
            </w:tcBorders>
          </w:tcPr>
          <w:p w14:paraId="1E420802" w14:textId="77777777" w:rsidR="00A108E6" w:rsidRPr="00A108E6" w:rsidRDefault="00A108E6" w:rsidP="00A108E6">
            <w:pPr>
              <w:tabs>
                <w:tab w:val="left" w:pos="4111"/>
              </w:tabs>
              <w:spacing w:before="10"/>
              <w:rPr>
                <w:sz w:val="18"/>
                <w:szCs w:val="18"/>
              </w:rPr>
            </w:pPr>
            <w:proofErr w:type="gramStart"/>
            <w:r w:rsidRPr="00A108E6">
              <w:rPr>
                <w:sz w:val="22"/>
                <w:szCs w:val="18"/>
              </w:rPr>
              <w:t>Télécopie:</w:t>
            </w:r>
            <w:proofErr w:type="gramEnd"/>
          </w:p>
          <w:p w14:paraId="27D45F01" w14:textId="663A0952" w:rsidR="00A108E6" w:rsidRPr="00A108E6" w:rsidRDefault="00A108E6" w:rsidP="00A108E6">
            <w:pPr>
              <w:tabs>
                <w:tab w:val="left" w:pos="4111"/>
              </w:tabs>
              <w:spacing w:before="10"/>
              <w:rPr>
                <w:sz w:val="18"/>
                <w:szCs w:val="18"/>
              </w:rPr>
            </w:pPr>
            <w:proofErr w:type="gramStart"/>
            <w:r w:rsidRPr="00A108E6">
              <w:rPr>
                <w:sz w:val="22"/>
                <w:szCs w:val="18"/>
              </w:rPr>
              <w:t>Courriel:</w:t>
            </w:r>
            <w:proofErr w:type="gramEnd"/>
          </w:p>
        </w:tc>
        <w:tc>
          <w:tcPr>
            <w:tcW w:w="3234" w:type="dxa"/>
            <w:tcBorders>
              <w:bottom w:val="nil"/>
            </w:tcBorders>
          </w:tcPr>
          <w:p w14:paraId="0BE0E67C" w14:textId="77777777" w:rsidR="00A108E6" w:rsidRPr="00A108E6" w:rsidRDefault="00A108E6" w:rsidP="00A5280F">
            <w:pPr>
              <w:tabs>
                <w:tab w:val="left" w:pos="4111"/>
              </w:tabs>
              <w:spacing w:before="0"/>
              <w:ind w:left="57"/>
              <w:rPr>
                <w:sz w:val="22"/>
                <w:szCs w:val="18"/>
              </w:rPr>
            </w:pPr>
            <w:r w:rsidRPr="00A108E6">
              <w:rPr>
                <w:sz w:val="22"/>
                <w:szCs w:val="18"/>
              </w:rPr>
              <w:t>+41 22 730 5853</w:t>
            </w:r>
          </w:p>
          <w:p w14:paraId="194D6E00" w14:textId="4DF6CD28" w:rsidR="00A108E6" w:rsidRPr="00A108E6" w:rsidRDefault="00A108E6" w:rsidP="00F24C90">
            <w:pPr>
              <w:tabs>
                <w:tab w:val="left" w:pos="4111"/>
              </w:tabs>
              <w:spacing w:before="0"/>
              <w:ind w:left="57"/>
              <w:rPr>
                <w:sz w:val="22"/>
                <w:szCs w:val="18"/>
              </w:rPr>
            </w:pPr>
            <w:hyperlink r:id="rId9" w:history="1">
              <w:r w:rsidRPr="00A108E6">
                <w:rPr>
                  <w:rStyle w:val="Hyperlink"/>
                  <w:sz w:val="22"/>
                  <w:szCs w:val="18"/>
                </w:rPr>
                <w:t>tsbsg11@itu.int</w:t>
              </w:r>
            </w:hyperlink>
          </w:p>
        </w:tc>
        <w:tc>
          <w:tcPr>
            <w:tcW w:w="5216" w:type="dxa"/>
            <w:vMerge/>
            <w:tcBorders>
              <w:bottom w:val="nil"/>
            </w:tcBorders>
          </w:tcPr>
          <w:p w14:paraId="4A81B829" w14:textId="2533201B" w:rsidR="00A108E6" w:rsidRPr="00A108E6" w:rsidRDefault="00A108E6" w:rsidP="00FF5C16">
            <w:pPr>
              <w:tabs>
                <w:tab w:val="left" w:pos="4111"/>
              </w:tabs>
              <w:spacing w:before="0" w:after="120"/>
              <w:ind w:left="426" w:hanging="426"/>
              <w:rPr>
                <w:b/>
                <w:sz w:val="22"/>
                <w:szCs w:val="18"/>
              </w:rPr>
            </w:pPr>
          </w:p>
        </w:tc>
      </w:tr>
      <w:tr w:rsidR="00F24C90" w:rsidRPr="00A108E6" w14:paraId="6E08E7F7" w14:textId="77777777" w:rsidTr="00C41B89">
        <w:trPr>
          <w:cantSplit/>
          <w:trHeight w:val="397"/>
        </w:trPr>
        <w:tc>
          <w:tcPr>
            <w:tcW w:w="0" w:type="auto"/>
          </w:tcPr>
          <w:p w14:paraId="0929D296" w14:textId="77777777" w:rsidR="00F24C90" w:rsidRPr="00A108E6" w:rsidRDefault="00F24C90" w:rsidP="00A108E6">
            <w:pPr>
              <w:tabs>
                <w:tab w:val="left" w:pos="4111"/>
              </w:tabs>
              <w:spacing w:before="0"/>
              <w:rPr>
                <w:b/>
                <w:bCs/>
                <w:sz w:val="22"/>
              </w:rPr>
            </w:pPr>
            <w:proofErr w:type="gramStart"/>
            <w:r w:rsidRPr="00A108E6">
              <w:rPr>
                <w:b/>
                <w:bCs/>
                <w:sz w:val="22"/>
              </w:rPr>
              <w:t>Objet:</w:t>
            </w:r>
            <w:proofErr w:type="gramEnd"/>
          </w:p>
        </w:tc>
        <w:tc>
          <w:tcPr>
            <w:tcW w:w="0" w:type="auto"/>
            <w:gridSpan w:val="2"/>
          </w:tcPr>
          <w:p w14:paraId="24806E01" w14:textId="4D52F63A" w:rsidR="00F24C90" w:rsidRPr="00A108E6" w:rsidRDefault="00F24C90" w:rsidP="00A108E6">
            <w:pPr>
              <w:tabs>
                <w:tab w:val="left" w:pos="4111"/>
              </w:tabs>
              <w:spacing w:before="0" w:after="120"/>
              <w:ind w:left="57"/>
              <w:rPr>
                <w:b/>
                <w:bCs/>
                <w:sz w:val="22"/>
              </w:rPr>
            </w:pPr>
            <w:r w:rsidRPr="00A108E6">
              <w:rPr>
                <w:b/>
                <w:bCs/>
                <w:sz w:val="22"/>
              </w:rPr>
              <w:t xml:space="preserve">Consultation des États Membres au sujet du texte déterminé des projets de Recommandations UIT-T Q.5055 (anciennement </w:t>
            </w:r>
            <w:proofErr w:type="gramStart"/>
            <w:r w:rsidRPr="00A108E6">
              <w:rPr>
                <w:b/>
                <w:bCs/>
                <w:sz w:val="22"/>
              </w:rPr>
              <w:t>Q.CEIR</w:t>
            </w:r>
            <w:proofErr w:type="gramEnd"/>
            <w:r w:rsidRPr="00A108E6">
              <w:rPr>
                <w:b/>
                <w:bCs/>
                <w:sz w:val="22"/>
              </w:rPr>
              <w:t>) et UIT-T Q.5056 (anciennement Q.FC-MCM) qu'il est proposé d'approuver à la réunion de la Commission d'études 11 de l'UIT-T (prévue à Genève, du 17 au 26 novembre 2025)</w:t>
            </w:r>
          </w:p>
        </w:tc>
      </w:tr>
    </w:tbl>
    <w:p w14:paraId="66B7D322" w14:textId="77777777" w:rsidR="00517A03" w:rsidRPr="00A108E6" w:rsidRDefault="00517A03" w:rsidP="00A108E6">
      <w:pPr>
        <w:spacing w:before="100"/>
        <w:rPr>
          <w:sz w:val="22"/>
          <w:szCs w:val="18"/>
        </w:rPr>
      </w:pPr>
      <w:bookmarkStart w:id="1" w:name="StartTyping_F"/>
      <w:bookmarkEnd w:id="1"/>
      <w:r w:rsidRPr="00A108E6">
        <w:rPr>
          <w:sz w:val="22"/>
          <w:szCs w:val="18"/>
        </w:rPr>
        <w:t>Madame, Monsieur,</w:t>
      </w:r>
    </w:p>
    <w:p w14:paraId="74F67BEE" w14:textId="7655E9D4" w:rsidR="00E21B7F" w:rsidRPr="00A108E6" w:rsidRDefault="00E21B7F" w:rsidP="00A108E6">
      <w:pPr>
        <w:spacing w:before="100"/>
        <w:rPr>
          <w:bCs/>
          <w:sz w:val="22"/>
          <w:szCs w:val="18"/>
        </w:rPr>
      </w:pPr>
      <w:r w:rsidRPr="00A108E6">
        <w:rPr>
          <w:bCs/>
          <w:sz w:val="22"/>
          <w:szCs w:val="18"/>
        </w:rPr>
        <w:t>1</w:t>
      </w:r>
      <w:r w:rsidRPr="00A108E6">
        <w:rPr>
          <w:bCs/>
          <w:sz w:val="22"/>
          <w:szCs w:val="18"/>
        </w:rPr>
        <w:tab/>
        <w:t>La Commission d'études 11 de l'UIT-T (Exigences de signalisation, protocoles, spécifications de test et lutte contre la contrefaçon des dispositifs de télécommunication/TIC) a l'intention d'appliquer la procédure d'approbation traditionnelle énoncée à la section 9 de la Résolution 1 (Rév. Genève, 2022) de l'AMNT pour l'approbation des projets de Recommandations mentionnés ci-dessus, à sa prochaine réunion, qui se tiendra à Genève du 17 au 26 novembre 2025. L'ordre du jour ainsi que tous les renseignements pertinents concernant la réunion de la Commission d'études 11 de l'UIT-T seront mis à disposition en temps utile.</w:t>
      </w:r>
    </w:p>
    <w:p w14:paraId="2EFD60A2" w14:textId="4A9ED2ED" w:rsidR="00E21B7F" w:rsidRPr="00A108E6" w:rsidRDefault="00E21B7F" w:rsidP="00A108E6">
      <w:pPr>
        <w:pStyle w:val="Note"/>
        <w:spacing w:before="100"/>
        <w:rPr>
          <w:sz w:val="22"/>
          <w:szCs w:val="18"/>
        </w:rPr>
      </w:pPr>
      <w:r w:rsidRPr="00A108E6">
        <w:rPr>
          <w:sz w:val="22"/>
          <w:szCs w:val="18"/>
        </w:rPr>
        <w:t>NOTE – Le projet de nouvelle Recommandation UIT-T Q.5055 (anciennement Q.CEIR), qui a fait l</w:t>
      </w:r>
      <w:r w:rsidR="00B714ED" w:rsidRPr="00A108E6">
        <w:rPr>
          <w:sz w:val="22"/>
          <w:szCs w:val="18"/>
        </w:rPr>
        <w:t>'</w:t>
      </w:r>
      <w:r w:rsidRPr="00A108E6">
        <w:rPr>
          <w:sz w:val="22"/>
          <w:szCs w:val="18"/>
        </w:rPr>
        <w:t>objet d</w:t>
      </w:r>
      <w:r w:rsidR="00B714ED" w:rsidRPr="00A108E6">
        <w:rPr>
          <w:sz w:val="22"/>
          <w:szCs w:val="18"/>
        </w:rPr>
        <w:t>'</w:t>
      </w:r>
      <w:r w:rsidRPr="00A108E6">
        <w:rPr>
          <w:sz w:val="22"/>
          <w:szCs w:val="18"/>
        </w:rPr>
        <w:t>un consentement à la réunion de la CE 11 tenue en mai 2024, a modifié la procédure d</w:t>
      </w:r>
      <w:r w:rsidR="00B714ED" w:rsidRPr="00A108E6">
        <w:rPr>
          <w:sz w:val="22"/>
          <w:szCs w:val="18"/>
        </w:rPr>
        <w:t>'</w:t>
      </w:r>
      <w:r w:rsidRPr="00A108E6">
        <w:rPr>
          <w:sz w:val="22"/>
          <w:szCs w:val="18"/>
        </w:rPr>
        <w:t>approbation de sorte que ce texte soit approuvé selon la procédure d</w:t>
      </w:r>
      <w:r w:rsidR="00B714ED" w:rsidRPr="00A108E6">
        <w:rPr>
          <w:sz w:val="22"/>
          <w:szCs w:val="18"/>
        </w:rPr>
        <w:t>'</w:t>
      </w:r>
      <w:r w:rsidRPr="00A108E6">
        <w:rPr>
          <w:sz w:val="22"/>
          <w:szCs w:val="18"/>
        </w:rPr>
        <w:t>approbation traditionnelle (TAP) conformément au paragraphe 5.2 de la Recommandation UIT-T A.8.</w:t>
      </w:r>
    </w:p>
    <w:p w14:paraId="4970F467" w14:textId="1094964F" w:rsidR="00E21B7F" w:rsidRPr="00A108E6" w:rsidRDefault="00E21B7F" w:rsidP="00A108E6">
      <w:pPr>
        <w:spacing w:before="100"/>
        <w:rPr>
          <w:bCs/>
          <w:sz w:val="22"/>
          <w:szCs w:val="18"/>
        </w:rPr>
      </w:pPr>
      <w:r w:rsidRPr="00A108E6">
        <w:rPr>
          <w:bCs/>
          <w:sz w:val="22"/>
          <w:szCs w:val="18"/>
        </w:rPr>
        <w:t>2</w:t>
      </w:r>
      <w:r w:rsidRPr="00A108E6">
        <w:rPr>
          <w:bCs/>
          <w:sz w:val="22"/>
          <w:szCs w:val="18"/>
        </w:rPr>
        <w:tab/>
        <w:t>Vous trouverez dans l'</w:t>
      </w:r>
      <w:r w:rsidRPr="00A108E6">
        <w:rPr>
          <w:b/>
          <w:sz w:val="22"/>
          <w:szCs w:val="18"/>
        </w:rPr>
        <w:t>Annexe 1</w:t>
      </w:r>
      <w:r w:rsidRPr="00A108E6">
        <w:rPr>
          <w:bCs/>
          <w:sz w:val="22"/>
          <w:szCs w:val="18"/>
        </w:rPr>
        <w:t xml:space="preserve"> les titres, les résumés et l'emplacement des projets de Recommandation UIT-T qu'il est proposé d'approuver.</w:t>
      </w:r>
    </w:p>
    <w:p w14:paraId="0D5CED2F" w14:textId="6429A0AD" w:rsidR="00E21B7F" w:rsidRPr="00A108E6" w:rsidRDefault="00E21B7F" w:rsidP="00A108E6">
      <w:pPr>
        <w:keepNext/>
        <w:keepLines/>
        <w:spacing w:before="100"/>
        <w:rPr>
          <w:bCs/>
          <w:sz w:val="22"/>
          <w:szCs w:val="18"/>
        </w:rPr>
      </w:pPr>
      <w:r w:rsidRPr="00A108E6">
        <w:rPr>
          <w:bCs/>
          <w:sz w:val="22"/>
          <w:szCs w:val="18"/>
        </w:rPr>
        <w:t>3</w:t>
      </w:r>
      <w:r w:rsidRPr="00A108E6">
        <w:rPr>
          <w:bCs/>
          <w:sz w:val="22"/>
          <w:szCs w:val="18"/>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w:t>
      </w:r>
      <w:r w:rsidR="00B714ED" w:rsidRPr="00A108E6">
        <w:rPr>
          <w:bCs/>
          <w:sz w:val="22"/>
          <w:szCs w:val="18"/>
        </w:rPr>
        <w:t xml:space="preserve"> </w:t>
      </w:r>
      <w:r w:rsidRPr="00A108E6">
        <w:rPr>
          <w:bCs/>
          <w:sz w:val="22"/>
          <w:szCs w:val="18"/>
        </w:rPr>
        <w:t>États Membres sont priés de remplir le formulaire de l'</w:t>
      </w:r>
      <w:r w:rsidRPr="00A108E6">
        <w:rPr>
          <w:b/>
          <w:sz w:val="22"/>
          <w:szCs w:val="18"/>
        </w:rPr>
        <w:t>Annexe 2</w:t>
      </w:r>
      <w:r w:rsidRPr="00A108E6">
        <w:rPr>
          <w:bCs/>
          <w:sz w:val="22"/>
          <w:szCs w:val="18"/>
        </w:rPr>
        <w:t xml:space="preserve"> et de le renvoyer d'ici au </w:t>
      </w:r>
      <w:r w:rsidRPr="00A108E6">
        <w:rPr>
          <w:b/>
          <w:sz w:val="22"/>
          <w:szCs w:val="18"/>
        </w:rPr>
        <w:t>5 novembre 2025</w:t>
      </w:r>
      <w:r w:rsidRPr="00A108E6">
        <w:rPr>
          <w:bCs/>
          <w:sz w:val="22"/>
          <w:szCs w:val="18"/>
        </w:rPr>
        <w:t xml:space="preserve"> à 23 h 59 (UTC).</w:t>
      </w:r>
    </w:p>
    <w:p w14:paraId="352BA87A" w14:textId="2A6D65F3" w:rsidR="00307FB4" w:rsidRDefault="00E21B7F" w:rsidP="00A108E6">
      <w:pPr>
        <w:spacing w:before="100"/>
        <w:rPr>
          <w:bCs/>
          <w:sz w:val="22"/>
          <w:szCs w:val="18"/>
        </w:rPr>
      </w:pPr>
      <w:r w:rsidRPr="00A108E6">
        <w:rPr>
          <w:bCs/>
          <w:sz w:val="22"/>
          <w:szCs w:val="18"/>
        </w:rPr>
        <w:t>4</w:t>
      </w:r>
      <w:r w:rsidRPr="00A108E6">
        <w:rPr>
          <w:bCs/>
          <w:sz w:val="22"/>
          <w:szCs w:val="18"/>
        </w:rPr>
        <w:tab/>
        <w:t>Si au moins 70% des réponses des États Membres sont en faveur de l'examen, aux fins d'approbation, de ce texte,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7AB17258" w14:textId="77777777" w:rsidR="00421B0D" w:rsidRPr="00A108E6" w:rsidRDefault="00421B0D" w:rsidP="00A108E6">
      <w:pPr>
        <w:spacing w:before="100"/>
        <w:rPr>
          <w:bCs/>
          <w:sz w:val="22"/>
          <w:szCs w:val="18"/>
        </w:rPr>
      </w:pPr>
    </w:p>
    <w:p w14:paraId="66EB2417" w14:textId="77777777" w:rsidR="00307FB4" w:rsidRPr="00A108E6" w:rsidRDefault="00307FB4" w:rsidP="00A108E6">
      <w:pPr>
        <w:spacing w:before="100"/>
        <w:rPr>
          <w:bCs/>
          <w:sz w:val="22"/>
          <w:szCs w:val="18"/>
        </w:rPr>
      </w:pPr>
      <w:r w:rsidRPr="00A108E6">
        <w:rPr>
          <w:bCs/>
          <w:sz w:val="22"/>
          <w:szCs w:val="18"/>
        </w:rPr>
        <w:lastRenderedPageBreak/>
        <w:t>Veuillez agréer, Madame, Monsieur, l'assurance de ma considération distinguée.</w:t>
      </w:r>
    </w:p>
    <w:p w14:paraId="1FE86AEC" w14:textId="2C899B9D" w:rsidR="002937DB" w:rsidRPr="00A108E6" w:rsidRDefault="00F839E0" w:rsidP="00A108E6">
      <w:pPr>
        <w:spacing w:before="720"/>
        <w:rPr>
          <w:bCs/>
          <w:sz w:val="22"/>
          <w:szCs w:val="18"/>
        </w:rPr>
      </w:pPr>
      <w:r>
        <w:rPr>
          <w:bCs/>
          <w:noProof/>
          <w:sz w:val="22"/>
          <w:szCs w:val="18"/>
        </w:rPr>
        <w:drawing>
          <wp:anchor distT="0" distB="0" distL="114300" distR="114300" simplePos="0" relativeHeight="251658240" behindDoc="0" locked="0" layoutInCell="1" allowOverlap="1" wp14:anchorId="590F78ED" wp14:editId="36238E75">
            <wp:simplePos x="0" y="0"/>
            <wp:positionH relativeFrom="margin">
              <wp:align>left</wp:align>
            </wp:positionH>
            <wp:positionV relativeFrom="paragraph">
              <wp:posOffset>92075</wp:posOffset>
            </wp:positionV>
            <wp:extent cx="692150" cy="330200"/>
            <wp:effectExtent l="0" t="0" r="0" b="0"/>
            <wp:wrapNone/>
            <wp:docPr id="12311465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4659" name="Picture 1" descr="A black text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92150" cy="330200"/>
                    </a:xfrm>
                    <a:prstGeom prst="rect">
                      <a:avLst/>
                    </a:prstGeom>
                  </pic:spPr>
                </pic:pic>
              </a:graphicData>
            </a:graphic>
          </wp:anchor>
        </w:drawing>
      </w:r>
      <w:r w:rsidR="00307FB4" w:rsidRPr="00A108E6">
        <w:rPr>
          <w:bCs/>
          <w:sz w:val="22"/>
          <w:szCs w:val="18"/>
        </w:rPr>
        <w:t>Seizo Onoe</w:t>
      </w:r>
      <w:r w:rsidR="00B60868" w:rsidRPr="00A108E6">
        <w:rPr>
          <w:bCs/>
          <w:sz w:val="22"/>
          <w:szCs w:val="18"/>
        </w:rPr>
        <w:br/>
      </w:r>
      <w:r w:rsidR="00307FB4" w:rsidRPr="00A108E6">
        <w:rPr>
          <w:bCs/>
          <w:sz w:val="22"/>
          <w:szCs w:val="18"/>
        </w:rPr>
        <w:t>Directeur du Bureau de la normalisation</w:t>
      </w:r>
      <w:r w:rsidR="00B60868" w:rsidRPr="00A108E6">
        <w:rPr>
          <w:bCs/>
          <w:sz w:val="22"/>
          <w:szCs w:val="18"/>
        </w:rPr>
        <w:br/>
      </w:r>
      <w:r w:rsidR="00307FB4" w:rsidRPr="00A108E6">
        <w:rPr>
          <w:bCs/>
          <w:sz w:val="22"/>
          <w:szCs w:val="18"/>
        </w:rPr>
        <w:t>des télécommunications</w:t>
      </w:r>
    </w:p>
    <w:p w14:paraId="5A861D6A" w14:textId="641BCCDE" w:rsidR="00E21B7F" w:rsidRPr="00A108E6" w:rsidRDefault="00E21B7F" w:rsidP="00A108E6">
      <w:pPr>
        <w:tabs>
          <w:tab w:val="clear" w:pos="794"/>
          <w:tab w:val="clear" w:pos="1191"/>
          <w:tab w:val="clear" w:pos="1588"/>
          <w:tab w:val="clear" w:pos="1985"/>
        </w:tabs>
        <w:overflowPunct/>
        <w:autoSpaceDE/>
        <w:autoSpaceDN/>
        <w:adjustRightInd/>
        <w:spacing w:before="240"/>
        <w:textAlignment w:val="auto"/>
        <w:rPr>
          <w:bCs/>
          <w:sz w:val="22"/>
          <w:szCs w:val="18"/>
        </w:rPr>
      </w:pPr>
      <w:proofErr w:type="gramStart"/>
      <w:r w:rsidRPr="00A108E6">
        <w:rPr>
          <w:b/>
          <w:sz w:val="22"/>
          <w:szCs w:val="18"/>
        </w:rPr>
        <w:t>Annexes</w:t>
      </w:r>
      <w:r w:rsidRPr="00A108E6">
        <w:rPr>
          <w:bCs/>
          <w:sz w:val="22"/>
          <w:szCs w:val="18"/>
        </w:rPr>
        <w:t>:</w:t>
      </w:r>
      <w:proofErr w:type="gramEnd"/>
      <w:r w:rsidR="00BB094B" w:rsidRPr="00A108E6">
        <w:rPr>
          <w:bCs/>
          <w:sz w:val="22"/>
          <w:szCs w:val="18"/>
        </w:rPr>
        <w:t xml:space="preserve"> </w:t>
      </w:r>
      <w:r w:rsidRPr="00A108E6">
        <w:rPr>
          <w:bCs/>
          <w:sz w:val="22"/>
          <w:szCs w:val="18"/>
        </w:rPr>
        <w:t>2</w:t>
      </w:r>
    </w:p>
    <w:p w14:paraId="325AB5FA" w14:textId="7CAB8123" w:rsidR="002937DB" w:rsidRPr="00A108E6" w:rsidRDefault="002937DB">
      <w:pPr>
        <w:tabs>
          <w:tab w:val="clear" w:pos="794"/>
          <w:tab w:val="clear" w:pos="1191"/>
          <w:tab w:val="clear" w:pos="1588"/>
          <w:tab w:val="clear" w:pos="1985"/>
        </w:tabs>
        <w:overflowPunct/>
        <w:autoSpaceDE/>
        <w:autoSpaceDN/>
        <w:adjustRightInd/>
        <w:spacing w:before="0"/>
        <w:textAlignment w:val="auto"/>
        <w:rPr>
          <w:bCs/>
          <w:sz w:val="22"/>
          <w:szCs w:val="18"/>
        </w:rPr>
      </w:pPr>
      <w:r w:rsidRPr="00A108E6">
        <w:rPr>
          <w:bCs/>
          <w:sz w:val="22"/>
          <w:szCs w:val="18"/>
        </w:rPr>
        <w:br w:type="page"/>
      </w:r>
    </w:p>
    <w:p w14:paraId="2F7BD664" w14:textId="18E39A29" w:rsidR="00D4652B" w:rsidRPr="00FF5C16" w:rsidRDefault="00D4652B" w:rsidP="009148EC">
      <w:pPr>
        <w:pStyle w:val="AnnexTitle"/>
        <w:rPr>
          <w:sz w:val="28"/>
          <w:szCs w:val="28"/>
        </w:rPr>
      </w:pPr>
      <w:r w:rsidRPr="00FF5C16">
        <w:rPr>
          <w:sz w:val="28"/>
          <w:szCs w:val="28"/>
        </w:rPr>
        <w:lastRenderedPageBreak/>
        <w:t>Annexe 1</w:t>
      </w:r>
      <w:r w:rsidRPr="00FF5C16">
        <w:rPr>
          <w:sz w:val="28"/>
          <w:szCs w:val="28"/>
        </w:rPr>
        <w:br/>
        <w:t>Résumé et emplacement du texte déterminé des projets de Recommandations UIT</w:t>
      </w:r>
      <w:r w:rsidR="009148EC" w:rsidRPr="00FF5C16">
        <w:rPr>
          <w:sz w:val="28"/>
          <w:szCs w:val="28"/>
        </w:rPr>
        <w:noBreakHyphen/>
      </w:r>
      <w:r w:rsidRPr="00FF5C16">
        <w:rPr>
          <w:sz w:val="28"/>
          <w:szCs w:val="28"/>
        </w:rPr>
        <w:t xml:space="preserve">T Q.5055 (anciennement </w:t>
      </w:r>
      <w:proofErr w:type="gramStart"/>
      <w:r w:rsidRPr="00FF5C16">
        <w:rPr>
          <w:sz w:val="28"/>
          <w:szCs w:val="28"/>
        </w:rPr>
        <w:t>Q.CEIR</w:t>
      </w:r>
      <w:proofErr w:type="gramEnd"/>
      <w:r w:rsidRPr="00FF5C16">
        <w:rPr>
          <w:sz w:val="28"/>
          <w:szCs w:val="28"/>
        </w:rPr>
        <w:t>) et UIT-T Q. 5056</w:t>
      </w:r>
      <w:r w:rsidR="009148EC" w:rsidRPr="00FF5C16">
        <w:rPr>
          <w:sz w:val="28"/>
          <w:szCs w:val="28"/>
        </w:rPr>
        <w:br/>
      </w:r>
      <w:r w:rsidRPr="00FF5C16">
        <w:rPr>
          <w:sz w:val="28"/>
          <w:szCs w:val="28"/>
        </w:rPr>
        <w:t>(anciennement Q.FC-MCM)</w:t>
      </w:r>
    </w:p>
    <w:p w14:paraId="3CDC7E83" w14:textId="475F88FC" w:rsidR="00D4652B" w:rsidRPr="00FF5C16" w:rsidRDefault="00D4652B" w:rsidP="00D4652B">
      <w:pPr>
        <w:pStyle w:val="Note"/>
        <w:rPr>
          <w:i/>
          <w:iCs/>
        </w:rPr>
      </w:pPr>
      <w:r w:rsidRPr="00FF5C16">
        <w:rPr>
          <w:i/>
          <w:iCs/>
        </w:rPr>
        <w:t>Note – À la suite d</w:t>
      </w:r>
      <w:r w:rsidR="00B714ED" w:rsidRPr="00FF5C16">
        <w:rPr>
          <w:i/>
          <w:iCs/>
        </w:rPr>
        <w:t>'</w:t>
      </w:r>
      <w:r w:rsidRPr="00FF5C16">
        <w:rPr>
          <w:i/>
          <w:iCs/>
        </w:rPr>
        <w:t>une demande formulée lors de la séance plénière de clôture de la CE 11, le 28 février 2025, les États Membres sont également invités à formuler leurs observations éventuelles concernant l</w:t>
      </w:r>
      <w:r w:rsidR="00B714ED" w:rsidRPr="00FF5C16">
        <w:rPr>
          <w:i/>
          <w:iCs/>
        </w:rPr>
        <w:t>'</w:t>
      </w:r>
      <w:r w:rsidRPr="00FF5C16">
        <w:rPr>
          <w:i/>
          <w:iCs/>
        </w:rPr>
        <w:t xml:space="preserve">utilisation des mots </w:t>
      </w:r>
      <w:r w:rsidR="00B714ED" w:rsidRPr="00FF5C16">
        <w:rPr>
          <w:i/>
          <w:iCs/>
        </w:rPr>
        <w:t>"</w:t>
      </w:r>
      <w:r w:rsidRPr="00FF5C16">
        <w:rPr>
          <w:i/>
          <w:iCs/>
        </w:rPr>
        <w:t>legal</w:t>
      </w:r>
      <w:r w:rsidR="00B714ED" w:rsidRPr="00FF5C16">
        <w:rPr>
          <w:i/>
          <w:iCs/>
        </w:rPr>
        <w:t>"</w:t>
      </w:r>
      <w:r w:rsidRPr="00FF5C16">
        <w:rPr>
          <w:i/>
          <w:iCs/>
        </w:rPr>
        <w:t xml:space="preserve"> et</w:t>
      </w:r>
      <w:r w:rsidR="00B714ED" w:rsidRPr="00FF5C16">
        <w:rPr>
          <w:i/>
          <w:iCs/>
        </w:rPr>
        <w:t xml:space="preserve"> "</w:t>
      </w:r>
      <w:r w:rsidRPr="00FF5C16">
        <w:rPr>
          <w:i/>
          <w:iCs/>
        </w:rPr>
        <w:t>illegal</w:t>
      </w:r>
      <w:r w:rsidR="00B714ED" w:rsidRPr="00FF5C16">
        <w:rPr>
          <w:i/>
          <w:iCs/>
        </w:rPr>
        <w:t>"</w:t>
      </w:r>
      <w:r w:rsidRPr="00FF5C16">
        <w:rPr>
          <w:i/>
          <w:iCs/>
        </w:rPr>
        <w:t xml:space="preserve"> dans ces projets de Recommandation.</w:t>
      </w:r>
    </w:p>
    <w:p w14:paraId="71EE4CAA" w14:textId="18CBC2DC" w:rsidR="00D4652B" w:rsidRPr="00FF5C16" w:rsidRDefault="00D4652B" w:rsidP="00D4652B">
      <w:pPr>
        <w:pStyle w:val="Heading1"/>
      </w:pPr>
      <w:r w:rsidRPr="00FF5C16">
        <w:t>1</w:t>
      </w:r>
      <w:r w:rsidRPr="00FF5C16">
        <w:tab/>
        <w:t>Projet de nouvelle Recommandation UIT-T Q.5055 (anciennement Q.CEIR) [</w:t>
      </w:r>
      <w:hyperlink r:id="rId11" w:history="1">
        <w:r w:rsidRPr="00FF5C16">
          <w:rPr>
            <w:rStyle w:val="Hyperlink"/>
          </w:rPr>
          <w:t>SG11-R5</w:t>
        </w:r>
      </w:hyperlink>
      <w:r w:rsidRPr="00FF5C16">
        <w:t>]</w:t>
      </w:r>
    </w:p>
    <w:p w14:paraId="5E00173B" w14:textId="66601AC1" w:rsidR="00D4652B" w:rsidRPr="00FF5C16" w:rsidRDefault="00D4652B" w:rsidP="00D4652B">
      <w:pPr>
        <w:rPr>
          <w:bCs/>
        </w:rPr>
      </w:pPr>
      <w:r w:rsidRPr="00FF5C16">
        <w:rPr>
          <w:bCs/>
        </w:rPr>
        <w:t>Prescriptions techniques, interfaces et fonctions génériques des registres centraux d'identités d'équipements (CEIR)</w:t>
      </w:r>
    </w:p>
    <w:p w14:paraId="44882DD7" w14:textId="77777777" w:rsidR="00D4652B" w:rsidRPr="00FF5C16" w:rsidRDefault="00D4652B" w:rsidP="00D4652B">
      <w:pPr>
        <w:pStyle w:val="headingb"/>
      </w:pPr>
      <w:r w:rsidRPr="00FF5C16">
        <w:t>Résumé</w:t>
      </w:r>
    </w:p>
    <w:p w14:paraId="3753712A" w14:textId="34623ABC" w:rsidR="00D4652B" w:rsidRPr="00FF5C16" w:rsidRDefault="00D4652B" w:rsidP="00D4652B">
      <w:pPr>
        <w:rPr>
          <w:bCs/>
        </w:rPr>
      </w:pPr>
      <w:r w:rsidRPr="00FF5C16">
        <w:rPr>
          <w:bCs/>
        </w:rPr>
        <w:t>Compte tenu de l</w:t>
      </w:r>
      <w:r w:rsidR="00B714ED" w:rsidRPr="00FF5C16">
        <w:rPr>
          <w:bCs/>
        </w:rPr>
        <w:t>'</w:t>
      </w:r>
      <w:r w:rsidRPr="00FF5C16">
        <w:rPr>
          <w:bCs/>
        </w:rPr>
        <w:t>adoption de plus en plus large des dispositifs de communication mobiles, les cas de vols de dispositifs mobiles, de duplication d'identités internationales d</w:t>
      </w:r>
      <w:r w:rsidR="00B714ED" w:rsidRPr="00FF5C16">
        <w:rPr>
          <w:bCs/>
        </w:rPr>
        <w:t>'</w:t>
      </w:r>
      <w:r w:rsidRPr="00FF5C16">
        <w:rPr>
          <w:bCs/>
        </w:rPr>
        <w:t>équipement mobile (IMEI) et d</w:t>
      </w:r>
      <w:r w:rsidR="00B714ED" w:rsidRPr="00FF5C16">
        <w:rPr>
          <w:bCs/>
        </w:rPr>
        <w:t>'</w:t>
      </w:r>
      <w:r w:rsidRPr="00FF5C16">
        <w:rPr>
          <w:bCs/>
        </w:rPr>
        <w:t>utilisation de dispositifs mobiles de contrefaçon sont en augmentation à travers le monde. Afin d</w:t>
      </w:r>
      <w:r w:rsidR="00B714ED" w:rsidRPr="00FF5C16">
        <w:rPr>
          <w:bCs/>
        </w:rPr>
        <w:t>'</w:t>
      </w:r>
      <w:r w:rsidRPr="00FF5C16">
        <w:rPr>
          <w:bCs/>
        </w:rPr>
        <w:t>empêcher l</w:t>
      </w:r>
      <w:r w:rsidR="00B714ED" w:rsidRPr="00FF5C16">
        <w:rPr>
          <w:bCs/>
        </w:rPr>
        <w:t>'</w:t>
      </w:r>
      <w:r w:rsidRPr="00FF5C16">
        <w:rPr>
          <w:bCs/>
        </w:rPr>
        <w:t>utilisation de ces dispositifs illicites, les Recommandations UIT-T Q.5050, Q.5051 et Q.5052 préconisent, entre autres mesures possibles, que l'opérateur de réseau mobile bloque l</w:t>
      </w:r>
      <w:r w:rsidR="00B714ED" w:rsidRPr="00FF5C16">
        <w:rPr>
          <w:bCs/>
        </w:rPr>
        <w:t>'</w:t>
      </w:r>
      <w:r w:rsidRPr="00FF5C16">
        <w:rPr>
          <w:bCs/>
        </w:rPr>
        <w:t>identifiant unique du dispositif mobile illicite dans le registre d'identités d'équipements (EIR), et crée un ensemble de listes de contrôle des dispositifs (par exemple liste des dispositifs autorisés, liste des dispositifs surveillés et liste des dispositifs bloqués) pour gérer ce processus.</w:t>
      </w:r>
    </w:p>
    <w:p w14:paraId="17292CDB" w14:textId="24302D69" w:rsidR="00D4652B" w:rsidRPr="00FF5C16" w:rsidRDefault="00D4652B" w:rsidP="00D4652B">
      <w:pPr>
        <w:rPr>
          <w:bCs/>
        </w:rPr>
      </w:pPr>
      <w:r w:rsidRPr="00FF5C16">
        <w:rPr>
          <w:bCs/>
        </w:rPr>
        <w:t>Les Recommandations UIT-T Q.5050, Q.5051 et Q.5052 prévoient également que le dispositif illicite doit être bloqué simultanément par les différents opérateurs de réseaux mobiles (aux niveaux national et mondial), ce qui rend nécessaire l</w:t>
      </w:r>
      <w:r w:rsidR="00B714ED" w:rsidRPr="00FF5C16">
        <w:rPr>
          <w:bCs/>
        </w:rPr>
        <w:t>'</w:t>
      </w:r>
      <w:r w:rsidRPr="00FF5C16">
        <w:rPr>
          <w:bCs/>
        </w:rPr>
        <w:t>utilisation d</w:t>
      </w:r>
      <w:r w:rsidR="00B714ED" w:rsidRPr="00FF5C16">
        <w:rPr>
          <w:bCs/>
        </w:rPr>
        <w:t>'</w:t>
      </w:r>
      <w:r w:rsidRPr="00FF5C16">
        <w:rPr>
          <w:bCs/>
        </w:rPr>
        <w:t>un registre central d'identités d'équipements (CEIR) pour regrouper les données figurant sur les listes de contrôle et permettre leur diffusion à tous les opérateurs de réseaux mobiles connectés.</w:t>
      </w:r>
    </w:p>
    <w:p w14:paraId="21AA83CF" w14:textId="57973230" w:rsidR="00D4652B" w:rsidRPr="00FF5C16" w:rsidRDefault="00D4652B" w:rsidP="00D4652B">
      <w:pPr>
        <w:rPr>
          <w:bCs/>
        </w:rPr>
      </w:pPr>
      <w:r w:rsidRPr="00FF5C16">
        <w:rPr>
          <w:bCs/>
        </w:rPr>
        <w:t>Afin d</w:t>
      </w:r>
      <w:r w:rsidR="00B714ED" w:rsidRPr="00FF5C16">
        <w:rPr>
          <w:bCs/>
        </w:rPr>
        <w:t>'</w:t>
      </w:r>
      <w:r w:rsidRPr="00FF5C16">
        <w:rPr>
          <w:bCs/>
        </w:rPr>
        <w:t>aider les pays qui souhaitent mettre en place un CEIR, la présente Recommandation fournit une description technique détaillée du système CEIR, de ses spécifications, des interfaces et des fonctions de base qu</w:t>
      </w:r>
      <w:r w:rsidR="00B714ED" w:rsidRPr="00FF5C16">
        <w:rPr>
          <w:bCs/>
        </w:rPr>
        <w:t>'</w:t>
      </w:r>
      <w:r w:rsidRPr="00FF5C16">
        <w:rPr>
          <w:bCs/>
        </w:rPr>
        <w:t>il devrait proposer, ainsi que de certaines caractéristiques facultatives pouvant être utilisées, en fonction des besoins spécifiques du client. Elle décrit également les différentes parties prenantes du système CEIR ainsi que les rôles et responsabilités qui leur sont assignés ou que l'on attend d'elles.</w:t>
      </w:r>
    </w:p>
    <w:p w14:paraId="258F6329" w14:textId="6B4B072C" w:rsidR="00D4652B" w:rsidRPr="00FF5C16" w:rsidRDefault="00D4652B" w:rsidP="00D4652B">
      <w:pPr>
        <w:pStyle w:val="Note"/>
      </w:pPr>
      <w:r w:rsidRPr="00FF5C16">
        <w:t xml:space="preserve">NOTE DU TSB – À la date de la présente circulaire,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2" w:history="1">
        <w:r w:rsidRPr="00FF5C16">
          <w:rPr>
            <w:rStyle w:val="Hyperlink"/>
            <w:bCs/>
          </w:rPr>
          <w:t>www.itu.int/ipr/</w:t>
        </w:r>
      </w:hyperlink>
      <w:r w:rsidRPr="00FF5C16">
        <w:t>.</w:t>
      </w:r>
    </w:p>
    <w:p w14:paraId="08DBCFE6" w14:textId="6965D53B" w:rsidR="00D4652B" w:rsidRPr="00FF5C16" w:rsidRDefault="00D4652B" w:rsidP="00A15A38">
      <w:pPr>
        <w:pStyle w:val="Heading1"/>
      </w:pPr>
      <w:r w:rsidRPr="00FF5C16">
        <w:lastRenderedPageBreak/>
        <w:t>2</w:t>
      </w:r>
      <w:r w:rsidRPr="00FF5C16">
        <w:tab/>
        <w:t>Projet de nouvelle Recommandation UIT-T Q.5056 (anciennement Q.FC-MCM) [</w:t>
      </w:r>
      <w:hyperlink r:id="rId13" w:history="1">
        <w:r w:rsidRPr="00FF5C16">
          <w:rPr>
            <w:rStyle w:val="Hyperlink"/>
          </w:rPr>
          <w:t>SG11-R6</w:t>
        </w:r>
      </w:hyperlink>
      <w:r w:rsidRPr="00FF5C16">
        <w:t>]</w:t>
      </w:r>
    </w:p>
    <w:p w14:paraId="73C36047" w14:textId="2CA4F397" w:rsidR="00D4652B" w:rsidRPr="00FF5C16" w:rsidRDefault="00D4652B" w:rsidP="00A15A38">
      <w:pPr>
        <w:keepNext/>
        <w:keepLines/>
        <w:rPr>
          <w:bCs/>
        </w:rPr>
      </w:pPr>
      <w:r w:rsidRPr="00FF5C16">
        <w:rPr>
          <w:bCs/>
        </w:rPr>
        <w:t>Cadre pour la lutte contre le détournement de contenus multimédias en ligne</w:t>
      </w:r>
    </w:p>
    <w:p w14:paraId="295166B3" w14:textId="77777777" w:rsidR="00D4652B" w:rsidRPr="00FF5C16" w:rsidRDefault="00D4652B" w:rsidP="00A15A38">
      <w:pPr>
        <w:pStyle w:val="headingb"/>
      </w:pPr>
      <w:r w:rsidRPr="00FF5C16">
        <w:t>Résumé</w:t>
      </w:r>
    </w:p>
    <w:p w14:paraId="32DDB1E0" w14:textId="77777777" w:rsidR="00D4652B" w:rsidRPr="00FF5C16" w:rsidRDefault="00D4652B" w:rsidP="00A15A38">
      <w:pPr>
        <w:keepNext/>
        <w:keepLines/>
        <w:rPr>
          <w:bCs/>
        </w:rPr>
      </w:pPr>
      <w:r w:rsidRPr="00FF5C16">
        <w:rPr>
          <w:bCs/>
        </w:rPr>
        <w:t>L'élargissement de la connectivité et l'existence de nombreuses solutions over-the-top (OTT) pour la diffusion de contenus ont favorisé, partout dans le monde, le détournement de contenus multimédias au moyen, notamment, de logiciels altérés ou malveillants, ou de récepteurs contrefaits ou malveillants.</w:t>
      </w:r>
    </w:p>
    <w:p w14:paraId="7DFDB7D6" w14:textId="21E630D5" w:rsidR="00D4652B" w:rsidRPr="00FF5C16" w:rsidRDefault="00D4652B" w:rsidP="00D4652B">
      <w:pPr>
        <w:rPr>
          <w:bCs/>
        </w:rPr>
      </w:pPr>
      <w:r w:rsidRPr="00FF5C16">
        <w:rPr>
          <w:bCs/>
        </w:rPr>
        <w:t>Ces agissements ont des répercussions négatives sur toutes les parties prenantes concernées, générant une baisse des recettes pour les créateurs et les distributeurs de contenus, une diminution des taxes perçues par les administrations, des incidences plus importantes sur les infrastructures et la sécurité pour les opérateurs de réseaux, une augmentation de la surface d</w:t>
      </w:r>
      <w:r w:rsidR="00B714ED" w:rsidRPr="00FF5C16">
        <w:rPr>
          <w:bCs/>
        </w:rPr>
        <w:t>'</w:t>
      </w:r>
      <w:r w:rsidRPr="00FF5C16">
        <w:rPr>
          <w:bCs/>
        </w:rPr>
        <w:t xml:space="preserve">attaque des services Internet et un risque accru pour les consommateurs de voir leurs données personnelles volées ou compromises </w:t>
      </w:r>
      <w:r w:rsidR="00B714ED" w:rsidRPr="00FF5C16">
        <w:rPr>
          <w:bCs/>
        </w:rPr>
        <w:t>–</w:t>
      </w:r>
      <w:r w:rsidRPr="00FF5C16">
        <w:rPr>
          <w:bCs/>
        </w:rPr>
        <w:t xml:space="preserve"> le tout résultant de l'utilisation de logiciels altérés ou malveillants, ou de récepteurs contrefaits ou malveillants.</w:t>
      </w:r>
    </w:p>
    <w:p w14:paraId="0982884D" w14:textId="7D32E8FD" w:rsidR="00D4652B" w:rsidRPr="00FF5C16" w:rsidRDefault="00D4652B" w:rsidP="00D4652B">
      <w:pPr>
        <w:rPr>
          <w:bCs/>
        </w:rPr>
      </w:pPr>
      <w:r w:rsidRPr="00FF5C16">
        <w:rPr>
          <w:bCs/>
        </w:rPr>
        <w:t>En outre, il est courant que des contenus volés dans un pays soient diffusés dans le monde entier, de sorte qu</w:t>
      </w:r>
      <w:r w:rsidR="00B714ED" w:rsidRPr="00FF5C16">
        <w:rPr>
          <w:bCs/>
        </w:rPr>
        <w:t>'</w:t>
      </w:r>
      <w:r w:rsidRPr="00FF5C16">
        <w:rPr>
          <w:bCs/>
        </w:rPr>
        <w:t>une collaboration internationale entre toutes les parties prenantes est nécessaire pour remédier à ce problème de piraterie numérique de portée mondiale.</w:t>
      </w:r>
    </w:p>
    <w:p w14:paraId="6FB3B9AD" w14:textId="7E34D9A2" w:rsidR="00D4652B" w:rsidRPr="00FF5C16" w:rsidRDefault="00D4652B" w:rsidP="00D4652B">
      <w:pPr>
        <w:rPr>
          <w:bCs/>
        </w:rPr>
      </w:pPr>
      <w:r w:rsidRPr="00FF5C16">
        <w:rPr>
          <w:bCs/>
        </w:rPr>
        <w:t>Bien que le secteur ait pris des mesures d</w:t>
      </w:r>
      <w:r w:rsidR="00B714ED" w:rsidRPr="00FF5C16">
        <w:rPr>
          <w:bCs/>
        </w:rPr>
        <w:t>'</w:t>
      </w:r>
      <w:r w:rsidRPr="00FF5C16">
        <w:rPr>
          <w:bCs/>
        </w:rPr>
        <w:t>envergure pour contrer ces pratiques, les administrations sont conscientes de l'intensification de la piraterie numérique, des violations de la propriété intellectuelle qui en découlent ainsi que de leurs répercussions négatives, et s'efforcent de résoudre le problème en adaptant leur réglementation et leurs procédures visant à limiter la diffusion et l</w:t>
      </w:r>
      <w:r w:rsidR="00B714ED" w:rsidRPr="00FF5C16">
        <w:rPr>
          <w:bCs/>
        </w:rPr>
        <w:t>'</w:t>
      </w:r>
      <w:r w:rsidRPr="00FF5C16">
        <w:rPr>
          <w:bCs/>
        </w:rPr>
        <w:t>utilisation détournées des contenus multimédias.</w:t>
      </w:r>
    </w:p>
    <w:p w14:paraId="5CE71B88" w14:textId="48470B65" w:rsidR="00D4652B" w:rsidRPr="00FF5C16" w:rsidRDefault="00D4652B" w:rsidP="00D4652B">
      <w:pPr>
        <w:rPr>
          <w:bCs/>
        </w:rPr>
      </w:pPr>
      <w:r w:rsidRPr="00FF5C16">
        <w:rPr>
          <w:bCs/>
        </w:rPr>
        <w:t>Compte tenu de la complexité de ce phénomène, il n</w:t>
      </w:r>
      <w:r w:rsidR="00B714ED" w:rsidRPr="00FF5C16">
        <w:rPr>
          <w:bCs/>
        </w:rPr>
        <w:t>'</w:t>
      </w:r>
      <w:r w:rsidRPr="00FF5C16">
        <w:rPr>
          <w:bCs/>
        </w:rPr>
        <w:t>existe pas de solution unique. Il faut donc qu</w:t>
      </w:r>
      <w:r w:rsidR="00B714ED" w:rsidRPr="00FF5C16">
        <w:rPr>
          <w:bCs/>
        </w:rPr>
        <w:t>'</w:t>
      </w:r>
      <w:r w:rsidRPr="00FF5C16">
        <w:rPr>
          <w:bCs/>
        </w:rPr>
        <w:t>un ensemble de mesures soient adoptées par toutes les parties prenantes concernées de manière concertée.</w:t>
      </w:r>
    </w:p>
    <w:p w14:paraId="291809A6" w14:textId="77777777" w:rsidR="00D4652B" w:rsidRPr="00FF5C16" w:rsidRDefault="00D4652B" w:rsidP="00D4652B">
      <w:pPr>
        <w:rPr>
          <w:bCs/>
        </w:rPr>
      </w:pPr>
      <w:r w:rsidRPr="00FF5C16">
        <w:rPr>
          <w:bCs/>
        </w:rPr>
        <w:t>Par conséquent, la présente Recommandation UIT-T Q.5056 vise à présenter un cadre de référence définissant les exigences et les mesures dont il faudra tenir compte lors de la mise en place de solutions visant à lutter contre le détournement de contenus multimédias.</w:t>
      </w:r>
    </w:p>
    <w:p w14:paraId="1A36E599" w14:textId="220737D2" w:rsidR="00D4652B" w:rsidRPr="00FF5C16" w:rsidRDefault="00D4652B" w:rsidP="00D4652B">
      <w:pPr>
        <w:pStyle w:val="Note"/>
      </w:pPr>
      <w:r w:rsidRPr="00FF5C16">
        <w:t xml:space="preserve">NOTE DU TSB – À la date de la présente circulaire,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4" w:history="1">
        <w:r w:rsidRPr="00FF5C16">
          <w:rPr>
            <w:rStyle w:val="Hyperlink"/>
          </w:rPr>
          <w:t>www.itu.int/ipr/</w:t>
        </w:r>
      </w:hyperlink>
      <w:r w:rsidRPr="00FF5C16">
        <w:t>.</w:t>
      </w:r>
    </w:p>
    <w:p w14:paraId="4712CC37" w14:textId="37059482" w:rsidR="00D4652B" w:rsidRPr="00FF5C16" w:rsidRDefault="00D4652B" w:rsidP="00D4652B">
      <w:pPr>
        <w:rPr>
          <w:bCs/>
        </w:rPr>
      </w:pPr>
      <w:r w:rsidRPr="00FF5C16">
        <w:rPr>
          <w:bCs/>
        </w:rPr>
        <w:br w:type="page"/>
      </w:r>
    </w:p>
    <w:p w14:paraId="5D041448" w14:textId="6E9DC666" w:rsidR="00517A03" w:rsidRPr="00FF5C16" w:rsidRDefault="00D4652B" w:rsidP="008F4794">
      <w:pPr>
        <w:pStyle w:val="AnnexTitle"/>
        <w:rPr>
          <w:sz w:val="28"/>
          <w:szCs w:val="28"/>
        </w:rPr>
      </w:pPr>
      <w:r w:rsidRPr="00FF5C16">
        <w:rPr>
          <w:sz w:val="28"/>
          <w:szCs w:val="28"/>
        </w:rPr>
        <w:lastRenderedPageBreak/>
        <w:t>Annexe 2</w:t>
      </w:r>
      <w:r w:rsidR="001E54A9" w:rsidRPr="00FF5C16">
        <w:rPr>
          <w:sz w:val="28"/>
          <w:szCs w:val="28"/>
        </w:rPr>
        <w:br/>
      </w:r>
      <w:proofErr w:type="gramStart"/>
      <w:r w:rsidRPr="00FF5C16">
        <w:rPr>
          <w:sz w:val="28"/>
          <w:szCs w:val="28"/>
        </w:rPr>
        <w:t>Objet:</w:t>
      </w:r>
      <w:proofErr w:type="gramEnd"/>
      <w:r w:rsidRPr="00FF5C16">
        <w:rPr>
          <w:sz w:val="28"/>
          <w:szCs w:val="28"/>
        </w:rPr>
        <w:t xml:space="preserve"> Réponse des États Membres à la Circulaire TSB </w:t>
      </w:r>
      <w:proofErr w:type="gramStart"/>
      <w:r w:rsidRPr="00FF5C16">
        <w:rPr>
          <w:sz w:val="28"/>
          <w:szCs w:val="28"/>
        </w:rPr>
        <w:t>35:</w:t>
      </w:r>
      <w:proofErr w:type="gramEnd"/>
      <w:r w:rsidRPr="00FF5C16">
        <w:rPr>
          <w:sz w:val="28"/>
          <w:szCs w:val="28"/>
        </w:rPr>
        <w:t xml:space="preserve"> Consultation au sujet du texte déterminé du projets de Recommandations UIT-T Q.5055 (anciennement</w:t>
      </w:r>
      <w:r w:rsidR="00A15A38" w:rsidRPr="00FF5C16">
        <w:rPr>
          <w:sz w:val="28"/>
          <w:szCs w:val="28"/>
        </w:rPr>
        <w:t> </w:t>
      </w:r>
      <w:proofErr w:type="gramStart"/>
      <w:r w:rsidRPr="00FF5C16">
        <w:rPr>
          <w:sz w:val="28"/>
          <w:szCs w:val="28"/>
        </w:rPr>
        <w:t>Q.CEIR</w:t>
      </w:r>
      <w:proofErr w:type="gramEnd"/>
      <w:r w:rsidRPr="00FF5C16">
        <w:rPr>
          <w:sz w:val="28"/>
          <w:szCs w:val="28"/>
        </w:rPr>
        <w:t>) et UIT-T Q.5056</w:t>
      </w:r>
      <w:r w:rsidR="00A15A38" w:rsidRPr="00FF5C16">
        <w:rPr>
          <w:sz w:val="28"/>
          <w:szCs w:val="28"/>
        </w:rPr>
        <w:br/>
      </w:r>
      <w:r w:rsidRPr="00FF5C16">
        <w:rPr>
          <w:sz w:val="28"/>
          <w:szCs w:val="28"/>
        </w:rPr>
        <w:t>(anciennement Q.FC-MCM)</w:t>
      </w:r>
    </w:p>
    <w:tbl>
      <w:tblPr>
        <w:tblW w:w="5000" w:type="pct"/>
        <w:tblLook w:val="04A0" w:firstRow="1" w:lastRow="0" w:firstColumn="1" w:lastColumn="0" w:noHBand="0" w:noVBand="1"/>
      </w:tblPr>
      <w:tblGrid>
        <w:gridCol w:w="1240"/>
        <w:gridCol w:w="4714"/>
        <w:gridCol w:w="1559"/>
        <w:gridCol w:w="2216"/>
      </w:tblGrid>
      <w:tr w:rsidR="008F4794" w:rsidRPr="00FF5C16" w14:paraId="63647283" w14:textId="77777777" w:rsidTr="00A15A38">
        <w:tc>
          <w:tcPr>
            <w:tcW w:w="637" w:type="pct"/>
            <w:shd w:val="clear" w:color="auto" w:fill="auto"/>
          </w:tcPr>
          <w:p w14:paraId="7FC42FCE" w14:textId="7D3E5284" w:rsidR="008F4794" w:rsidRPr="00FF5C16" w:rsidRDefault="008F4794" w:rsidP="003F6FC4">
            <w:pPr>
              <w:jc w:val="right"/>
              <w:rPr>
                <w:rFonts w:cstheme="minorHAnsi"/>
                <w:b/>
                <w:bCs/>
              </w:rPr>
            </w:pPr>
            <w:r w:rsidRPr="00FF5C16">
              <w:rPr>
                <w:b/>
                <w:bCs/>
              </w:rPr>
              <w:t>Au</w:t>
            </w:r>
            <w:r w:rsidR="00C918BB" w:rsidRPr="00FF5C16">
              <w:rPr>
                <w:b/>
                <w:bCs/>
              </w:rPr>
              <w:t>:</w:t>
            </w:r>
          </w:p>
        </w:tc>
        <w:tc>
          <w:tcPr>
            <w:tcW w:w="2423" w:type="pct"/>
            <w:tcBorders>
              <w:right w:val="single" w:sz="8" w:space="0" w:color="auto"/>
            </w:tcBorders>
            <w:shd w:val="clear" w:color="auto" w:fill="auto"/>
          </w:tcPr>
          <w:p w14:paraId="246AE048" w14:textId="77777777" w:rsidR="008F4794" w:rsidRPr="00FF5C16" w:rsidRDefault="008F4794" w:rsidP="004F6701">
            <w:pPr>
              <w:rPr>
                <w:rFonts w:cstheme="minorHAnsi"/>
              </w:rPr>
            </w:pPr>
            <w:r w:rsidRPr="00FF5C16">
              <w:t>Directeur du Bureau de la normalisation des télécommunications</w:t>
            </w:r>
          </w:p>
          <w:p w14:paraId="332AFA1B" w14:textId="77777777" w:rsidR="008F4794" w:rsidRPr="00FF5C16" w:rsidRDefault="008F4794" w:rsidP="003F6FC4">
            <w:pPr>
              <w:spacing w:before="0"/>
              <w:rPr>
                <w:rFonts w:cstheme="minorHAnsi"/>
              </w:rPr>
            </w:pPr>
            <w:r w:rsidRPr="00FF5C16">
              <w:t>Union internationale des télécommunications</w:t>
            </w:r>
          </w:p>
          <w:p w14:paraId="12C9B062" w14:textId="77777777" w:rsidR="008F4794" w:rsidRPr="00FF5C16" w:rsidRDefault="008F4794" w:rsidP="003F6FC4">
            <w:pPr>
              <w:spacing w:before="0"/>
              <w:rPr>
                <w:rFonts w:cstheme="minorHAnsi"/>
              </w:rPr>
            </w:pPr>
            <w:r w:rsidRPr="00FF5C16">
              <w:rPr>
                <w:rFonts w:cstheme="minorHAnsi"/>
              </w:rPr>
              <w:t>Place des Nations</w:t>
            </w:r>
          </w:p>
          <w:p w14:paraId="5E805985" w14:textId="77777777" w:rsidR="008F4794" w:rsidRPr="00FF5C16" w:rsidRDefault="008F4794" w:rsidP="003F6FC4">
            <w:pPr>
              <w:spacing w:before="0"/>
              <w:rPr>
                <w:rFonts w:cstheme="minorHAnsi"/>
              </w:rPr>
            </w:pPr>
            <w:r w:rsidRPr="00FF5C16">
              <w:t>CH-1211 Genève 20, Suisse</w:t>
            </w:r>
          </w:p>
        </w:tc>
        <w:tc>
          <w:tcPr>
            <w:tcW w:w="801" w:type="pct"/>
            <w:tcBorders>
              <w:left w:val="single" w:sz="8" w:space="0" w:color="auto"/>
            </w:tcBorders>
            <w:shd w:val="clear" w:color="auto" w:fill="auto"/>
          </w:tcPr>
          <w:p w14:paraId="7CF72CD0" w14:textId="77777777" w:rsidR="008F4794" w:rsidRPr="00FF5C16" w:rsidRDefault="008F4794" w:rsidP="003F6FC4">
            <w:pPr>
              <w:jc w:val="right"/>
              <w:rPr>
                <w:rFonts w:cstheme="minorHAnsi"/>
                <w:b/>
                <w:bCs/>
              </w:rPr>
            </w:pPr>
            <w:r w:rsidRPr="00FF5C16">
              <w:rPr>
                <w:rFonts w:cstheme="minorHAnsi"/>
                <w:b/>
                <w:bCs/>
              </w:rPr>
              <w:t>De:</w:t>
            </w:r>
          </w:p>
        </w:tc>
        <w:tc>
          <w:tcPr>
            <w:tcW w:w="1139" w:type="pct"/>
            <w:shd w:val="clear" w:color="auto" w:fill="auto"/>
          </w:tcPr>
          <w:p w14:paraId="317F1E2D" w14:textId="77777777" w:rsidR="008F4794" w:rsidRPr="00FF5C16" w:rsidRDefault="008F4794" w:rsidP="003F6FC4">
            <w:pPr>
              <w:rPr>
                <w:rFonts w:cstheme="minorHAnsi"/>
                <w:highlight w:val="green"/>
              </w:rPr>
            </w:pPr>
            <w:r w:rsidRPr="00FF5C16">
              <w:rPr>
                <w:rFonts w:cstheme="minorHAnsi"/>
                <w:highlight w:val="green"/>
              </w:rPr>
              <w:t>[Nom]</w:t>
            </w:r>
          </w:p>
          <w:p w14:paraId="74B56C80" w14:textId="77777777" w:rsidR="008F4794" w:rsidRPr="00FF5C16" w:rsidRDefault="008F4794" w:rsidP="003F6FC4">
            <w:pPr>
              <w:spacing w:before="0"/>
              <w:rPr>
                <w:rFonts w:cstheme="minorHAnsi"/>
                <w:highlight w:val="green"/>
              </w:rPr>
            </w:pPr>
            <w:r w:rsidRPr="00FF5C16">
              <w:rPr>
                <w:rFonts w:cstheme="minorHAnsi"/>
                <w:highlight w:val="green"/>
              </w:rPr>
              <w:t>[</w:t>
            </w:r>
            <w:r w:rsidRPr="00FF5C16">
              <w:rPr>
                <w:highlight w:val="green"/>
              </w:rPr>
              <w:t>Rôle/titre officiel</w:t>
            </w:r>
            <w:r w:rsidRPr="00FF5C16">
              <w:rPr>
                <w:rFonts w:cstheme="minorHAnsi"/>
                <w:highlight w:val="green"/>
              </w:rPr>
              <w:t>]</w:t>
            </w:r>
          </w:p>
          <w:p w14:paraId="6F1067A1" w14:textId="4F20C12D" w:rsidR="008F4794" w:rsidRPr="00FF5C16" w:rsidRDefault="008F4794" w:rsidP="003F6FC4">
            <w:pPr>
              <w:spacing w:before="0"/>
              <w:rPr>
                <w:rFonts w:cstheme="minorHAnsi"/>
                <w:highlight w:val="green"/>
              </w:rPr>
            </w:pPr>
            <w:r w:rsidRPr="00FF5C16">
              <w:rPr>
                <w:rFonts w:cstheme="minorHAnsi"/>
                <w:highlight w:val="green"/>
              </w:rPr>
              <w:t>[</w:t>
            </w:r>
            <w:r w:rsidR="00FF5C16" w:rsidRPr="00FF5C16">
              <w:rPr>
                <w:rFonts w:cstheme="minorHAnsi"/>
                <w:highlight w:val="green"/>
              </w:rPr>
              <w:t>Adresse</w:t>
            </w:r>
            <w:r w:rsidRPr="00FF5C16">
              <w:rPr>
                <w:rFonts w:cstheme="minorHAnsi"/>
                <w:highlight w:val="green"/>
              </w:rPr>
              <w:t>]</w:t>
            </w:r>
          </w:p>
        </w:tc>
      </w:tr>
      <w:tr w:rsidR="008F4794" w:rsidRPr="00FF5C16" w14:paraId="1BBE4AAD" w14:textId="77777777" w:rsidTr="00A15A38">
        <w:tc>
          <w:tcPr>
            <w:tcW w:w="637" w:type="pct"/>
            <w:shd w:val="clear" w:color="auto" w:fill="auto"/>
          </w:tcPr>
          <w:p w14:paraId="1F8A0281" w14:textId="77777777" w:rsidR="008F4794" w:rsidRPr="00FF5C16" w:rsidRDefault="008F4794" w:rsidP="003F6FC4">
            <w:pPr>
              <w:jc w:val="right"/>
              <w:rPr>
                <w:rFonts w:cstheme="minorHAnsi"/>
                <w:b/>
                <w:bCs/>
              </w:rPr>
            </w:pPr>
            <w:r w:rsidRPr="00FF5C16">
              <w:rPr>
                <w:b/>
                <w:bCs/>
              </w:rPr>
              <w:t>Télécopie</w:t>
            </w:r>
            <w:r w:rsidRPr="00FF5C16">
              <w:rPr>
                <w:rFonts w:cstheme="minorHAnsi"/>
                <w:b/>
                <w:bCs/>
              </w:rPr>
              <w:t>:</w:t>
            </w:r>
          </w:p>
        </w:tc>
        <w:tc>
          <w:tcPr>
            <w:tcW w:w="2423" w:type="pct"/>
            <w:tcBorders>
              <w:right w:val="single" w:sz="8" w:space="0" w:color="auto"/>
            </w:tcBorders>
            <w:shd w:val="clear" w:color="auto" w:fill="auto"/>
          </w:tcPr>
          <w:p w14:paraId="0C8ECC75" w14:textId="77777777" w:rsidR="008F4794" w:rsidRPr="00FF5C16" w:rsidRDefault="008F4794" w:rsidP="003F6FC4">
            <w:pPr>
              <w:rPr>
                <w:rFonts w:cstheme="minorHAnsi"/>
              </w:rPr>
            </w:pPr>
            <w:r w:rsidRPr="00FF5C16">
              <w:rPr>
                <w:rFonts w:cstheme="minorHAnsi"/>
              </w:rPr>
              <w:t>+41-22-730-5853</w:t>
            </w:r>
          </w:p>
        </w:tc>
        <w:tc>
          <w:tcPr>
            <w:tcW w:w="801" w:type="pct"/>
            <w:tcBorders>
              <w:left w:val="single" w:sz="8" w:space="0" w:color="auto"/>
            </w:tcBorders>
            <w:shd w:val="clear" w:color="auto" w:fill="auto"/>
          </w:tcPr>
          <w:p w14:paraId="5D4663D1" w14:textId="77777777" w:rsidR="008F4794" w:rsidRPr="00FF5C16" w:rsidRDefault="008F4794" w:rsidP="003F6FC4">
            <w:pPr>
              <w:jc w:val="right"/>
              <w:rPr>
                <w:rFonts w:cstheme="minorHAnsi"/>
                <w:b/>
                <w:bCs/>
              </w:rPr>
            </w:pPr>
            <w:r w:rsidRPr="00FF5C16">
              <w:rPr>
                <w:b/>
                <w:bCs/>
              </w:rPr>
              <w:t>Télécopie</w:t>
            </w:r>
            <w:r w:rsidRPr="00FF5C16">
              <w:rPr>
                <w:rFonts w:cstheme="minorHAnsi"/>
                <w:b/>
                <w:bCs/>
              </w:rPr>
              <w:t>:</w:t>
            </w:r>
          </w:p>
        </w:tc>
        <w:tc>
          <w:tcPr>
            <w:tcW w:w="1139" w:type="pct"/>
            <w:shd w:val="clear" w:color="auto" w:fill="auto"/>
          </w:tcPr>
          <w:p w14:paraId="7070356B" w14:textId="77777777" w:rsidR="008F4794" w:rsidRPr="00FF5C16" w:rsidRDefault="008F4794" w:rsidP="003F6FC4">
            <w:pPr>
              <w:rPr>
                <w:rFonts w:cstheme="minorHAnsi"/>
              </w:rPr>
            </w:pPr>
          </w:p>
        </w:tc>
      </w:tr>
      <w:tr w:rsidR="008F4794" w:rsidRPr="00FF5C16" w14:paraId="1D363F00" w14:textId="77777777" w:rsidTr="00A15A38">
        <w:tc>
          <w:tcPr>
            <w:tcW w:w="637" w:type="pct"/>
            <w:shd w:val="clear" w:color="auto" w:fill="auto"/>
          </w:tcPr>
          <w:p w14:paraId="6E438B9D" w14:textId="77777777" w:rsidR="008F4794" w:rsidRPr="00FF5C16" w:rsidRDefault="008F4794" w:rsidP="003F6FC4">
            <w:pPr>
              <w:jc w:val="right"/>
              <w:rPr>
                <w:rFonts w:cstheme="minorHAnsi"/>
                <w:b/>
                <w:bCs/>
              </w:rPr>
            </w:pPr>
            <w:r w:rsidRPr="00FF5C16">
              <w:rPr>
                <w:rFonts w:cstheme="minorHAnsi"/>
                <w:b/>
                <w:bCs/>
              </w:rPr>
              <w:t>Courriel:</w:t>
            </w:r>
          </w:p>
        </w:tc>
        <w:tc>
          <w:tcPr>
            <w:tcW w:w="2423" w:type="pct"/>
            <w:tcBorders>
              <w:right w:val="single" w:sz="8" w:space="0" w:color="auto"/>
            </w:tcBorders>
            <w:shd w:val="clear" w:color="auto" w:fill="auto"/>
          </w:tcPr>
          <w:p w14:paraId="304FEBCA" w14:textId="752B40B7" w:rsidR="008F4794" w:rsidRPr="00FF5C16" w:rsidRDefault="008F4794" w:rsidP="003F6FC4">
            <w:pPr>
              <w:rPr>
                <w:rStyle w:val="Hyperlink"/>
                <w:szCs w:val="24"/>
              </w:rPr>
            </w:pPr>
            <w:hyperlink r:id="rId15" w:history="1">
              <w:r w:rsidRPr="00FF5C16">
                <w:rPr>
                  <w:rStyle w:val="Hyperlink"/>
                  <w:szCs w:val="24"/>
                </w:rPr>
                <w:t>tsbdir@itu.int</w:t>
              </w:r>
            </w:hyperlink>
          </w:p>
        </w:tc>
        <w:tc>
          <w:tcPr>
            <w:tcW w:w="801" w:type="pct"/>
            <w:tcBorders>
              <w:left w:val="single" w:sz="8" w:space="0" w:color="auto"/>
            </w:tcBorders>
            <w:shd w:val="clear" w:color="auto" w:fill="auto"/>
          </w:tcPr>
          <w:p w14:paraId="051571A3" w14:textId="77777777" w:rsidR="008F4794" w:rsidRPr="00FF5C16" w:rsidRDefault="008F4794" w:rsidP="003F6FC4">
            <w:pPr>
              <w:jc w:val="right"/>
              <w:rPr>
                <w:rFonts w:cstheme="minorHAnsi"/>
                <w:b/>
                <w:bCs/>
              </w:rPr>
            </w:pPr>
            <w:r w:rsidRPr="00FF5C16">
              <w:rPr>
                <w:rFonts w:cstheme="minorHAnsi"/>
                <w:b/>
                <w:bCs/>
              </w:rPr>
              <w:t>Courriel:</w:t>
            </w:r>
          </w:p>
        </w:tc>
        <w:tc>
          <w:tcPr>
            <w:tcW w:w="1139" w:type="pct"/>
            <w:shd w:val="clear" w:color="auto" w:fill="auto"/>
          </w:tcPr>
          <w:p w14:paraId="22B5381C" w14:textId="77777777" w:rsidR="008F4794" w:rsidRPr="00FF5C16" w:rsidRDefault="008F4794" w:rsidP="003F6FC4">
            <w:pPr>
              <w:rPr>
                <w:rFonts w:cstheme="minorHAnsi"/>
              </w:rPr>
            </w:pPr>
          </w:p>
        </w:tc>
      </w:tr>
      <w:tr w:rsidR="008F4794" w:rsidRPr="00FF5C16" w14:paraId="61DDA400" w14:textId="77777777" w:rsidTr="00A15A38">
        <w:tc>
          <w:tcPr>
            <w:tcW w:w="637" w:type="pct"/>
            <w:shd w:val="clear" w:color="auto" w:fill="auto"/>
          </w:tcPr>
          <w:p w14:paraId="451B98A6" w14:textId="77777777" w:rsidR="008F4794" w:rsidRPr="00FF5C16" w:rsidRDefault="008F4794" w:rsidP="003F6FC4">
            <w:pPr>
              <w:rPr>
                <w:rFonts w:cstheme="minorHAnsi"/>
              </w:rPr>
            </w:pPr>
          </w:p>
        </w:tc>
        <w:tc>
          <w:tcPr>
            <w:tcW w:w="2423" w:type="pct"/>
            <w:tcBorders>
              <w:right w:val="single" w:sz="8" w:space="0" w:color="auto"/>
            </w:tcBorders>
            <w:shd w:val="clear" w:color="auto" w:fill="auto"/>
          </w:tcPr>
          <w:p w14:paraId="4EBBF43E" w14:textId="77777777" w:rsidR="008F4794" w:rsidRPr="00FF5C16" w:rsidRDefault="008F4794" w:rsidP="003F6FC4">
            <w:pPr>
              <w:rPr>
                <w:rFonts w:cstheme="minorHAnsi"/>
              </w:rPr>
            </w:pPr>
          </w:p>
        </w:tc>
        <w:tc>
          <w:tcPr>
            <w:tcW w:w="801" w:type="pct"/>
            <w:tcBorders>
              <w:left w:val="single" w:sz="8" w:space="0" w:color="auto"/>
            </w:tcBorders>
            <w:shd w:val="clear" w:color="auto" w:fill="auto"/>
          </w:tcPr>
          <w:p w14:paraId="1B95C37F" w14:textId="77777777" w:rsidR="008F4794" w:rsidRPr="00FF5C16" w:rsidRDefault="008F4794" w:rsidP="003F6FC4">
            <w:pPr>
              <w:jc w:val="right"/>
              <w:rPr>
                <w:rFonts w:cstheme="minorHAnsi"/>
                <w:b/>
                <w:bCs/>
              </w:rPr>
            </w:pPr>
            <w:r w:rsidRPr="00FF5C16">
              <w:rPr>
                <w:rFonts w:cstheme="minorHAnsi"/>
                <w:b/>
                <w:bCs/>
              </w:rPr>
              <w:t>Date:</w:t>
            </w:r>
          </w:p>
        </w:tc>
        <w:tc>
          <w:tcPr>
            <w:tcW w:w="1139" w:type="pct"/>
            <w:shd w:val="clear" w:color="auto" w:fill="auto"/>
          </w:tcPr>
          <w:p w14:paraId="5B7991DD" w14:textId="77777777" w:rsidR="008F4794" w:rsidRPr="00FF5C16" w:rsidRDefault="008F4794" w:rsidP="003F6FC4">
            <w:pPr>
              <w:rPr>
                <w:rFonts w:cstheme="minorHAnsi"/>
                <w:highlight w:val="green"/>
              </w:rPr>
            </w:pPr>
            <w:r w:rsidRPr="00FF5C16">
              <w:rPr>
                <w:rFonts w:cstheme="minorHAnsi"/>
                <w:highlight w:val="green"/>
              </w:rPr>
              <w:t>[Lieu,] [Date]</w:t>
            </w:r>
          </w:p>
        </w:tc>
      </w:tr>
    </w:tbl>
    <w:p w14:paraId="512A90DB" w14:textId="77777777" w:rsidR="008F4794" w:rsidRPr="00FF5C16" w:rsidRDefault="008F4794" w:rsidP="00A15A38">
      <w:pPr>
        <w:spacing w:before="360"/>
      </w:pPr>
      <w:r w:rsidRPr="00FF5C16">
        <w:t>Madame, Monsieur,</w:t>
      </w:r>
    </w:p>
    <w:p w14:paraId="46B2BA03" w14:textId="4BC589BC" w:rsidR="008F4794" w:rsidRPr="00FF5C16" w:rsidRDefault="008F4794" w:rsidP="00A15A38">
      <w:pPr>
        <w:spacing w:after="240"/>
      </w:pPr>
      <w:r w:rsidRPr="00FF5C16">
        <w:t xml:space="preserve">Dans le cadre de la consultation des États Membres au sujet des projets de textes déterminés dont il est question dans la Circulaire TSB 35, je vous indique par la présente l'opinion de mon </w:t>
      </w:r>
      <w:r w:rsidR="00A15A38" w:rsidRPr="00FF5C16">
        <w:t>a</w:t>
      </w:r>
      <w:r w:rsidRPr="00FF5C16">
        <w:t>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652"/>
      </w:tblGrid>
      <w:tr w:rsidR="008F4794" w:rsidRPr="00FF5C16" w14:paraId="32E7E61C" w14:textId="77777777" w:rsidTr="003F6FC4">
        <w:trPr>
          <w:tblHeader/>
        </w:trPr>
        <w:tc>
          <w:tcPr>
            <w:tcW w:w="2067" w:type="dxa"/>
            <w:shd w:val="clear" w:color="auto" w:fill="auto"/>
            <w:vAlign w:val="center"/>
          </w:tcPr>
          <w:p w14:paraId="3438FBC9" w14:textId="77777777" w:rsidR="008F4794" w:rsidRPr="00FF5C16" w:rsidRDefault="008F4794" w:rsidP="003F6FC4"/>
        </w:tc>
        <w:tc>
          <w:tcPr>
            <w:tcW w:w="7652" w:type="dxa"/>
            <w:shd w:val="clear" w:color="auto" w:fill="auto"/>
            <w:vAlign w:val="center"/>
          </w:tcPr>
          <w:p w14:paraId="09203041" w14:textId="77777777" w:rsidR="008F4794" w:rsidRPr="00FF5C16" w:rsidRDefault="008F4794" w:rsidP="003F6FC4">
            <w:pPr>
              <w:spacing w:after="120"/>
              <w:jc w:val="center"/>
              <w:rPr>
                <w:b/>
                <w:bCs/>
              </w:rPr>
            </w:pPr>
            <w:r w:rsidRPr="00FF5C16">
              <w:rPr>
                <w:b/>
                <w:bCs/>
              </w:rPr>
              <w:t>Cochez l'une des deux cases pour chaque texte</w:t>
            </w:r>
          </w:p>
        </w:tc>
      </w:tr>
      <w:tr w:rsidR="008F4794" w:rsidRPr="00FF5C16" w14:paraId="0EB9BE2F" w14:textId="77777777" w:rsidTr="005F2B7C">
        <w:trPr>
          <w:trHeight w:val="1484"/>
        </w:trPr>
        <w:tc>
          <w:tcPr>
            <w:tcW w:w="2067" w:type="dxa"/>
            <w:vMerge w:val="restart"/>
            <w:shd w:val="clear" w:color="auto" w:fill="auto"/>
            <w:vAlign w:val="center"/>
          </w:tcPr>
          <w:p w14:paraId="0573985E" w14:textId="3A4C8B6B" w:rsidR="008F4794" w:rsidRPr="00FF5C16" w:rsidRDefault="008F4794" w:rsidP="003F6FC4">
            <w:pPr>
              <w:jc w:val="center"/>
              <w:rPr>
                <w:b/>
                <w:bCs/>
              </w:rPr>
            </w:pPr>
            <w:r w:rsidRPr="00FF5C16">
              <w:rPr>
                <w:b/>
                <w:bCs/>
              </w:rPr>
              <w:t>Projet de nouvelle Recommandation</w:t>
            </w:r>
            <w:r w:rsidRPr="00FF5C16">
              <w:rPr>
                <w:b/>
                <w:bCs/>
              </w:rPr>
              <w:br/>
            </w:r>
            <w:r w:rsidR="00A15A38" w:rsidRPr="00FF5C16">
              <w:rPr>
                <w:b/>
                <w:bCs/>
              </w:rPr>
              <w:t>UIT</w:t>
            </w:r>
            <w:r w:rsidRPr="00FF5C16">
              <w:rPr>
                <w:b/>
                <w:bCs/>
              </w:rPr>
              <w:t>-T Q.5055</w:t>
            </w:r>
            <w:r w:rsidRPr="00FF5C16">
              <w:rPr>
                <w:b/>
                <w:bCs/>
              </w:rPr>
              <w:br/>
              <w:t>(anciennement Q.CEIR)</w:t>
            </w:r>
          </w:p>
        </w:tc>
        <w:tc>
          <w:tcPr>
            <w:tcW w:w="7652" w:type="dxa"/>
            <w:shd w:val="clear" w:color="auto" w:fill="auto"/>
            <w:vAlign w:val="center"/>
          </w:tcPr>
          <w:p w14:paraId="3EA8F99B" w14:textId="63B5B41D" w:rsidR="008F4794" w:rsidRPr="00FF5C16" w:rsidRDefault="00F839E0" w:rsidP="003F6FC4">
            <w:pPr>
              <w:ind w:left="567" w:hanging="567"/>
              <w:rPr>
                <w:rFonts w:ascii="Calibri" w:hAnsi="Calibri" w:cs="Calibri"/>
              </w:rPr>
            </w:pPr>
            <w:sdt>
              <w:sdtPr>
                <w:rPr>
                  <w:rFonts w:ascii="Calibri" w:hAnsi="Calibri" w:cs="Calibri"/>
                </w:rPr>
                <w:id w:val="-705943451"/>
                <w14:checkbox>
                  <w14:checked w14:val="0"/>
                  <w14:checkedState w14:val="2612" w14:font="MS Gothic"/>
                  <w14:uncheckedState w14:val="2610" w14:font="MS Gothic"/>
                </w14:checkbox>
              </w:sdtPr>
              <w:sdtEndPr/>
              <w:sdtContent>
                <w:r w:rsidR="00982D95" w:rsidRPr="00FF5C16">
                  <w:rPr>
                    <w:rFonts w:ascii="MS Gothic" w:eastAsia="MS Gothic" w:hAnsi="MS Gothic" w:cs="Calibri"/>
                  </w:rPr>
                  <w:t>☐</w:t>
                </w:r>
              </w:sdtContent>
            </w:sdt>
            <w:r w:rsidR="008F4794" w:rsidRPr="00FF5C16">
              <w:rPr>
                <w:rFonts w:ascii="Calibri" w:hAnsi="Calibri" w:cs="Calibri"/>
              </w:rPr>
              <w:tab/>
            </w:r>
            <w:r w:rsidR="008F4794" w:rsidRPr="00FF5C16">
              <w:rPr>
                <w:rFonts w:ascii="Calibri" w:hAnsi="Calibri" w:cs="Calibri"/>
                <w:b/>
                <w:bCs/>
              </w:rPr>
              <w:t>Autorise</w:t>
            </w:r>
            <w:r w:rsidR="008F4794" w:rsidRPr="00FF5C16">
              <w:rPr>
                <w:rFonts w:ascii="Calibri" w:hAnsi="Calibri" w:cs="Calibri"/>
              </w:rPr>
              <w:t xml:space="preserve"> la CE 11 à procéder à l'examen de ce document en vue de son approbation (dans ce cas, sélectionnez l'une des deux options):</w:t>
            </w:r>
          </w:p>
          <w:p w14:paraId="737C96A2" w14:textId="5C33934A" w:rsidR="008F4794" w:rsidRPr="00FF5C16" w:rsidRDefault="00F839E0" w:rsidP="000D5457">
            <w:pPr>
              <w:spacing w:before="60"/>
              <w:ind w:left="595"/>
              <w:rPr>
                <w:szCs w:val="22"/>
              </w:rPr>
            </w:pPr>
            <w:sdt>
              <w:sdtPr>
                <w:rPr>
                  <w:rFonts w:ascii="Calibri" w:hAnsi="Calibri" w:cs="Calibri"/>
                </w:rPr>
                <w:id w:val="-1010522499"/>
                <w14:checkbox>
                  <w14:checked w14:val="0"/>
                  <w14:checkedState w14:val="2612" w14:font="MS Gothic"/>
                  <w14:uncheckedState w14:val="2610" w14:font="MS Gothic"/>
                </w14:checkbox>
              </w:sdtPr>
              <w:sdtEndPr/>
              <w:sdtContent>
                <w:r w:rsidR="003F6FC4" w:rsidRPr="00FF5C16">
                  <w:rPr>
                    <w:rFonts w:ascii="MS Gothic" w:eastAsia="MS Gothic" w:hAnsi="MS Gothic" w:cs="Calibri"/>
                  </w:rPr>
                  <w:t>☐</w:t>
                </w:r>
              </w:sdtContent>
            </w:sdt>
            <w:r w:rsidR="008F4794" w:rsidRPr="00FF5C16">
              <w:rPr>
                <w:rFonts w:ascii="Calibri" w:hAnsi="Calibri" w:cs="Calibri"/>
              </w:rPr>
              <w:tab/>
            </w:r>
            <w:r w:rsidR="008F4794" w:rsidRPr="00FF5C16">
              <w:rPr>
                <w:szCs w:val="22"/>
              </w:rPr>
              <w:t>Pas de commentaire ou de proposition de modification.</w:t>
            </w:r>
          </w:p>
          <w:p w14:paraId="0DABB134" w14:textId="41A34810" w:rsidR="008F4794" w:rsidRPr="00FF5C16" w:rsidRDefault="00F839E0" w:rsidP="00FF5C16">
            <w:pPr>
              <w:spacing w:before="60" w:after="120"/>
              <w:ind w:left="1224" w:hanging="629"/>
              <w:rPr>
                <w:rFonts w:cs="Calibri"/>
              </w:rPr>
            </w:pPr>
            <w:sdt>
              <w:sdtPr>
                <w:rPr>
                  <w:rFonts w:cs="Calibri"/>
                </w:rPr>
                <w:id w:val="2105455475"/>
                <w14:checkbox>
                  <w14:checked w14:val="0"/>
                  <w14:checkedState w14:val="2612" w14:font="MS Gothic"/>
                  <w14:uncheckedState w14:val="2610" w14:font="MS Gothic"/>
                </w14:checkbox>
              </w:sdtPr>
              <w:sdtEndPr/>
              <w:sdtContent>
                <w:r w:rsidR="008F4794" w:rsidRPr="00FF5C16">
                  <w:rPr>
                    <w:rFonts w:ascii="MS Gothic" w:eastAsia="MS Gothic" w:hAnsi="MS Gothic" w:cs="Calibri"/>
                  </w:rPr>
                  <w:t>☐</w:t>
                </w:r>
              </w:sdtContent>
            </w:sdt>
            <w:r w:rsidR="008F4794" w:rsidRPr="00FF5C16">
              <w:rPr>
                <w:rFonts w:cs="Calibri"/>
              </w:rPr>
              <w:tab/>
              <w:t>Des commentaires ou propositions de modification sont joints à la présente.</w:t>
            </w:r>
          </w:p>
        </w:tc>
      </w:tr>
      <w:tr w:rsidR="008F4794" w:rsidRPr="00FF5C16" w14:paraId="08B280C1" w14:textId="77777777" w:rsidTr="005F2B7C">
        <w:trPr>
          <w:trHeight w:val="1106"/>
        </w:trPr>
        <w:tc>
          <w:tcPr>
            <w:tcW w:w="2067" w:type="dxa"/>
            <w:vMerge/>
            <w:shd w:val="clear" w:color="auto" w:fill="auto"/>
            <w:vAlign w:val="center"/>
          </w:tcPr>
          <w:p w14:paraId="06C1BD96" w14:textId="77777777" w:rsidR="008F4794" w:rsidRPr="00FF5C16" w:rsidRDefault="008F4794" w:rsidP="003F6FC4">
            <w:pPr>
              <w:jc w:val="center"/>
              <w:rPr>
                <w:b/>
                <w:bCs/>
              </w:rPr>
            </w:pPr>
          </w:p>
        </w:tc>
        <w:tc>
          <w:tcPr>
            <w:tcW w:w="7652" w:type="dxa"/>
            <w:shd w:val="clear" w:color="auto" w:fill="auto"/>
            <w:vAlign w:val="center"/>
          </w:tcPr>
          <w:p w14:paraId="5192D2EC" w14:textId="64AF29E7" w:rsidR="008F4794" w:rsidRPr="00FF5C16" w:rsidRDefault="00F839E0" w:rsidP="00FF5C16">
            <w:pPr>
              <w:spacing w:after="120"/>
              <w:ind w:left="567" w:hanging="567"/>
            </w:pPr>
            <w:sdt>
              <w:sdtPr>
                <w:id w:val="-1767383137"/>
                <w14:checkbox>
                  <w14:checked w14:val="0"/>
                  <w14:checkedState w14:val="2612" w14:font="MS Gothic"/>
                  <w14:uncheckedState w14:val="2610" w14:font="MS Gothic"/>
                </w14:checkbox>
              </w:sdtPr>
              <w:sdtEndPr/>
              <w:sdtContent>
                <w:r w:rsidR="008F4794" w:rsidRPr="00FF5C16">
                  <w:rPr>
                    <w:rFonts w:ascii="Segoe UI Symbol" w:eastAsia="MS Gothic" w:hAnsi="Segoe UI Symbol" w:cs="Segoe UI Symbol"/>
                  </w:rPr>
                  <w:t>☐</w:t>
                </w:r>
              </w:sdtContent>
            </w:sdt>
            <w:r w:rsidR="008F4794" w:rsidRPr="00FF5C16">
              <w:tab/>
            </w:r>
            <w:r w:rsidR="008F4794" w:rsidRPr="00FF5C16">
              <w:rPr>
                <w:b/>
                <w:bCs/>
              </w:rPr>
              <w:t>N'autorise</w:t>
            </w:r>
            <w:r w:rsidR="008F4794" w:rsidRPr="00FF5C16">
              <w:t xml:space="preserve"> </w:t>
            </w:r>
            <w:r w:rsidR="008F4794" w:rsidRPr="00FF5C16">
              <w:rPr>
                <w:b/>
                <w:bCs/>
              </w:rPr>
              <w:t>pas</w:t>
            </w:r>
            <w:r w:rsidR="008F4794" w:rsidRPr="00FF5C16">
              <w:t xml:space="preserve"> la CE 11 à procéder à l'examen de ce document en vue de son approbation (les motifs de cette décision et une description des éventuelles modifications qui permettraient la poursuite des travaux sont joints à la présente).</w:t>
            </w:r>
          </w:p>
        </w:tc>
      </w:tr>
      <w:tr w:rsidR="008F4794" w:rsidRPr="00FF5C16" w14:paraId="4A4AFE20" w14:textId="77777777" w:rsidTr="005F2B7C">
        <w:trPr>
          <w:trHeight w:val="1574"/>
        </w:trPr>
        <w:tc>
          <w:tcPr>
            <w:tcW w:w="2067" w:type="dxa"/>
            <w:vMerge w:val="restart"/>
            <w:shd w:val="clear" w:color="auto" w:fill="auto"/>
            <w:vAlign w:val="center"/>
          </w:tcPr>
          <w:p w14:paraId="4302177F" w14:textId="52649F2E" w:rsidR="008F4794" w:rsidRPr="00FF5C16" w:rsidRDefault="008F4794" w:rsidP="00A15A38">
            <w:pPr>
              <w:keepNext/>
              <w:keepLines/>
              <w:jc w:val="center"/>
              <w:rPr>
                <w:b/>
                <w:bCs/>
              </w:rPr>
            </w:pPr>
            <w:r w:rsidRPr="00FF5C16">
              <w:rPr>
                <w:b/>
                <w:bCs/>
              </w:rPr>
              <w:lastRenderedPageBreak/>
              <w:t>Projet de nouvelle Recommandation</w:t>
            </w:r>
            <w:r w:rsidRPr="00FF5C16">
              <w:rPr>
                <w:b/>
                <w:bCs/>
              </w:rPr>
              <w:br/>
            </w:r>
            <w:r w:rsidR="00A15A38" w:rsidRPr="00FF5C16">
              <w:rPr>
                <w:b/>
                <w:bCs/>
              </w:rPr>
              <w:t>UIT</w:t>
            </w:r>
            <w:r w:rsidRPr="00FF5C16">
              <w:rPr>
                <w:b/>
                <w:bCs/>
              </w:rPr>
              <w:t>-T Q.5056</w:t>
            </w:r>
            <w:r w:rsidRPr="00FF5C16">
              <w:rPr>
                <w:b/>
                <w:bCs/>
              </w:rPr>
              <w:br/>
              <w:t>(anciennement Q.FC-MCM)</w:t>
            </w:r>
          </w:p>
        </w:tc>
        <w:tc>
          <w:tcPr>
            <w:tcW w:w="7652" w:type="dxa"/>
            <w:shd w:val="clear" w:color="auto" w:fill="auto"/>
            <w:vAlign w:val="center"/>
          </w:tcPr>
          <w:p w14:paraId="424C437F" w14:textId="16C298A1" w:rsidR="008F4794" w:rsidRPr="00FF5C16" w:rsidRDefault="008F4794" w:rsidP="00A15A38">
            <w:pPr>
              <w:keepNext/>
              <w:keepLines/>
              <w:ind w:left="567" w:hanging="567"/>
            </w:pPr>
            <w:r w:rsidRPr="00FF5C16">
              <w:rPr>
                <w:rFonts w:ascii="Segoe UI Symbol" w:hAnsi="Segoe UI Symbol" w:cs="Segoe UI Symbol"/>
              </w:rPr>
              <w:t>☐</w:t>
            </w:r>
            <w:r w:rsidRPr="00FF5C16">
              <w:tab/>
            </w:r>
            <w:r w:rsidRPr="00FF5C16">
              <w:rPr>
                <w:b/>
                <w:bCs/>
              </w:rPr>
              <w:t>Autorise</w:t>
            </w:r>
            <w:r w:rsidRPr="00FF5C16">
              <w:t xml:space="preserve"> la CE 11 </w:t>
            </w:r>
            <w:r w:rsidRPr="00FF5C16">
              <w:rPr>
                <w:rFonts w:ascii="Calibri" w:hAnsi="Calibri" w:cs="Calibri"/>
              </w:rPr>
              <w:t>à</w:t>
            </w:r>
            <w:r w:rsidRPr="00FF5C16">
              <w:t xml:space="preserve"> proc</w:t>
            </w:r>
            <w:r w:rsidRPr="00FF5C16">
              <w:rPr>
                <w:rFonts w:ascii="Calibri" w:hAnsi="Calibri" w:cs="Calibri"/>
              </w:rPr>
              <w:t>é</w:t>
            </w:r>
            <w:r w:rsidRPr="00FF5C16">
              <w:t xml:space="preserve">der </w:t>
            </w:r>
            <w:r w:rsidRPr="00FF5C16">
              <w:rPr>
                <w:rFonts w:ascii="Calibri" w:hAnsi="Calibri" w:cs="Calibri"/>
              </w:rPr>
              <w:t>à</w:t>
            </w:r>
            <w:r w:rsidRPr="00FF5C16">
              <w:t xml:space="preserve"> l'examen de ce document en vue de son approbation (dans ce cas, s</w:t>
            </w:r>
            <w:r w:rsidRPr="00FF5C16">
              <w:rPr>
                <w:rFonts w:ascii="Calibri" w:hAnsi="Calibri" w:cs="Calibri"/>
              </w:rPr>
              <w:t>é</w:t>
            </w:r>
            <w:r w:rsidRPr="00FF5C16">
              <w:t>lectionnez l'une des deux options):</w:t>
            </w:r>
          </w:p>
          <w:p w14:paraId="02C6293F" w14:textId="77777777" w:rsidR="008F4794" w:rsidRPr="00FF5C16" w:rsidRDefault="008F4794" w:rsidP="00A15A38">
            <w:pPr>
              <w:keepNext/>
              <w:keepLines/>
              <w:spacing w:before="60"/>
              <w:ind w:left="595"/>
            </w:pPr>
            <w:r w:rsidRPr="00FF5C16">
              <w:rPr>
                <w:rFonts w:ascii="Segoe UI Symbol" w:hAnsi="Segoe UI Symbol" w:cs="Segoe UI Symbol"/>
              </w:rPr>
              <w:t>☐</w:t>
            </w:r>
            <w:r w:rsidRPr="00FF5C16">
              <w:tab/>
              <w:t>Pas de commentaire ou de proposition de modification.</w:t>
            </w:r>
          </w:p>
          <w:p w14:paraId="0728FBA8" w14:textId="03049A72" w:rsidR="008F4794" w:rsidRPr="00FF5C16" w:rsidRDefault="008F4794" w:rsidP="00FF5C16">
            <w:pPr>
              <w:keepNext/>
              <w:keepLines/>
              <w:spacing w:before="60" w:after="120"/>
              <w:ind w:left="1224" w:hanging="629"/>
            </w:pPr>
            <w:r w:rsidRPr="00FF5C16">
              <w:rPr>
                <w:rFonts w:ascii="Segoe UI Symbol" w:hAnsi="Segoe UI Symbol" w:cs="Segoe UI Symbol"/>
              </w:rPr>
              <w:t>☐</w:t>
            </w:r>
            <w:r w:rsidRPr="00FF5C16">
              <w:tab/>
              <w:t xml:space="preserve">Des commentaires ou propositions de modification sont joints </w:t>
            </w:r>
            <w:r w:rsidRPr="00FF5C16">
              <w:rPr>
                <w:rFonts w:cs="Calibri"/>
              </w:rPr>
              <w:t>à</w:t>
            </w:r>
            <w:r w:rsidRPr="00FF5C16">
              <w:t xml:space="preserve"> la pr</w:t>
            </w:r>
            <w:r w:rsidRPr="00FF5C16">
              <w:rPr>
                <w:rFonts w:cs="Calibri"/>
              </w:rPr>
              <w:t>é</w:t>
            </w:r>
            <w:r w:rsidRPr="00FF5C16">
              <w:t>sente</w:t>
            </w:r>
            <w:r w:rsidR="003F6FC4" w:rsidRPr="00FF5C16">
              <w:t>.</w:t>
            </w:r>
          </w:p>
        </w:tc>
      </w:tr>
      <w:tr w:rsidR="008F4794" w:rsidRPr="00FF5C16" w14:paraId="01668559" w14:textId="77777777" w:rsidTr="005F2B7C">
        <w:trPr>
          <w:trHeight w:val="1349"/>
        </w:trPr>
        <w:tc>
          <w:tcPr>
            <w:tcW w:w="2067" w:type="dxa"/>
            <w:vMerge/>
            <w:shd w:val="clear" w:color="auto" w:fill="auto"/>
            <w:vAlign w:val="center"/>
          </w:tcPr>
          <w:p w14:paraId="3A03F4E5" w14:textId="77777777" w:rsidR="008F4794" w:rsidRPr="00FF5C16" w:rsidRDefault="008F4794" w:rsidP="00A15A38">
            <w:pPr>
              <w:keepNext/>
              <w:keepLines/>
            </w:pPr>
          </w:p>
        </w:tc>
        <w:tc>
          <w:tcPr>
            <w:tcW w:w="7652" w:type="dxa"/>
            <w:shd w:val="clear" w:color="auto" w:fill="auto"/>
            <w:vAlign w:val="center"/>
          </w:tcPr>
          <w:p w14:paraId="44D6D998" w14:textId="62303A05" w:rsidR="008F4794" w:rsidRPr="00FF5C16" w:rsidRDefault="008F4794" w:rsidP="00FF5C16">
            <w:pPr>
              <w:keepNext/>
              <w:keepLines/>
              <w:spacing w:after="120"/>
              <w:ind w:left="595" w:hanging="595"/>
            </w:pPr>
            <w:r w:rsidRPr="00FF5C16">
              <w:rPr>
                <w:rFonts w:ascii="Segoe UI Symbol" w:hAnsi="Segoe UI Symbol" w:cs="Segoe UI Symbol"/>
              </w:rPr>
              <w:t>☐</w:t>
            </w:r>
            <w:r w:rsidRPr="00FF5C16">
              <w:tab/>
            </w:r>
            <w:r w:rsidRPr="00FF5C16">
              <w:rPr>
                <w:b/>
                <w:bCs/>
              </w:rPr>
              <w:t>N'autorise</w:t>
            </w:r>
            <w:r w:rsidRPr="00FF5C16">
              <w:t xml:space="preserve"> </w:t>
            </w:r>
            <w:r w:rsidRPr="00FF5C16">
              <w:rPr>
                <w:b/>
                <w:bCs/>
              </w:rPr>
              <w:t>pas</w:t>
            </w:r>
            <w:r w:rsidRPr="00FF5C16">
              <w:t xml:space="preserve"> la CE 11 </w:t>
            </w:r>
            <w:r w:rsidRPr="00FF5C16">
              <w:rPr>
                <w:rFonts w:cs="Calibri"/>
              </w:rPr>
              <w:t>à</w:t>
            </w:r>
            <w:r w:rsidRPr="00FF5C16">
              <w:t xml:space="preserve"> proc</w:t>
            </w:r>
            <w:r w:rsidRPr="00FF5C16">
              <w:rPr>
                <w:rFonts w:cs="Calibri"/>
              </w:rPr>
              <w:t>é</w:t>
            </w:r>
            <w:r w:rsidRPr="00FF5C16">
              <w:t xml:space="preserve">der </w:t>
            </w:r>
            <w:r w:rsidRPr="00FF5C16">
              <w:rPr>
                <w:rFonts w:cs="Calibri"/>
              </w:rPr>
              <w:t>à</w:t>
            </w:r>
            <w:r w:rsidRPr="00FF5C16">
              <w:t xml:space="preserve"> l'examen de ce document en vue de son approbation (les motifs de cette d</w:t>
            </w:r>
            <w:r w:rsidRPr="00FF5C16">
              <w:rPr>
                <w:rFonts w:cs="Calibri"/>
              </w:rPr>
              <w:t>é</w:t>
            </w:r>
            <w:r w:rsidRPr="00FF5C16">
              <w:t xml:space="preserve">cision et une description des </w:t>
            </w:r>
            <w:r w:rsidRPr="00FF5C16">
              <w:rPr>
                <w:rFonts w:cs="Calibri"/>
              </w:rPr>
              <w:t>é</w:t>
            </w:r>
            <w:r w:rsidRPr="00FF5C16">
              <w:t xml:space="preserve">ventuelles modifications qui permettraient la poursuite des travaux sont joints </w:t>
            </w:r>
            <w:r w:rsidRPr="00FF5C16">
              <w:rPr>
                <w:rFonts w:cs="Calibri"/>
              </w:rPr>
              <w:t>à</w:t>
            </w:r>
            <w:r w:rsidRPr="00FF5C16">
              <w:t xml:space="preserve"> la pr</w:t>
            </w:r>
            <w:r w:rsidRPr="00FF5C16">
              <w:rPr>
                <w:rFonts w:cs="Calibri"/>
              </w:rPr>
              <w:t>é</w:t>
            </w:r>
            <w:r w:rsidRPr="00FF5C16">
              <w:t>sente).</w:t>
            </w:r>
          </w:p>
        </w:tc>
      </w:tr>
    </w:tbl>
    <w:p w14:paraId="2CCA6387" w14:textId="1B0814FF" w:rsidR="003F6FC4" w:rsidRPr="00FF5C16" w:rsidRDefault="003F6FC4" w:rsidP="00A15A38">
      <w:pPr>
        <w:keepNext/>
        <w:keepLines/>
        <w:spacing w:before="240"/>
      </w:pPr>
      <w:r w:rsidRPr="00FF5C16">
        <w:t>Je vous prie d'agréer, Madame, Monsieur, l'expression de ma considération distinguée</w:t>
      </w:r>
      <w:r w:rsidR="00A15A38" w:rsidRPr="00FF5C16">
        <w:t>.</w:t>
      </w:r>
    </w:p>
    <w:p w14:paraId="4E9A77C5" w14:textId="77777777" w:rsidR="003F6FC4" w:rsidRPr="00FF5C16" w:rsidRDefault="003F6FC4" w:rsidP="003F6FC4">
      <w:pPr>
        <w:spacing w:before="840"/>
        <w:rPr>
          <w:highlight w:val="green"/>
        </w:rPr>
      </w:pPr>
      <w:r w:rsidRPr="00FF5C16">
        <w:rPr>
          <w:highlight w:val="green"/>
        </w:rPr>
        <w:t>[Nom]</w:t>
      </w:r>
    </w:p>
    <w:p w14:paraId="16F19C0F" w14:textId="77777777" w:rsidR="003F6FC4" w:rsidRPr="00FF5C16" w:rsidRDefault="003F6FC4" w:rsidP="003F6FC4">
      <w:r w:rsidRPr="00FF5C16">
        <w:rPr>
          <w:highlight w:val="green"/>
        </w:rPr>
        <w:t>[Rôle/titre officiel]</w:t>
      </w:r>
    </w:p>
    <w:p w14:paraId="22CB5A66" w14:textId="79679EEA" w:rsidR="008F4794" w:rsidRPr="00FF5C16" w:rsidRDefault="003F6FC4" w:rsidP="003F6FC4">
      <w:r w:rsidRPr="00FF5C16">
        <w:t xml:space="preserve">Administration de </w:t>
      </w:r>
      <w:r w:rsidRPr="00FF5C16">
        <w:rPr>
          <w:highlight w:val="green"/>
        </w:rPr>
        <w:t>[État Membre]</w:t>
      </w:r>
    </w:p>
    <w:sectPr w:rsidR="008F4794" w:rsidRPr="00FF5C16"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FB01" w14:textId="77777777" w:rsidR="00A01F4D" w:rsidRDefault="00A01F4D">
      <w:r>
        <w:separator/>
      </w:r>
    </w:p>
  </w:endnote>
  <w:endnote w:type="continuationSeparator" w:id="0">
    <w:p w14:paraId="6291CECC" w14:textId="77777777" w:rsidR="00A01F4D" w:rsidRDefault="00A0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F402" w14:textId="7213B351"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9300" w14:textId="77777777" w:rsidR="00A01F4D" w:rsidRDefault="00A01F4D">
      <w:r>
        <w:t>____________________</w:t>
      </w:r>
    </w:p>
  </w:footnote>
  <w:footnote w:type="continuationSeparator" w:id="0">
    <w:p w14:paraId="48AF1C24" w14:textId="77777777" w:rsidR="00A01F4D" w:rsidRDefault="00A0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363C" w14:textId="7A63843F" w:rsidR="00697BC1" w:rsidRDefault="00F839E0"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D4652B">
      <w:rPr>
        <w:noProof/>
        <w:sz w:val="18"/>
        <w:szCs w:val="16"/>
      </w:rPr>
      <w:t>35</w:t>
    </w:r>
  </w:p>
  <w:p w14:paraId="0E96F16D" w14:textId="77777777" w:rsidR="00421B0D" w:rsidRPr="00697BC1" w:rsidRDefault="00421B0D" w:rsidP="00697BC1">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D5457"/>
    <w:rsid w:val="000F0EBF"/>
    <w:rsid w:val="001026FD"/>
    <w:rsid w:val="001077FD"/>
    <w:rsid w:val="00115DD7"/>
    <w:rsid w:val="00167472"/>
    <w:rsid w:val="00167F92"/>
    <w:rsid w:val="00173738"/>
    <w:rsid w:val="001B79A3"/>
    <w:rsid w:val="001E54A9"/>
    <w:rsid w:val="002152A3"/>
    <w:rsid w:val="0023667A"/>
    <w:rsid w:val="002937DB"/>
    <w:rsid w:val="002E395D"/>
    <w:rsid w:val="00307FB4"/>
    <w:rsid w:val="003131F0"/>
    <w:rsid w:val="00333A80"/>
    <w:rsid w:val="00341117"/>
    <w:rsid w:val="00364E95"/>
    <w:rsid w:val="00372875"/>
    <w:rsid w:val="003742F8"/>
    <w:rsid w:val="003B1E80"/>
    <w:rsid w:val="003B66E8"/>
    <w:rsid w:val="003E66AD"/>
    <w:rsid w:val="003F6FC4"/>
    <w:rsid w:val="004033F1"/>
    <w:rsid w:val="00414B0C"/>
    <w:rsid w:val="00421B0D"/>
    <w:rsid w:val="00423C21"/>
    <w:rsid w:val="004257AC"/>
    <w:rsid w:val="0043711B"/>
    <w:rsid w:val="004419E9"/>
    <w:rsid w:val="00445B68"/>
    <w:rsid w:val="00473143"/>
    <w:rsid w:val="0048088B"/>
    <w:rsid w:val="004977C9"/>
    <w:rsid w:val="004B732E"/>
    <w:rsid w:val="004D51F4"/>
    <w:rsid w:val="004D64E0"/>
    <w:rsid w:val="004F6701"/>
    <w:rsid w:val="005120A2"/>
    <w:rsid w:val="0051210D"/>
    <w:rsid w:val="005136D2"/>
    <w:rsid w:val="00517A03"/>
    <w:rsid w:val="005A3DD9"/>
    <w:rsid w:val="005B1DFC"/>
    <w:rsid w:val="005B5CA8"/>
    <w:rsid w:val="00601682"/>
    <w:rsid w:val="00603470"/>
    <w:rsid w:val="00625E79"/>
    <w:rsid w:val="006333F7"/>
    <w:rsid w:val="006427A1"/>
    <w:rsid w:val="00644741"/>
    <w:rsid w:val="00697BC1"/>
    <w:rsid w:val="006A6FFE"/>
    <w:rsid w:val="006C5A91"/>
    <w:rsid w:val="006F52F7"/>
    <w:rsid w:val="00716BBC"/>
    <w:rsid w:val="007321BC"/>
    <w:rsid w:val="007378B0"/>
    <w:rsid w:val="00760063"/>
    <w:rsid w:val="00775E4B"/>
    <w:rsid w:val="0079553B"/>
    <w:rsid w:val="00795679"/>
    <w:rsid w:val="007A40FE"/>
    <w:rsid w:val="00810105"/>
    <w:rsid w:val="008157E0"/>
    <w:rsid w:val="00850477"/>
    <w:rsid w:val="00854E1D"/>
    <w:rsid w:val="00887FA6"/>
    <w:rsid w:val="008C4397"/>
    <w:rsid w:val="008C465A"/>
    <w:rsid w:val="008F2C9B"/>
    <w:rsid w:val="008F4794"/>
    <w:rsid w:val="009148EC"/>
    <w:rsid w:val="00923CD6"/>
    <w:rsid w:val="00935AA8"/>
    <w:rsid w:val="00936046"/>
    <w:rsid w:val="00971C9A"/>
    <w:rsid w:val="00982D95"/>
    <w:rsid w:val="009D51FA"/>
    <w:rsid w:val="009E3A34"/>
    <w:rsid w:val="009F1E23"/>
    <w:rsid w:val="00A01F4D"/>
    <w:rsid w:val="00A108E6"/>
    <w:rsid w:val="00A15179"/>
    <w:rsid w:val="00A15A38"/>
    <w:rsid w:val="00A51537"/>
    <w:rsid w:val="00A5280F"/>
    <w:rsid w:val="00A555D5"/>
    <w:rsid w:val="00A5645A"/>
    <w:rsid w:val="00A60FC1"/>
    <w:rsid w:val="00A97C37"/>
    <w:rsid w:val="00AA131B"/>
    <w:rsid w:val="00AC37B5"/>
    <w:rsid w:val="00AD752F"/>
    <w:rsid w:val="00AF08A4"/>
    <w:rsid w:val="00AF0D7D"/>
    <w:rsid w:val="00B27B41"/>
    <w:rsid w:val="00B42659"/>
    <w:rsid w:val="00B46F2D"/>
    <w:rsid w:val="00B60868"/>
    <w:rsid w:val="00B714ED"/>
    <w:rsid w:val="00B8573E"/>
    <w:rsid w:val="00BB094B"/>
    <w:rsid w:val="00BB24C0"/>
    <w:rsid w:val="00BC451E"/>
    <w:rsid w:val="00BD6ECF"/>
    <w:rsid w:val="00BF47AA"/>
    <w:rsid w:val="00C26F2E"/>
    <w:rsid w:val="00C302E3"/>
    <w:rsid w:val="00C41B89"/>
    <w:rsid w:val="00C45376"/>
    <w:rsid w:val="00C8591D"/>
    <w:rsid w:val="00C9028F"/>
    <w:rsid w:val="00C918BB"/>
    <w:rsid w:val="00CA0416"/>
    <w:rsid w:val="00CB1125"/>
    <w:rsid w:val="00CB4E80"/>
    <w:rsid w:val="00CD042E"/>
    <w:rsid w:val="00CF2560"/>
    <w:rsid w:val="00CF5B46"/>
    <w:rsid w:val="00D4652B"/>
    <w:rsid w:val="00D46B68"/>
    <w:rsid w:val="00D542A5"/>
    <w:rsid w:val="00DC3D47"/>
    <w:rsid w:val="00DD77DA"/>
    <w:rsid w:val="00E06C61"/>
    <w:rsid w:val="00E13DB3"/>
    <w:rsid w:val="00E21B7F"/>
    <w:rsid w:val="00E2408B"/>
    <w:rsid w:val="00E62CEA"/>
    <w:rsid w:val="00E72AE1"/>
    <w:rsid w:val="00EA45E9"/>
    <w:rsid w:val="00ED6A7A"/>
    <w:rsid w:val="00EE4C36"/>
    <w:rsid w:val="00EF6A23"/>
    <w:rsid w:val="00F24C90"/>
    <w:rsid w:val="00F346CE"/>
    <w:rsid w:val="00F34F98"/>
    <w:rsid w:val="00F40540"/>
    <w:rsid w:val="00F67402"/>
    <w:rsid w:val="00F766A2"/>
    <w:rsid w:val="00F839E0"/>
    <w:rsid w:val="00F9451D"/>
    <w:rsid w:val="00FF5C1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A1D1"/>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NormalBold">
    <w:name w:val="Normal + Bold"/>
    <w:basedOn w:val="Normal"/>
    <w:rsid w:val="00982D95"/>
    <w:pPr>
      <w:tabs>
        <w:tab w:val="clear" w:pos="794"/>
        <w:tab w:val="clear" w:pos="1191"/>
        <w:tab w:val="clear" w:pos="1588"/>
        <w:tab w:val="clear" w:pos="1985"/>
      </w:tabs>
      <w:spacing w:after="120"/>
      <w:ind w:left="939" w:hanging="459"/>
      <w:jc w:val="center"/>
    </w:pPr>
    <w:rPr>
      <w:rFonts w:cstheme="minorHAnsi"/>
      <w:b/>
      <w:bCs/>
      <w:color w:val="000000"/>
      <w:szCs w:val="24"/>
    </w:rPr>
  </w:style>
  <w:style w:type="paragraph" w:customStyle="1" w:styleId="Reasons">
    <w:name w:val="Reasons"/>
    <w:basedOn w:val="Normal"/>
    <w:qFormat/>
    <w:rsid w:val="003F6FC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11-R-0006/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ITU-T/ipr/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11-R-0005/fr" TargetMode="External"/><Relationship Id="rId5" Type="http://schemas.openxmlformats.org/officeDocument/2006/relationships/webSettings" Target="webSettings.xml"/><Relationship Id="rId15" Type="http://schemas.openxmlformats.org/officeDocument/2006/relationships/hyperlink" Target="mailto:mtsbdir@itu.in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fr/ITU-T/ipr/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140</TotalTime>
  <Pages>6</Pages>
  <Words>1568</Words>
  <Characters>9453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11000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23</cp:revision>
  <cp:lastPrinted>2025-04-10T12:05:00Z</cp:lastPrinted>
  <dcterms:created xsi:type="dcterms:W3CDTF">2025-04-07T12:54:00Z</dcterms:created>
  <dcterms:modified xsi:type="dcterms:W3CDTF">2025-04-10T12:06:00Z</dcterms:modified>
</cp:coreProperties>
</file>