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7D1637DB" w14:textId="77777777" w:rsidTr="00D517B2">
        <w:trPr>
          <w:cantSplit/>
          <w:trHeight w:val="1134"/>
        </w:trPr>
        <w:tc>
          <w:tcPr>
            <w:tcW w:w="798" w:type="pct"/>
          </w:tcPr>
          <w:p w14:paraId="11C8302A" w14:textId="77777777" w:rsidR="00D517B2" w:rsidRPr="00D517B2" w:rsidRDefault="00D517B2" w:rsidP="00D517B2">
            <w:pPr>
              <w:spacing w:before="0" w:line="240" w:lineRule="auto"/>
              <w:rPr>
                <w:b/>
                <w:bCs/>
                <w:rtl/>
                <w:lang w:bidi="ar-EG"/>
              </w:rPr>
            </w:pPr>
            <w:r w:rsidRPr="00D517B2">
              <w:rPr>
                <w:noProof/>
              </w:rPr>
              <w:drawing>
                <wp:inline distT="0" distB="0" distL="0" distR="0" wp14:anchorId="70341D08" wp14:editId="1A4AC195">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47EC7088"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54A5F0DD"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61"/>
        <w:gridCol w:w="3378"/>
        <w:gridCol w:w="4700"/>
      </w:tblGrid>
      <w:tr w:rsidR="00D517B2" w:rsidRPr="00D517B2" w14:paraId="2D809C77" w14:textId="77777777" w:rsidTr="00D06A1F">
        <w:trPr>
          <w:cantSplit/>
          <w:jc w:val="center"/>
        </w:trPr>
        <w:tc>
          <w:tcPr>
            <w:tcW w:w="810" w:type="pct"/>
          </w:tcPr>
          <w:p w14:paraId="5869CA23" w14:textId="77777777" w:rsidR="00D517B2" w:rsidRPr="00D517B2" w:rsidRDefault="00D517B2" w:rsidP="00BB0F08">
            <w:pPr>
              <w:spacing w:line="300" w:lineRule="exact"/>
              <w:jc w:val="left"/>
              <w:rPr>
                <w:position w:val="2"/>
              </w:rPr>
            </w:pPr>
          </w:p>
        </w:tc>
        <w:tc>
          <w:tcPr>
            <w:tcW w:w="1752" w:type="pct"/>
          </w:tcPr>
          <w:p w14:paraId="6D7C8B09" w14:textId="77777777" w:rsidR="00D517B2" w:rsidRPr="00D517B2" w:rsidRDefault="00D517B2" w:rsidP="00BB0F08">
            <w:pPr>
              <w:spacing w:line="300" w:lineRule="exact"/>
              <w:jc w:val="left"/>
              <w:rPr>
                <w:position w:val="2"/>
              </w:rPr>
            </w:pPr>
          </w:p>
        </w:tc>
        <w:tc>
          <w:tcPr>
            <w:tcW w:w="2438" w:type="pct"/>
          </w:tcPr>
          <w:p w14:paraId="5DEECECE" w14:textId="77777777" w:rsidR="00D517B2" w:rsidRPr="00873469" w:rsidRDefault="00D517B2" w:rsidP="00BB0F08">
            <w:pPr>
              <w:spacing w:line="300" w:lineRule="exact"/>
              <w:jc w:val="left"/>
              <w:rPr>
                <w:position w:val="2"/>
                <w:lang w:bidi="ar-EG"/>
              </w:rPr>
            </w:pPr>
          </w:p>
        </w:tc>
      </w:tr>
      <w:tr w:rsidR="00D517B2" w:rsidRPr="00D517B2" w14:paraId="276B30D5" w14:textId="77777777" w:rsidTr="00D06A1F">
        <w:trPr>
          <w:cantSplit/>
          <w:jc w:val="center"/>
        </w:trPr>
        <w:tc>
          <w:tcPr>
            <w:tcW w:w="810" w:type="pct"/>
          </w:tcPr>
          <w:p w14:paraId="39FF3CB9" w14:textId="77777777" w:rsidR="00D517B2" w:rsidRPr="00D517B2" w:rsidRDefault="00D517B2" w:rsidP="006019C6">
            <w:pPr>
              <w:spacing w:before="80" w:after="120" w:line="300" w:lineRule="exact"/>
              <w:jc w:val="left"/>
              <w:rPr>
                <w:position w:val="2"/>
              </w:rPr>
            </w:pPr>
          </w:p>
        </w:tc>
        <w:tc>
          <w:tcPr>
            <w:tcW w:w="1752" w:type="pct"/>
          </w:tcPr>
          <w:p w14:paraId="0FC96797" w14:textId="77777777" w:rsidR="00D517B2" w:rsidRPr="00D517B2" w:rsidRDefault="00D517B2" w:rsidP="006019C6">
            <w:pPr>
              <w:spacing w:before="80" w:after="120" w:line="300" w:lineRule="exact"/>
              <w:jc w:val="left"/>
              <w:rPr>
                <w:position w:val="2"/>
                <w:lang w:bidi="ar-EG"/>
              </w:rPr>
            </w:pPr>
          </w:p>
        </w:tc>
        <w:tc>
          <w:tcPr>
            <w:tcW w:w="2438" w:type="pct"/>
          </w:tcPr>
          <w:p w14:paraId="3C97D24A" w14:textId="2F044B86" w:rsidR="00D517B2" w:rsidRPr="00D517B2" w:rsidRDefault="00873469" w:rsidP="006019C6">
            <w:pPr>
              <w:spacing w:before="80" w:after="120" w:line="300" w:lineRule="exact"/>
              <w:jc w:val="left"/>
              <w:rPr>
                <w:position w:val="2"/>
                <w:rtl/>
                <w:lang w:bidi="ar-EG"/>
              </w:rPr>
            </w:pPr>
            <w:r w:rsidRPr="00D517B2">
              <w:rPr>
                <w:rFonts w:hint="cs"/>
                <w:position w:val="2"/>
                <w:rtl/>
              </w:rPr>
              <w:t xml:space="preserve">جنيف، </w:t>
            </w:r>
            <w:r w:rsidR="00B405D8">
              <w:rPr>
                <w:position w:val="2"/>
              </w:rPr>
              <w:t>25</w:t>
            </w:r>
            <w:r w:rsidR="00B405D8">
              <w:rPr>
                <w:rFonts w:hint="cs"/>
                <w:position w:val="2"/>
                <w:rtl/>
                <w:lang w:bidi="ar-EG"/>
              </w:rPr>
              <w:t xml:space="preserve"> مارس</w:t>
            </w:r>
            <w:r w:rsidR="007139D8">
              <w:rPr>
                <w:rFonts w:hint="cs"/>
                <w:position w:val="2"/>
                <w:rtl/>
              </w:rPr>
              <w:t xml:space="preserve"> </w:t>
            </w:r>
            <w:r w:rsidR="007139D8">
              <w:rPr>
                <w:position w:val="2"/>
              </w:rPr>
              <w:t>2025</w:t>
            </w:r>
          </w:p>
        </w:tc>
      </w:tr>
      <w:tr w:rsidR="00D06A1F" w:rsidRPr="00D517B2" w14:paraId="73714D75" w14:textId="77777777" w:rsidTr="00D06A1F">
        <w:trPr>
          <w:cantSplit/>
          <w:jc w:val="center"/>
        </w:trPr>
        <w:tc>
          <w:tcPr>
            <w:tcW w:w="810" w:type="pct"/>
          </w:tcPr>
          <w:p w14:paraId="563D2DF3" w14:textId="77777777" w:rsidR="00D06A1F" w:rsidRPr="00A9156F" w:rsidRDefault="00D06A1F" w:rsidP="00D517B2">
            <w:pPr>
              <w:spacing w:before="80" w:after="60" w:line="300" w:lineRule="exact"/>
              <w:jc w:val="left"/>
              <w:rPr>
                <w:b/>
                <w:bCs/>
                <w:position w:val="2"/>
              </w:rPr>
            </w:pPr>
            <w:r w:rsidRPr="00A9156F">
              <w:rPr>
                <w:rFonts w:hint="cs"/>
                <w:b/>
                <w:bCs/>
                <w:position w:val="2"/>
                <w:rtl/>
              </w:rPr>
              <w:t>المرجع:</w:t>
            </w:r>
          </w:p>
        </w:tc>
        <w:tc>
          <w:tcPr>
            <w:tcW w:w="1752" w:type="pct"/>
          </w:tcPr>
          <w:p w14:paraId="0418A390" w14:textId="2AD77041" w:rsidR="00D06A1F" w:rsidRPr="00D517B2" w:rsidRDefault="00D06A1F" w:rsidP="00B405D8">
            <w:pPr>
              <w:spacing w:before="80" w:after="60" w:line="300" w:lineRule="exact"/>
              <w:jc w:val="left"/>
              <w:rPr>
                <w:b/>
                <w:position w:val="2"/>
              </w:rPr>
            </w:pPr>
            <w:r w:rsidRPr="00D517B2">
              <w:rPr>
                <w:b/>
                <w:position w:val="2"/>
              </w:rPr>
              <w:t>TSB </w:t>
            </w:r>
            <w:r>
              <w:rPr>
                <w:b/>
                <w:position w:val="2"/>
              </w:rPr>
              <w:t>Circular</w:t>
            </w:r>
            <w:r w:rsidRPr="00D517B2">
              <w:rPr>
                <w:b/>
                <w:position w:val="2"/>
              </w:rPr>
              <w:t xml:space="preserve"> </w:t>
            </w:r>
            <w:r>
              <w:rPr>
                <w:b/>
                <w:position w:val="2"/>
              </w:rPr>
              <w:t>35</w:t>
            </w:r>
            <w:r>
              <w:rPr>
                <w:b/>
                <w:position w:val="2"/>
              </w:rPr>
              <w:br/>
            </w:r>
            <w:r w:rsidRPr="00736641">
              <w:rPr>
                <w:b/>
                <w:position w:val="2"/>
                <w:rtl/>
              </w:rPr>
              <w:t>SG11/DA</w:t>
            </w:r>
          </w:p>
        </w:tc>
        <w:tc>
          <w:tcPr>
            <w:tcW w:w="2438" w:type="pct"/>
            <w:vMerge w:val="restart"/>
          </w:tcPr>
          <w:p w14:paraId="40478E73" w14:textId="77777777" w:rsidR="00D06A1F" w:rsidRPr="00B405D8" w:rsidRDefault="00D06A1F" w:rsidP="001E2788">
            <w:pPr>
              <w:tabs>
                <w:tab w:val="clear" w:pos="794"/>
                <w:tab w:val="left" w:pos="284"/>
              </w:tabs>
              <w:spacing w:before="80" w:after="60" w:line="300" w:lineRule="exact"/>
              <w:jc w:val="left"/>
              <w:rPr>
                <w:b/>
                <w:bCs/>
                <w:position w:val="2"/>
                <w:rtl/>
                <w:lang w:bidi="ar-EG"/>
              </w:rPr>
            </w:pPr>
            <w:r w:rsidRPr="00B405D8">
              <w:rPr>
                <w:rFonts w:hint="cs"/>
                <w:b/>
                <w:bCs/>
                <w:position w:val="2"/>
                <w:rtl/>
              </w:rPr>
              <w:t>إلى:</w:t>
            </w:r>
          </w:p>
          <w:p w14:paraId="1430A207" w14:textId="77777777" w:rsidR="00D06A1F" w:rsidRPr="00B405D8" w:rsidRDefault="00D06A1F" w:rsidP="00D517B2">
            <w:pPr>
              <w:tabs>
                <w:tab w:val="clear" w:pos="794"/>
                <w:tab w:val="left" w:pos="284"/>
              </w:tabs>
              <w:spacing w:before="80" w:after="60" w:line="300" w:lineRule="exact"/>
              <w:ind w:left="284" w:hanging="284"/>
              <w:jc w:val="left"/>
              <w:rPr>
                <w:position w:val="2"/>
                <w:rtl/>
              </w:rPr>
            </w:pPr>
            <w:r w:rsidRPr="00B405D8">
              <w:rPr>
                <w:rFonts w:hint="cs"/>
                <w:position w:val="2"/>
                <w:rtl/>
              </w:rPr>
              <w:t>-</w:t>
            </w:r>
            <w:r w:rsidRPr="00B405D8">
              <w:rPr>
                <w:position w:val="2"/>
                <w:rtl/>
              </w:rPr>
              <w:tab/>
            </w:r>
            <w:r w:rsidRPr="00B405D8">
              <w:rPr>
                <w:rFonts w:hint="cs"/>
                <w:position w:val="2"/>
                <w:rtl/>
              </w:rPr>
              <w:t>إدارات الدول الأعضاء في الاتحاد؛</w:t>
            </w:r>
          </w:p>
          <w:p w14:paraId="46EE347D" w14:textId="77777777" w:rsidR="00D06A1F" w:rsidRPr="00B405D8" w:rsidRDefault="00D06A1F" w:rsidP="00B405D8">
            <w:pPr>
              <w:tabs>
                <w:tab w:val="left" w:pos="284"/>
                <w:tab w:val="left" w:pos="4111"/>
              </w:tabs>
              <w:spacing w:before="20" w:line="340" w:lineRule="exact"/>
              <w:ind w:left="284" w:hanging="284"/>
              <w:rPr>
                <w:position w:val="2"/>
                <w:lang w:bidi="ar-EG"/>
              </w:rPr>
            </w:pPr>
            <w:r w:rsidRPr="00B405D8">
              <w:rPr>
                <w:rFonts w:hint="cs"/>
                <w:position w:val="2"/>
                <w:rtl/>
              </w:rPr>
              <w:t>-</w:t>
            </w:r>
            <w:r w:rsidRPr="00B405D8">
              <w:rPr>
                <w:position w:val="2"/>
                <w:rtl/>
              </w:rPr>
              <w:tab/>
              <w:t>دولة فلسطين (القرار 99 (المراجَع في دبي، 2018)</w:t>
            </w:r>
            <w:r>
              <w:rPr>
                <w:rFonts w:hint="cs"/>
                <w:position w:val="2"/>
                <w:rtl/>
                <w:lang w:bidi="ar-EG"/>
              </w:rPr>
              <w:t>)</w:t>
            </w:r>
          </w:p>
          <w:p w14:paraId="3B607248" w14:textId="77777777" w:rsidR="00D06A1F" w:rsidRPr="00B405D8" w:rsidRDefault="00D06A1F" w:rsidP="00CE1C08">
            <w:pPr>
              <w:tabs>
                <w:tab w:val="clear" w:pos="794"/>
                <w:tab w:val="left" w:pos="284"/>
              </w:tabs>
              <w:spacing w:before="80" w:after="60" w:line="300" w:lineRule="exact"/>
              <w:ind w:left="284" w:hanging="284"/>
              <w:jc w:val="left"/>
              <w:rPr>
                <w:b/>
                <w:bCs/>
                <w:position w:val="2"/>
                <w:rtl/>
              </w:rPr>
            </w:pPr>
            <w:r w:rsidRPr="00B405D8">
              <w:rPr>
                <w:rFonts w:hint="cs"/>
                <w:b/>
                <w:bCs/>
                <w:position w:val="2"/>
                <w:rtl/>
              </w:rPr>
              <w:t>نسخة إلى:</w:t>
            </w:r>
          </w:p>
          <w:p w14:paraId="7E0D09F2" w14:textId="77777777" w:rsidR="00D06A1F" w:rsidRPr="00B405D8" w:rsidRDefault="00D06A1F" w:rsidP="00B405D8">
            <w:pPr>
              <w:tabs>
                <w:tab w:val="left" w:pos="284"/>
                <w:tab w:val="left" w:pos="4111"/>
              </w:tabs>
              <w:spacing w:before="20" w:line="340" w:lineRule="exact"/>
              <w:ind w:left="284" w:hanging="284"/>
              <w:rPr>
                <w:position w:val="2"/>
                <w:rtl/>
                <w:lang w:bidi="ar-EG"/>
              </w:rPr>
            </w:pPr>
            <w:r w:rsidRPr="00B405D8">
              <w:rPr>
                <w:rFonts w:hint="cs"/>
                <w:position w:val="2"/>
                <w:rtl/>
              </w:rPr>
              <w:t>-</w:t>
            </w:r>
            <w:r w:rsidRPr="00B405D8">
              <w:rPr>
                <w:position w:val="2"/>
                <w:rtl/>
              </w:rPr>
              <w:tab/>
            </w:r>
            <w:r w:rsidRPr="00B405D8">
              <w:rPr>
                <w:rFonts w:hint="cs"/>
                <w:position w:val="2"/>
                <w:rtl/>
                <w:lang w:bidi="ar-EG"/>
              </w:rPr>
              <w:t>أعضاء قطاع تقييس الاتصالات بالاتحاد؛</w:t>
            </w:r>
          </w:p>
          <w:p w14:paraId="5543884B" w14:textId="77777777" w:rsidR="00D06A1F" w:rsidRPr="00B405D8" w:rsidRDefault="00D06A1F" w:rsidP="00B405D8">
            <w:pPr>
              <w:tabs>
                <w:tab w:val="left" w:pos="284"/>
                <w:tab w:val="left" w:pos="4111"/>
              </w:tabs>
              <w:spacing w:before="20" w:line="340" w:lineRule="exact"/>
              <w:ind w:left="284" w:hanging="284"/>
              <w:rPr>
                <w:position w:val="2"/>
                <w:rtl/>
                <w:lang w:bidi="ar-EG"/>
              </w:rPr>
            </w:pPr>
            <w:r w:rsidRPr="00B405D8">
              <w:rPr>
                <w:rFonts w:hint="cs"/>
                <w:position w:val="2"/>
                <w:rtl/>
              </w:rPr>
              <w:t>-</w:t>
            </w:r>
            <w:r w:rsidRPr="00B405D8">
              <w:rPr>
                <w:position w:val="2"/>
                <w:rtl/>
              </w:rPr>
              <w:tab/>
              <w:t>المنتسبين إلى قطاع تقييس الاتصالات المشاركين في</w:t>
            </w:r>
            <w:r>
              <w:rPr>
                <w:rFonts w:hint="cs"/>
                <w:position w:val="2"/>
                <w:rtl/>
              </w:rPr>
              <w:t> </w:t>
            </w:r>
            <w:r w:rsidRPr="00B405D8">
              <w:rPr>
                <w:position w:val="2"/>
                <w:rtl/>
              </w:rPr>
              <w:t>أعمال لجنة الدراسات 11؛</w:t>
            </w:r>
          </w:p>
          <w:p w14:paraId="1AD076FF" w14:textId="77777777" w:rsidR="00D06A1F" w:rsidRDefault="00D06A1F" w:rsidP="00B405D8">
            <w:pPr>
              <w:tabs>
                <w:tab w:val="left" w:pos="284"/>
                <w:tab w:val="left" w:pos="4111"/>
              </w:tabs>
              <w:spacing w:before="0" w:line="340" w:lineRule="exact"/>
              <w:ind w:left="284" w:hanging="284"/>
              <w:rPr>
                <w:position w:val="2"/>
                <w:rtl/>
              </w:rPr>
            </w:pPr>
            <w:r w:rsidRPr="00B405D8">
              <w:rPr>
                <w:rFonts w:hint="cs"/>
                <w:position w:val="2"/>
                <w:rtl/>
              </w:rPr>
              <w:t>-</w:t>
            </w:r>
            <w:r w:rsidRPr="00B405D8">
              <w:rPr>
                <w:position w:val="2"/>
                <w:rtl/>
              </w:rPr>
              <w:tab/>
            </w:r>
            <w:r w:rsidRPr="00B405D8">
              <w:rPr>
                <w:rFonts w:hint="cs"/>
                <w:position w:val="2"/>
                <w:rtl/>
              </w:rPr>
              <w:t>الهيئات الأكاديمية المنضمة إلى</w:t>
            </w:r>
            <w:r w:rsidRPr="00B405D8">
              <w:rPr>
                <w:rFonts w:hint="cs"/>
                <w:position w:val="2"/>
                <w:rtl/>
                <w:lang w:bidi="ar-EG"/>
              </w:rPr>
              <w:t xml:space="preserve"> الاتحاد</w:t>
            </w:r>
            <w:r w:rsidRPr="00B405D8">
              <w:rPr>
                <w:position w:val="2"/>
                <w:rtl/>
              </w:rPr>
              <w:t>؛</w:t>
            </w:r>
          </w:p>
          <w:p w14:paraId="4A71CEA2" w14:textId="77777777" w:rsidR="00D06A1F" w:rsidRPr="00B405D8" w:rsidRDefault="00D06A1F" w:rsidP="00160E0C">
            <w:pPr>
              <w:tabs>
                <w:tab w:val="left" w:pos="284"/>
                <w:tab w:val="left" w:pos="4111"/>
              </w:tabs>
              <w:spacing w:before="0" w:line="340" w:lineRule="exact"/>
              <w:ind w:left="284" w:hanging="284"/>
              <w:rPr>
                <w:rFonts w:eastAsia="Times New Roman"/>
                <w:position w:val="2"/>
                <w:rtl/>
                <w:lang w:eastAsia="en-US"/>
              </w:rPr>
            </w:pPr>
            <w:r w:rsidRPr="00B405D8">
              <w:rPr>
                <w:rFonts w:hint="cs"/>
                <w:position w:val="2"/>
                <w:rtl/>
              </w:rPr>
              <w:t>-</w:t>
            </w:r>
            <w:r w:rsidRPr="00B405D8">
              <w:rPr>
                <w:position w:val="2"/>
                <w:rtl/>
              </w:rPr>
              <w:tab/>
            </w:r>
            <w:r w:rsidRPr="00160E0C">
              <w:rPr>
                <w:rFonts w:eastAsia="Times New Roman"/>
                <w:position w:val="2"/>
                <w:rtl/>
                <w:lang w:eastAsia="en-US"/>
              </w:rPr>
              <w:t>رئيس لجنة الدراسات 11 بقطاع تقييس الاتصالات ونوابه؛</w:t>
            </w:r>
          </w:p>
          <w:p w14:paraId="0B10E6F6" w14:textId="77777777" w:rsidR="00D06A1F" w:rsidRPr="00B405D8" w:rsidRDefault="00D06A1F" w:rsidP="00CE1C08">
            <w:pPr>
              <w:tabs>
                <w:tab w:val="left" w:pos="284"/>
                <w:tab w:val="left" w:pos="4111"/>
              </w:tabs>
              <w:spacing w:before="0" w:line="340" w:lineRule="exact"/>
              <w:ind w:left="284" w:hanging="284"/>
              <w:rPr>
                <w:rFonts w:eastAsia="Times New Roman"/>
                <w:position w:val="2"/>
                <w:rtl/>
                <w:lang w:eastAsia="en-US"/>
              </w:rPr>
            </w:pPr>
            <w:r w:rsidRPr="00B405D8">
              <w:rPr>
                <w:rFonts w:eastAsia="Times New Roman" w:hint="cs"/>
                <w:position w:val="2"/>
                <w:rtl/>
                <w:lang w:eastAsia="en-US"/>
              </w:rPr>
              <w:t>-</w:t>
            </w:r>
            <w:r w:rsidRPr="00B405D8">
              <w:rPr>
                <w:rFonts w:eastAsia="Times New Roman"/>
                <w:position w:val="2"/>
                <w:rtl/>
                <w:lang w:eastAsia="en-US"/>
              </w:rPr>
              <w:tab/>
              <w:t>مدير مكتب تنمية الاتصالات</w:t>
            </w:r>
            <w:r w:rsidRPr="00B405D8">
              <w:rPr>
                <w:rFonts w:eastAsia="Times New Roman" w:hint="cs"/>
                <w:position w:val="2"/>
                <w:rtl/>
                <w:lang w:eastAsia="en-US"/>
              </w:rPr>
              <w:t>؛</w:t>
            </w:r>
          </w:p>
          <w:p w14:paraId="7645EBBB" w14:textId="22791122" w:rsidR="00D06A1F" w:rsidRPr="00B405D8" w:rsidRDefault="00D06A1F" w:rsidP="00B741D8">
            <w:pPr>
              <w:tabs>
                <w:tab w:val="left" w:pos="284"/>
                <w:tab w:val="left" w:pos="4111"/>
              </w:tabs>
              <w:spacing w:before="0" w:line="340" w:lineRule="exact"/>
              <w:ind w:left="284" w:hanging="284"/>
              <w:rPr>
                <w:position w:val="2"/>
                <w:lang w:bidi="ar-EG"/>
              </w:rPr>
            </w:pPr>
            <w:r w:rsidRPr="00B405D8">
              <w:rPr>
                <w:rFonts w:eastAsia="Times New Roman" w:hint="cs"/>
                <w:position w:val="2"/>
                <w:rtl/>
                <w:lang w:eastAsia="en-US"/>
              </w:rPr>
              <w:t>-</w:t>
            </w:r>
            <w:r w:rsidRPr="00B405D8">
              <w:rPr>
                <w:rFonts w:eastAsia="Times New Roman"/>
                <w:position w:val="2"/>
                <w:rtl/>
                <w:lang w:eastAsia="en-US"/>
              </w:rPr>
              <w:tab/>
              <w:t>مدير مكتب الاتصالات الراديوية</w:t>
            </w:r>
          </w:p>
        </w:tc>
      </w:tr>
      <w:tr w:rsidR="00D06A1F" w:rsidRPr="00D517B2" w14:paraId="4F54AC66" w14:textId="77777777" w:rsidTr="00D06A1F">
        <w:trPr>
          <w:cantSplit/>
          <w:jc w:val="center"/>
        </w:trPr>
        <w:tc>
          <w:tcPr>
            <w:tcW w:w="810" w:type="pct"/>
          </w:tcPr>
          <w:p w14:paraId="5018DB8B" w14:textId="77777777" w:rsidR="00D06A1F" w:rsidRDefault="00D06A1F" w:rsidP="00D06A1F">
            <w:pPr>
              <w:spacing w:before="80" w:after="60" w:line="300" w:lineRule="exact"/>
              <w:jc w:val="left"/>
              <w:rPr>
                <w:b/>
                <w:bCs/>
                <w:position w:val="2"/>
                <w:rtl/>
                <w:lang w:bidi="ar-EG"/>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752" w:type="pct"/>
          </w:tcPr>
          <w:p w14:paraId="64AB4221" w14:textId="1D20C2C0" w:rsidR="00D06A1F" w:rsidRPr="008D365F" w:rsidRDefault="00D06A1F" w:rsidP="00D06A1F">
            <w:pPr>
              <w:spacing w:before="80" w:after="60" w:line="300" w:lineRule="exact"/>
              <w:jc w:val="left"/>
              <w:rPr>
                <w:position w:val="2"/>
                <w:rtl/>
                <w:lang w:bidi="ar-EG"/>
              </w:rPr>
            </w:pPr>
            <w:r w:rsidRPr="008D365F">
              <w:t>+41 22 730 5780</w:t>
            </w:r>
          </w:p>
        </w:tc>
        <w:tc>
          <w:tcPr>
            <w:tcW w:w="2438" w:type="pct"/>
            <w:vMerge/>
          </w:tcPr>
          <w:p w14:paraId="1914D5A4" w14:textId="23F09151" w:rsidR="00D06A1F" w:rsidRPr="00B405D8" w:rsidRDefault="00D06A1F" w:rsidP="00D06A1F">
            <w:pPr>
              <w:tabs>
                <w:tab w:val="left" w:pos="284"/>
                <w:tab w:val="left" w:pos="4111"/>
              </w:tabs>
              <w:spacing w:before="0" w:line="340" w:lineRule="exact"/>
              <w:ind w:left="284" w:hanging="284"/>
              <w:rPr>
                <w:position w:val="2"/>
                <w:rtl/>
              </w:rPr>
            </w:pPr>
          </w:p>
        </w:tc>
      </w:tr>
      <w:tr w:rsidR="00D06A1F" w:rsidRPr="00D517B2" w14:paraId="4D42CF66" w14:textId="77777777" w:rsidTr="00D06A1F">
        <w:trPr>
          <w:cantSplit/>
          <w:jc w:val="center"/>
        </w:trPr>
        <w:tc>
          <w:tcPr>
            <w:tcW w:w="810" w:type="pct"/>
          </w:tcPr>
          <w:p w14:paraId="7E66AB41" w14:textId="77777777" w:rsidR="00D06A1F" w:rsidRPr="00A9156F" w:rsidRDefault="00D06A1F" w:rsidP="00D06A1F">
            <w:pPr>
              <w:spacing w:before="80" w:after="60" w:line="300" w:lineRule="exact"/>
              <w:jc w:val="left"/>
              <w:rPr>
                <w:b/>
                <w:bCs/>
                <w:position w:val="2"/>
                <w:rtl/>
              </w:rPr>
            </w:pPr>
            <w:r w:rsidRPr="00A9156F">
              <w:rPr>
                <w:rFonts w:hint="cs"/>
                <w:b/>
                <w:bCs/>
                <w:position w:val="2"/>
                <w:rtl/>
              </w:rPr>
              <w:t>الفاكس:</w:t>
            </w:r>
          </w:p>
        </w:tc>
        <w:tc>
          <w:tcPr>
            <w:tcW w:w="1752" w:type="pct"/>
          </w:tcPr>
          <w:p w14:paraId="43C4D386" w14:textId="6C87AFD1" w:rsidR="00D06A1F" w:rsidRPr="008D365F" w:rsidRDefault="00D06A1F" w:rsidP="00D06A1F">
            <w:pPr>
              <w:spacing w:before="80" w:after="60" w:line="300" w:lineRule="exact"/>
              <w:jc w:val="left"/>
              <w:rPr>
                <w:position w:val="2"/>
              </w:rPr>
            </w:pPr>
            <w:r w:rsidRPr="008D365F">
              <w:t>+41 22 730 5853</w:t>
            </w:r>
          </w:p>
        </w:tc>
        <w:tc>
          <w:tcPr>
            <w:tcW w:w="2438" w:type="pct"/>
            <w:vMerge/>
          </w:tcPr>
          <w:p w14:paraId="70F39FB5" w14:textId="16116B56" w:rsidR="00D06A1F" w:rsidRPr="00B405D8" w:rsidRDefault="00D06A1F" w:rsidP="00D06A1F">
            <w:pPr>
              <w:tabs>
                <w:tab w:val="left" w:pos="284"/>
                <w:tab w:val="left" w:pos="4111"/>
              </w:tabs>
              <w:spacing w:before="0" w:line="340" w:lineRule="exact"/>
              <w:ind w:left="284" w:hanging="284"/>
              <w:rPr>
                <w:position w:val="2"/>
                <w:rtl/>
              </w:rPr>
            </w:pPr>
          </w:p>
        </w:tc>
      </w:tr>
      <w:tr w:rsidR="00D06A1F" w:rsidRPr="00D517B2" w14:paraId="7B2499E1" w14:textId="77777777" w:rsidTr="00D06A1F">
        <w:trPr>
          <w:cantSplit/>
          <w:jc w:val="center"/>
        </w:trPr>
        <w:tc>
          <w:tcPr>
            <w:tcW w:w="810" w:type="pct"/>
          </w:tcPr>
          <w:p w14:paraId="171B6495" w14:textId="77777777" w:rsidR="00D06A1F" w:rsidRPr="00A9156F" w:rsidRDefault="00D06A1F" w:rsidP="00CE1C08">
            <w:pPr>
              <w:spacing w:before="80" w:after="60" w:line="300" w:lineRule="exact"/>
              <w:jc w:val="left"/>
              <w:rPr>
                <w:b/>
                <w:bCs/>
                <w:position w:val="2"/>
                <w:rtl/>
              </w:rPr>
            </w:pPr>
            <w:r w:rsidRPr="00A9156F">
              <w:rPr>
                <w:rFonts w:hint="cs"/>
                <w:b/>
                <w:bCs/>
                <w:position w:val="2"/>
                <w:rtl/>
              </w:rPr>
              <w:t>البريد الإلكتروني:</w:t>
            </w:r>
          </w:p>
        </w:tc>
        <w:tc>
          <w:tcPr>
            <w:tcW w:w="1752" w:type="pct"/>
          </w:tcPr>
          <w:p w14:paraId="10EE6A85" w14:textId="13FFDFA8" w:rsidR="00D06A1F" w:rsidRPr="006E1BAD" w:rsidRDefault="00D06A1F" w:rsidP="00D06A1F">
            <w:pPr>
              <w:spacing w:before="80" w:after="60" w:line="300" w:lineRule="exact"/>
              <w:jc w:val="left"/>
              <w:rPr>
                <w:position w:val="2"/>
                <w:highlight w:val="magenta"/>
                <w:rtl/>
                <w:lang w:bidi="ar-EG"/>
              </w:rPr>
            </w:pPr>
            <w:hyperlink r:id="rId9" w:history="1">
              <w:r w:rsidRPr="00D06A1F">
                <w:rPr>
                  <w:rStyle w:val="Hyperlink"/>
                  <w:position w:val="2"/>
                  <w:lang w:val="en-GB"/>
                </w:rPr>
                <w:t>tsbsg11@itu.int</w:t>
              </w:r>
            </w:hyperlink>
          </w:p>
        </w:tc>
        <w:tc>
          <w:tcPr>
            <w:tcW w:w="2438" w:type="pct"/>
            <w:vMerge/>
          </w:tcPr>
          <w:p w14:paraId="49AFDFAC" w14:textId="53D4332F" w:rsidR="00D06A1F" w:rsidRPr="00B405D8" w:rsidRDefault="00D06A1F" w:rsidP="00CE1C08">
            <w:pPr>
              <w:tabs>
                <w:tab w:val="left" w:pos="284"/>
                <w:tab w:val="left" w:pos="4111"/>
              </w:tabs>
              <w:spacing w:before="0" w:line="340" w:lineRule="exact"/>
              <w:ind w:left="284" w:hanging="284"/>
              <w:rPr>
                <w:position w:val="2"/>
                <w:rtl/>
              </w:rPr>
            </w:pPr>
          </w:p>
        </w:tc>
      </w:tr>
      <w:tr w:rsidR="00CE1C08" w:rsidRPr="00D517B2" w14:paraId="7FAA09F6" w14:textId="77777777" w:rsidTr="00D06A1F">
        <w:trPr>
          <w:cantSplit/>
          <w:jc w:val="center"/>
        </w:trPr>
        <w:tc>
          <w:tcPr>
            <w:tcW w:w="810" w:type="pct"/>
          </w:tcPr>
          <w:p w14:paraId="4630491F" w14:textId="77777777" w:rsidR="00CE1C08" w:rsidRPr="00A9156F" w:rsidRDefault="00CE1C08" w:rsidP="00CE1C08">
            <w:pPr>
              <w:spacing w:before="80" w:after="60" w:line="300" w:lineRule="exact"/>
              <w:jc w:val="left"/>
              <w:rPr>
                <w:b/>
                <w:bCs/>
                <w:position w:val="2"/>
                <w:rtl/>
                <w:lang w:bidi="ar-EG"/>
              </w:rPr>
            </w:pPr>
          </w:p>
        </w:tc>
        <w:tc>
          <w:tcPr>
            <w:tcW w:w="1752" w:type="pct"/>
          </w:tcPr>
          <w:p w14:paraId="4571F1D1" w14:textId="77777777" w:rsidR="00CE1C08" w:rsidRPr="00D517B2" w:rsidRDefault="00CE1C08" w:rsidP="00CE1C08">
            <w:pPr>
              <w:spacing w:before="80" w:after="60" w:line="300" w:lineRule="exact"/>
              <w:jc w:val="left"/>
              <w:rPr>
                <w:position w:val="2"/>
              </w:rPr>
            </w:pPr>
          </w:p>
        </w:tc>
        <w:tc>
          <w:tcPr>
            <w:tcW w:w="2438" w:type="pct"/>
          </w:tcPr>
          <w:p w14:paraId="3F56CAAC" w14:textId="77777777" w:rsidR="00CE1C08" w:rsidRPr="00D517B2" w:rsidRDefault="00CE1C08" w:rsidP="00CE1C08">
            <w:pPr>
              <w:spacing w:before="80" w:after="60" w:line="300" w:lineRule="exact"/>
              <w:jc w:val="left"/>
              <w:rPr>
                <w:position w:val="2"/>
                <w:rtl/>
              </w:rPr>
            </w:pPr>
          </w:p>
        </w:tc>
      </w:tr>
      <w:tr w:rsidR="00CE1C08" w:rsidRPr="00D517B2" w14:paraId="452113E7" w14:textId="77777777" w:rsidTr="001E2788">
        <w:trPr>
          <w:cantSplit/>
          <w:jc w:val="center"/>
        </w:trPr>
        <w:tc>
          <w:tcPr>
            <w:tcW w:w="810" w:type="pct"/>
          </w:tcPr>
          <w:p w14:paraId="394D2EA2"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190" w:type="pct"/>
            <w:gridSpan w:val="2"/>
          </w:tcPr>
          <w:p w14:paraId="6102D7E3" w14:textId="2E0BE3A1" w:rsidR="00CE1C08" w:rsidRPr="00D517B2" w:rsidRDefault="00B405D8" w:rsidP="00D500BC">
            <w:pPr>
              <w:spacing w:before="80" w:after="60" w:line="300" w:lineRule="exact"/>
              <w:rPr>
                <w:position w:val="2"/>
                <w:rtl/>
              </w:rPr>
            </w:pPr>
            <w:r w:rsidRPr="00B405D8">
              <w:rPr>
                <w:b/>
                <w:bCs/>
                <w:position w:val="2"/>
                <w:rtl/>
              </w:rPr>
              <w:t>مشاورة الدول الأعضاء بشأن مشروعي التوصيتين المحددتين ITU-T Q.5055 (Q.CEIR سابقاً) وITU-T Q.5056 (Q.FC-MCM سابقاً) اللذين تُقترح الموافقة عليهما في اجتماع لجنة الدراسات 11 بقطاع تقييس الاتصالات (المزمع عقده في جنيف،</w:t>
            </w:r>
            <w:r w:rsidR="004650FB">
              <w:rPr>
                <w:rFonts w:hint="cs"/>
                <w:b/>
                <w:bCs/>
                <w:position w:val="2"/>
                <w:rtl/>
              </w:rPr>
              <w:t xml:space="preserve"> </w:t>
            </w:r>
            <w:r w:rsidR="004650FB">
              <w:rPr>
                <w:b/>
                <w:bCs/>
                <w:position w:val="2"/>
              </w:rPr>
              <w:t>26-17</w:t>
            </w:r>
            <w:r w:rsidRPr="00B405D8">
              <w:rPr>
                <w:b/>
                <w:bCs/>
                <w:position w:val="2"/>
                <w:rtl/>
              </w:rPr>
              <w:t xml:space="preserve"> نوفمبر 2025)</w:t>
            </w:r>
          </w:p>
        </w:tc>
      </w:tr>
    </w:tbl>
    <w:p w14:paraId="21056919" w14:textId="77777777" w:rsidR="00D517B2" w:rsidRPr="00D517B2" w:rsidRDefault="00D517B2" w:rsidP="00FC2DC8">
      <w:pPr>
        <w:spacing w:before="240"/>
        <w:rPr>
          <w:lang w:bidi="ar-SY"/>
        </w:rPr>
      </w:pPr>
      <w:r w:rsidRPr="00D517B2">
        <w:rPr>
          <w:rFonts w:hint="cs"/>
          <w:rtl/>
          <w:lang w:bidi="ar-SY"/>
        </w:rPr>
        <w:t>حضرات السادة والسيدات،</w:t>
      </w:r>
    </w:p>
    <w:p w14:paraId="679DB84D" w14:textId="77777777" w:rsidR="00D517B2" w:rsidRPr="00D517B2" w:rsidRDefault="00D517B2" w:rsidP="00D517B2">
      <w:pPr>
        <w:rPr>
          <w:rtl/>
          <w:lang w:bidi="ar-EG"/>
        </w:rPr>
      </w:pPr>
      <w:r w:rsidRPr="00D517B2">
        <w:rPr>
          <w:rFonts w:hint="cs"/>
          <w:rtl/>
        </w:rPr>
        <w:t>تحية طيبة وبعد،</w:t>
      </w:r>
    </w:p>
    <w:p w14:paraId="3BFFF5BF" w14:textId="22A26970" w:rsidR="00D500BC" w:rsidRPr="00D500BC" w:rsidRDefault="00FC2DC8" w:rsidP="00FC2DC8">
      <w:pPr>
        <w:pStyle w:val="enumlev1"/>
        <w:rPr>
          <w:lang w:val="ar-SA"/>
        </w:rPr>
      </w:pPr>
      <w:r>
        <w:t>1</w:t>
      </w:r>
      <w:r>
        <w:rPr>
          <w:rtl/>
          <w:lang w:bidi="ar-EG"/>
        </w:rPr>
        <w:tab/>
      </w:r>
      <w:r w:rsidR="00D500BC" w:rsidRPr="00D500BC">
        <w:rPr>
          <w:rtl/>
        </w:rPr>
        <w:t xml:space="preserve">تعتزم لجنة الدراسات 11 بقطاع تقييس الاتصالات (متطلبات وبروتوكولات التشوير ومواصفات الاختبار ومكافحة أجهزة الاتصالات/تكنولوجيا المعلومات والاتصالات المزيَّفة) تطبيق إجراء الموافقة التقليدية الموصوف في القسم 9 من القرار 1 (المراجَع في جنيف، 2022) للجمعية العالمية لتقييس الاتصالات من أجل الموافقة على مشروعي التوصيتين المذكورين أعلاه في اجتماعها المقبل المزمع عقده في جنيف في الفترة </w:t>
      </w:r>
      <w:r w:rsidR="003B213E">
        <w:t>26-17</w:t>
      </w:r>
      <w:r w:rsidR="00D500BC" w:rsidRPr="00D500BC">
        <w:rPr>
          <w:rtl/>
        </w:rPr>
        <w:t xml:space="preserve"> نوفمبر 2025. وسيصدر جدول أعمال اجتماع لجنة الدراسات 11 بقطاع تقييس الاتصالات وجميع المعلومات ذات الصلة في الوقت المناسب.</w:t>
      </w:r>
    </w:p>
    <w:p w14:paraId="65836E9C" w14:textId="78311209" w:rsidR="00D500BC" w:rsidRPr="00D500BC" w:rsidRDefault="00D500BC" w:rsidP="00FC2DC8">
      <w:pPr>
        <w:pStyle w:val="Note"/>
        <w:rPr>
          <w:lang w:val="ar-SA" w:bidi="ar-SY"/>
        </w:rPr>
      </w:pPr>
      <w:r w:rsidRPr="00D500BC">
        <w:rPr>
          <w:b/>
          <w:bCs/>
          <w:rtl/>
        </w:rPr>
        <w:t xml:space="preserve">ملاحظة </w:t>
      </w:r>
      <w:r w:rsidRPr="00D500BC">
        <w:rPr>
          <w:rtl/>
        </w:rPr>
        <w:t>- فيما يتعلق بمشروع التوصية الجديدة ITU-T</w:t>
      </w:r>
      <w:r w:rsidR="00C73A84">
        <w:rPr>
          <w:rFonts w:hint="cs"/>
          <w:rtl/>
        </w:rPr>
        <w:t> </w:t>
      </w:r>
      <w:r w:rsidRPr="00D500BC">
        <w:rPr>
          <w:rtl/>
        </w:rPr>
        <w:t>Q.5055 (Q.CEIR سابقاً)، الذي قُبل في اجتماع لجنة الدراسات 11 في مايو 2024، تم تغيير عملية الموافقة إلى عملية الموافقة التقليدية (</w:t>
      </w:r>
      <w:r w:rsidRPr="00D500BC">
        <w:rPr>
          <w:lang w:val="en-GB" w:bidi="ar-SY"/>
        </w:rPr>
        <w:t>TAP</w:t>
      </w:r>
      <w:r w:rsidRPr="00D500BC">
        <w:rPr>
          <w:rtl/>
        </w:rPr>
        <w:t>) وفقا للفقرة 2.5 من التوصية ITU-T A.8.</w:t>
      </w:r>
    </w:p>
    <w:p w14:paraId="7E3748C9" w14:textId="6CDA32EC" w:rsidR="00D500BC" w:rsidRPr="00D500BC" w:rsidRDefault="00FC2DC8" w:rsidP="00FC2DC8">
      <w:pPr>
        <w:pStyle w:val="enumlev1"/>
        <w:rPr>
          <w:lang w:val="ar-SA"/>
        </w:rPr>
      </w:pPr>
      <w:r>
        <w:t>2</w:t>
      </w:r>
      <w:r>
        <w:rPr>
          <w:rtl/>
          <w:lang w:bidi="ar-EG"/>
        </w:rPr>
        <w:tab/>
      </w:r>
      <w:r w:rsidR="00D500BC" w:rsidRPr="00D500BC">
        <w:rPr>
          <w:rtl/>
        </w:rPr>
        <w:t xml:space="preserve">ويمكن الاطلاع في </w:t>
      </w:r>
      <w:r w:rsidR="00D500BC" w:rsidRPr="00D500BC">
        <w:rPr>
          <w:b/>
          <w:bCs/>
          <w:rtl/>
        </w:rPr>
        <w:t xml:space="preserve">الملحق 1 </w:t>
      </w:r>
      <w:r w:rsidR="00D500BC" w:rsidRPr="00D500BC">
        <w:rPr>
          <w:rtl/>
        </w:rPr>
        <w:t>على عنواني وملخصي مشروعي توصيتي قطاع تقييس الاتصالات اللذين تُقترح الموافقة عليهما والوثيقتين اللتين يردان فيهما.</w:t>
      </w:r>
    </w:p>
    <w:p w14:paraId="29F0395D" w14:textId="234C92C0" w:rsidR="00D500BC" w:rsidRPr="00D500BC" w:rsidRDefault="00FC2DC8" w:rsidP="00FC2DC8">
      <w:pPr>
        <w:pStyle w:val="enumlev1"/>
        <w:rPr>
          <w:lang w:val="ar-SA"/>
        </w:rPr>
      </w:pPr>
      <w:r>
        <w:t>3</w:t>
      </w:r>
      <w:r>
        <w:rPr>
          <w:rtl/>
          <w:lang w:bidi="ar-EG"/>
        </w:rPr>
        <w:tab/>
      </w:r>
      <w:r w:rsidR="00D500BC" w:rsidRPr="00D500BC">
        <w:rPr>
          <w:rtl/>
        </w:rPr>
        <w:t>وتستهل هذه الرسالة المعممة عملية المشاورة الرسمية مع الدول الأعضاء في الاتحاد لتحديد ما إذا كان يمكن النظر في</w:t>
      </w:r>
      <w:r w:rsidR="003B213E">
        <w:rPr>
          <w:rFonts w:hint="cs"/>
          <w:rtl/>
        </w:rPr>
        <w:t> </w:t>
      </w:r>
      <w:r w:rsidR="00D500BC" w:rsidRPr="00D500BC">
        <w:rPr>
          <w:rtl/>
        </w:rPr>
        <w:t>هذين النصين بغرض الموافقة عليهما خلال الاجتماع المقبل، وفقاً لأحكام الفقرة 4.9 من القرار 1. ويُرجى من</w:t>
      </w:r>
      <w:r w:rsidR="003B213E">
        <w:rPr>
          <w:rFonts w:hint="cs"/>
          <w:rtl/>
        </w:rPr>
        <w:t> </w:t>
      </w:r>
      <w:r w:rsidR="00D500BC" w:rsidRPr="00D500BC">
        <w:rPr>
          <w:rtl/>
        </w:rPr>
        <w:t xml:space="preserve">الدول الأعضاء ملء الاستمارة الواردة في </w:t>
      </w:r>
      <w:r w:rsidR="00D500BC" w:rsidRPr="00D500BC">
        <w:rPr>
          <w:b/>
          <w:bCs/>
          <w:rtl/>
        </w:rPr>
        <w:t>الملحق 2</w:t>
      </w:r>
      <w:r w:rsidR="00D500BC" w:rsidRPr="00D500BC">
        <w:rPr>
          <w:rtl/>
        </w:rPr>
        <w:t xml:space="preserve"> وإعادتها في موعد أقصاه </w:t>
      </w:r>
      <w:r w:rsidR="00D500BC" w:rsidRPr="00D500BC">
        <w:rPr>
          <w:b/>
          <w:bCs/>
          <w:rtl/>
        </w:rPr>
        <w:t>5 نوفمبر 2025</w:t>
      </w:r>
      <w:r w:rsidR="00D500BC" w:rsidRPr="00D500BC">
        <w:rPr>
          <w:rtl/>
        </w:rPr>
        <w:t>، الساعة 23:59 بالتوقيت العالمي المنسق.</w:t>
      </w:r>
    </w:p>
    <w:p w14:paraId="7FD55F73" w14:textId="6107EB7D" w:rsidR="00D500BC" w:rsidRPr="00D500BC" w:rsidRDefault="00FC2DC8" w:rsidP="00EE740C">
      <w:pPr>
        <w:pStyle w:val="enumlev1"/>
        <w:keepNext/>
        <w:keepLines/>
        <w:rPr>
          <w:lang w:val="ar-SA"/>
        </w:rPr>
      </w:pPr>
      <w:bookmarkStart w:id="0" w:name="_Hlk172722338"/>
      <w:r>
        <w:lastRenderedPageBreak/>
        <w:t>4</w:t>
      </w:r>
      <w:r>
        <w:rPr>
          <w:rtl/>
          <w:lang w:bidi="ar-EG"/>
        </w:rPr>
        <w:tab/>
      </w:r>
      <w:r w:rsidR="00D500BC" w:rsidRPr="00D500BC">
        <w:rPr>
          <w:rtl/>
        </w:rPr>
        <w:t>وإذا كانت نسبة 70 في المائة أو أكثر من الردود الواردة من الدول الأعضاء تؤيد النظر في مشاريع التوصيات بغرض الموافقة عليها، عندئذٍ سوف تُكرَّس جلسة عامة لتطبيق إجراء الموافقة. وينبغي للدول الأعضاء التي لا تفوض سلطة النظر في مشاريع التوصيات أن تبلغ مدير مكتب تقييس الاتصالات بأسباب هذا الرأي وتوضح التغييرات التي يمكن إدخالها ليتسنى التقدم في العمل.</w:t>
      </w:r>
      <w:bookmarkEnd w:id="0"/>
    </w:p>
    <w:p w14:paraId="37BBC799" w14:textId="57D89108" w:rsidR="00D500BC" w:rsidRPr="00D500BC" w:rsidRDefault="00D500BC" w:rsidP="00EE740C">
      <w:pPr>
        <w:keepNext/>
        <w:keepLines/>
        <w:spacing w:before="240"/>
        <w:rPr>
          <w:lang w:val="ar-SA" w:bidi="ar-SY"/>
        </w:rPr>
      </w:pPr>
      <w:r w:rsidRPr="00D500BC">
        <w:rPr>
          <w:rtl/>
        </w:rPr>
        <w:t>وتفضلوا بقبول فائق التقدير والاحترام.</w:t>
      </w:r>
    </w:p>
    <w:p w14:paraId="39E50622" w14:textId="2A40B94C" w:rsidR="00D500BC" w:rsidRPr="00D500BC" w:rsidRDefault="00544B65" w:rsidP="007E4766">
      <w:pPr>
        <w:spacing w:before="840"/>
        <w:jc w:val="left"/>
        <w:rPr>
          <w:lang w:val="ar-SA" w:bidi="ar-SY"/>
        </w:rPr>
      </w:pPr>
      <w:r>
        <w:rPr>
          <w:noProof/>
          <w:rtl/>
          <w:lang w:val="ar-SA"/>
        </w:rPr>
        <w:drawing>
          <wp:anchor distT="0" distB="0" distL="114300" distR="114300" simplePos="0" relativeHeight="251658240" behindDoc="0" locked="0" layoutInCell="1" allowOverlap="1" wp14:anchorId="74B3097A" wp14:editId="4C778FD2">
            <wp:simplePos x="0" y="0"/>
            <wp:positionH relativeFrom="margin">
              <wp:align>right</wp:align>
            </wp:positionH>
            <wp:positionV relativeFrom="paragraph">
              <wp:posOffset>47625</wp:posOffset>
            </wp:positionV>
            <wp:extent cx="768389" cy="368319"/>
            <wp:effectExtent l="0" t="0" r="0" b="0"/>
            <wp:wrapNone/>
            <wp:docPr id="118900958" name="Picture 1" descr="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00958" name="Picture 1" descr="A black and white text&#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768389" cy="368319"/>
                    </a:xfrm>
                    <a:prstGeom prst="rect">
                      <a:avLst/>
                    </a:prstGeom>
                  </pic:spPr>
                </pic:pic>
              </a:graphicData>
            </a:graphic>
          </wp:anchor>
        </w:drawing>
      </w:r>
      <w:r w:rsidR="00D500BC" w:rsidRPr="00D500BC">
        <w:rPr>
          <w:rtl/>
        </w:rPr>
        <w:t>سيزو أونوي</w:t>
      </w:r>
      <w:r w:rsidR="00EE740C">
        <w:rPr>
          <w:rtl/>
          <w:lang w:bidi="ar-EG"/>
        </w:rPr>
        <w:br/>
      </w:r>
      <w:r w:rsidR="00D500BC" w:rsidRPr="00D500BC">
        <w:rPr>
          <w:rtl/>
        </w:rPr>
        <w:t>مدير مكتب تقييس الاتصالات</w:t>
      </w:r>
    </w:p>
    <w:p w14:paraId="2229201E" w14:textId="4C0C57D5" w:rsidR="00D500BC" w:rsidRPr="00D500BC" w:rsidRDefault="00D500BC" w:rsidP="00246684">
      <w:pPr>
        <w:spacing w:before="840"/>
        <w:rPr>
          <w:lang w:val="ar-SA" w:bidi="ar-SY"/>
        </w:rPr>
      </w:pPr>
      <w:r w:rsidRPr="00D500BC">
        <w:rPr>
          <w:b/>
          <w:bCs/>
          <w:rtl/>
        </w:rPr>
        <w:t>الملحقات</w:t>
      </w:r>
      <w:r w:rsidRPr="00D500BC">
        <w:rPr>
          <w:lang w:val="en-GB" w:bidi="ar-SY"/>
        </w:rPr>
        <w:t>:</w:t>
      </w:r>
      <w:r w:rsidRPr="00D500BC">
        <w:rPr>
          <w:rtl/>
        </w:rPr>
        <w:t xml:space="preserve"> 2</w:t>
      </w:r>
    </w:p>
    <w:p w14:paraId="4FC9BD3E" w14:textId="77777777" w:rsidR="002E0125" w:rsidRDefault="002E0125" w:rsidP="00D500BC">
      <w:pPr>
        <w:rPr>
          <w:b/>
          <w:bCs/>
          <w:rtl/>
        </w:rPr>
      </w:pPr>
      <w:r>
        <w:rPr>
          <w:b/>
          <w:bCs/>
          <w:rtl/>
        </w:rPr>
        <w:br w:type="page"/>
      </w:r>
    </w:p>
    <w:p w14:paraId="102B9676" w14:textId="16F3A65B" w:rsidR="00D500BC" w:rsidRPr="00766048" w:rsidRDefault="00D500BC" w:rsidP="00766048">
      <w:pPr>
        <w:pStyle w:val="Annextitle"/>
      </w:pPr>
      <w:r w:rsidRPr="002E0125">
        <w:rPr>
          <w:rtl/>
        </w:rPr>
        <w:lastRenderedPageBreak/>
        <w:t>الملحق 1</w:t>
      </w:r>
      <w:r w:rsidR="00C73A84">
        <w:rPr>
          <w:rtl/>
        </w:rPr>
        <w:br/>
      </w:r>
      <w:r w:rsidRPr="00D500BC">
        <w:rPr>
          <w:rtl/>
        </w:rPr>
        <w:t>ملخصا مشروعي التوصيتين المحددتين</w:t>
      </w:r>
      <w:r w:rsidR="00766048">
        <w:rPr>
          <w:rFonts w:hint="cs"/>
          <w:rtl/>
        </w:rPr>
        <w:t xml:space="preserve"> </w:t>
      </w:r>
      <w:r w:rsidR="00766048">
        <w:t>ITU-T Q.5055</w:t>
      </w:r>
      <w:r w:rsidRPr="00D500BC">
        <w:rPr>
          <w:rtl/>
        </w:rPr>
        <w:t xml:space="preserve"> (Q.CEIR سابقاً) </w:t>
      </w:r>
      <w:r w:rsidR="00246684">
        <w:rPr>
          <w:rtl/>
        </w:rPr>
        <w:br/>
      </w:r>
      <w:r w:rsidR="00766048">
        <w:rPr>
          <w:rFonts w:hint="cs"/>
          <w:rtl/>
        </w:rPr>
        <w:t>و</w:t>
      </w:r>
      <w:r w:rsidR="00766048">
        <w:t>ITU-T Q.5056</w:t>
      </w:r>
      <w:r w:rsidRPr="00D500BC">
        <w:rPr>
          <w:rtl/>
        </w:rPr>
        <w:t xml:space="preserve"> (Q.FC-MCM سابقاً) والوثيقتان اللتان يردان فيهما</w:t>
      </w:r>
    </w:p>
    <w:p w14:paraId="7337D45A" w14:textId="77777777" w:rsidR="00D500BC" w:rsidRPr="002E0125" w:rsidRDefault="00D500BC" w:rsidP="002E0125">
      <w:pPr>
        <w:pStyle w:val="Note"/>
        <w:rPr>
          <w:i/>
          <w:iCs/>
          <w:lang w:val="ar-SA" w:bidi="ar-SY"/>
        </w:rPr>
      </w:pPr>
      <w:r w:rsidRPr="002E0125">
        <w:rPr>
          <w:b/>
          <w:bCs/>
          <w:i/>
          <w:iCs/>
          <w:rtl/>
        </w:rPr>
        <w:t>ملاحظة</w:t>
      </w:r>
      <w:r w:rsidRPr="002E0125">
        <w:rPr>
          <w:i/>
          <w:iCs/>
          <w:rtl/>
        </w:rPr>
        <w:t xml:space="preserve"> - بناءً على طلب في الجلسة العامة الختامية للجنة الدراسات 11 في 28 فبراير 2025، تدعى الدول الأعضاء أيضاً إلى تقديم تعليقات، إن وجدت، بشأن استخدام كلمتي "قانوني/قانونية" و"غير قانوني/غير قانونية" المذكورتين في مشروعي التوصيتين هذين.</w:t>
      </w:r>
    </w:p>
    <w:p w14:paraId="2DE7398C" w14:textId="5300FA81" w:rsidR="00766048" w:rsidRDefault="002E0125" w:rsidP="00766048">
      <w:pPr>
        <w:pStyle w:val="Heading1"/>
      </w:pPr>
      <w:r>
        <w:t>1</w:t>
      </w:r>
      <w:r>
        <w:rPr>
          <w:rtl/>
          <w:lang w:bidi="ar-EG"/>
        </w:rPr>
        <w:tab/>
      </w:r>
      <w:r w:rsidR="00D500BC" w:rsidRPr="00D500BC">
        <w:rPr>
          <w:rtl/>
        </w:rPr>
        <w:t xml:space="preserve">مشروع التوصية الجديدة </w:t>
      </w:r>
      <w:r w:rsidR="00766048">
        <w:t>ITU-T Q.5055</w:t>
      </w:r>
      <w:r w:rsidR="00766048">
        <w:rPr>
          <w:rFonts w:hint="cs"/>
          <w:rtl/>
          <w:lang w:bidi="ar-EG"/>
        </w:rPr>
        <w:t xml:space="preserve"> </w:t>
      </w:r>
      <w:r w:rsidR="00766048" w:rsidRPr="00D500BC">
        <w:rPr>
          <w:rtl/>
        </w:rPr>
        <w:t>(</w:t>
      </w:r>
      <w:proofErr w:type="gramStart"/>
      <w:r w:rsidR="00766048" w:rsidRPr="00D500BC">
        <w:rPr>
          <w:rtl/>
        </w:rPr>
        <w:t>Q.CEIR</w:t>
      </w:r>
      <w:proofErr w:type="gramEnd"/>
      <w:r w:rsidR="00766048" w:rsidRPr="00D500BC">
        <w:rPr>
          <w:rtl/>
        </w:rPr>
        <w:t xml:space="preserve"> سابقاً) [</w:t>
      </w:r>
      <w:hyperlink r:id="rId11" w:history="1">
        <w:r w:rsidR="00766048" w:rsidRPr="00CB05C5">
          <w:rPr>
            <w:rStyle w:val="Hyperlink"/>
            <w:rtl/>
          </w:rPr>
          <w:t>SG11-R5</w:t>
        </w:r>
      </w:hyperlink>
      <w:r w:rsidR="00766048" w:rsidRPr="00D500BC">
        <w:rPr>
          <w:rtl/>
        </w:rPr>
        <w:t>]</w:t>
      </w:r>
    </w:p>
    <w:p w14:paraId="3AFA7B9D" w14:textId="77777777" w:rsidR="00D500BC" w:rsidRPr="00D500BC" w:rsidRDefault="00D500BC" w:rsidP="00D500BC">
      <w:pPr>
        <w:rPr>
          <w:lang w:val="ar-SA" w:bidi="ar-SY"/>
        </w:rPr>
      </w:pPr>
      <w:r w:rsidRPr="00D500BC">
        <w:rPr>
          <w:rtl/>
        </w:rPr>
        <w:t xml:space="preserve">المتطلبات التقنية والسطوح البينية والوظائف العامة لسجل هوية المعدات المركزي </w:t>
      </w:r>
      <w:r w:rsidRPr="00D500BC">
        <w:rPr>
          <w:lang w:val="en-GB" w:bidi="ar-SY"/>
        </w:rPr>
        <w:t>CEIR)</w:t>
      </w:r>
      <w:r w:rsidRPr="00D500BC">
        <w:rPr>
          <w:rtl/>
        </w:rPr>
        <w:t>)</w:t>
      </w:r>
    </w:p>
    <w:p w14:paraId="3664FC9E" w14:textId="77777777" w:rsidR="00D500BC" w:rsidRPr="00D500BC" w:rsidRDefault="00D500BC" w:rsidP="00CB05C5">
      <w:pPr>
        <w:pStyle w:val="Headingb"/>
        <w:rPr>
          <w:lang w:val="ar-SA" w:bidi="ar-SY"/>
        </w:rPr>
      </w:pPr>
      <w:r w:rsidRPr="00D500BC">
        <w:rPr>
          <w:rtl/>
        </w:rPr>
        <w:t>ملخص</w:t>
      </w:r>
    </w:p>
    <w:p w14:paraId="5B3C1748" w14:textId="38FBEBB3" w:rsidR="00D500BC" w:rsidRPr="00D500BC" w:rsidRDefault="00D500BC" w:rsidP="00D500BC">
      <w:pPr>
        <w:rPr>
          <w:lang w:val="ar-SA" w:bidi="ar-SY"/>
        </w:rPr>
      </w:pPr>
      <w:r w:rsidRPr="00D500BC">
        <w:rPr>
          <w:rtl/>
        </w:rPr>
        <w:t xml:space="preserve">مع توسع اعتماد أجهزة الاتصالات المتنقلة، يواجه العالم حالات متزايدة من سرقة الأجهزة المتنقلة، واستنساخ الهوية الدولية للمعدات المتنقلة </w:t>
      </w:r>
      <w:r w:rsidRPr="00D500BC">
        <w:rPr>
          <w:lang w:val="en-GB" w:bidi="ar-SY"/>
        </w:rPr>
        <w:t>IMEI)</w:t>
      </w:r>
      <w:r w:rsidRPr="00D500BC">
        <w:rPr>
          <w:rtl/>
        </w:rPr>
        <w:t>)، واستخدام الأجهزة المتنقلة المزيفة. ولمنع استخدام هذه الأجهزة غير النظامية، يوصى في</w:t>
      </w:r>
      <w:r w:rsidR="00CB05C5">
        <w:rPr>
          <w:rFonts w:hint="cs"/>
          <w:rtl/>
        </w:rPr>
        <w:t> </w:t>
      </w:r>
      <w:r w:rsidRPr="00D500BC">
        <w:rPr>
          <w:rtl/>
        </w:rPr>
        <w:t>التوصيات</w:t>
      </w:r>
      <w:r w:rsidR="00766048">
        <w:rPr>
          <w:rFonts w:hint="cs"/>
          <w:rtl/>
          <w:lang w:bidi="ar-EG"/>
        </w:rPr>
        <w:t xml:space="preserve"> </w:t>
      </w:r>
      <w:r w:rsidR="00766048">
        <w:rPr>
          <w:lang w:bidi="ar-EG"/>
        </w:rPr>
        <w:t>ITU-T Q.5050</w:t>
      </w:r>
      <w:r w:rsidR="00C73A84">
        <w:rPr>
          <w:rFonts w:hint="cs"/>
          <w:rtl/>
        </w:rPr>
        <w:t xml:space="preserve"> </w:t>
      </w:r>
      <w:r w:rsidRPr="00D500BC">
        <w:rPr>
          <w:rtl/>
        </w:rPr>
        <w:t>و</w:t>
      </w:r>
      <w:r w:rsidR="00766048">
        <w:rPr>
          <w:lang w:bidi="ar-EG"/>
        </w:rPr>
        <w:t>ITU-T Q.5051</w:t>
      </w:r>
      <w:r w:rsidR="00766048">
        <w:rPr>
          <w:rFonts w:hint="cs"/>
          <w:rtl/>
          <w:lang w:bidi="ar-EG"/>
        </w:rPr>
        <w:t xml:space="preserve"> </w:t>
      </w:r>
      <w:r w:rsidRPr="00D500BC">
        <w:rPr>
          <w:rtl/>
        </w:rPr>
        <w:t>و</w:t>
      </w:r>
      <w:r w:rsidR="00766048">
        <w:rPr>
          <w:lang w:bidi="ar-EG"/>
        </w:rPr>
        <w:t>ITU-T Q.5052</w:t>
      </w:r>
      <w:r w:rsidRPr="00D500BC">
        <w:rPr>
          <w:rtl/>
        </w:rPr>
        <w:t xml:space="preserve"> بعدة إجراءات ممكنة منها أن يقوم مشغل الشبكة المتنقلة</w:t>
      </w:r>
      <w:r w:rsidR="00CB05C5">
        <w:rPr>
          <w:rFonts w:hint="cs"/>
          <w:rtl/>
        </w:rPr>
        <w:t> </w:t>
      </w:r>
      <w:r w:rsidRPr="00D500BC">
        <w:rPr>
          <w:rtl/>
        </w:rPr>
        <w:t>(</w:t>
      </w:r>
      <w:r w:rsidRPr="00D500BC">
        <w:rPr>
          <w:lang w:val="en-GB" w:bidi="ar-SY"/>
        </w:rPr>
        <w:t>MNO</w:t>
      </w:r>
      <w:r w:rsidRPr="00D500BC">
        <w:rPr>
          <w:rtl/>
        </w:rPr>
        <w:t>) بحجب المعرّف الفريد للجهاز المتنقل غير النظامي في سجل هوية المعدات (</w:t>
      </w:r>
      <w:r w:rsidRPr="00D500BC">
        <w:rPr>
          <w:lang w:val="en-GB" w:bidi="ar-SY"/>
        </w:rPr>
        <w:t>EIR</w:t>
      </w:r>
      <w:r w:rsidRPr="00D500BC">
        <w:rPr>
          <w:rtl/>
        </w:rPr>
        <w:t>) وتنفيذ سلسلة من قوائم التحكم في الجهاز (من قبيل السماح والتتبع والحجب) لإدارة هذه العملية.</w:t>
      </w:r>
    </w:p>
    <w:p w14:paraId="2B5615DA" w14:textId="33A24337" w:rsidR="00D500BC" w:rsidRPr="00D500BC" w:rsidRDefault="00D500BC" w:rsidP="00D500BC">
      <w:pPr>
        <w:rPr>
          <w:spacing w:val="-2"/>
          <w:lang w:val="ar-SA" w:bidi="ar-SY"/>
        </w:rPr>
      </w:pPr>
      <w:r w:rsidRPr="00D500BC">
        <w:rPr>
          <w:spacing w:val="-2"/>
          <w:rtl/>
        </w:rPr>
        <w:t xml:space="preserve">وتشير </w:t>
      </w:r>
      <w:r w:rsidR="00766048" w:rsidRPr="00D500BC">
        <w:rPr>
          <w:rtl/>
        </w:rPr>
        <w:t>التوصيات</w:t>
      </w:r>
      <w:r w:rsidR="00766048">
        <w:rPr>
          <w:rFonts w:hint="cs"/>
          <w:rtl/>
          <w:lang w:bidi="ar-EG"/>
        </w:rPr>
        <w:t xml:space="preserve"> </w:t>
      </w:r>
      <w:r w:rsidR="00766048">
        <w:rPr>
          <w:lang w:bidi="ar-EG"/>
        </w:rPr>
        <w:t>ITU-T Q.5050</w:t>
      </w:r>
      <w:r w:rsidR="00766048">
        <w:rPr>
          <w:rFonts w:hint="cs"/>
          <w:rtl/>
        </w:rPr>
        <w:t xml:space="preserve"> </w:t>
      </w:r>
      <w:r w:rsidR="00766048" w:rsidRPr="00D500BC">
        <w:rPr>
          <w:rtl/>
        </w:rPr>
        <w:t>و</w:t>
      </w:r>
      <w:r w:rsidR="00766048">
        <w:rPr>
          <w:lang w:bidi="ar-EG"/>
        </w:rPr>
        <w:t>ITU-T Q.5051</w:t>
      </w:r>
      <w:r w:rsidR="00766048">
        <w:rPr>
          <w:rFonts w:hint="cs"/>
          <w:rtl/>
          <w:lang w:bidi="ar-EG"/>
        </w:rPr>
        <w:t xml:space="preserve"> </w:t>
      </w:r>
      <w:r w:rsidR="00766048" w:rsidRPr="00D500BC">
        <w:rPr>
          <w:rtl/>
        </w:rPr>
        <w:t>و</w:t>
      </w:r>
      <w:r w:rsidR="00766048">
        <w:rPr>
          <w:lang w:bidi="ar-EG"/>
        </w:rPr>
        <w:t>ITU-T Q.5052</w:t>
      </w:r>
      <w:r w:rsidR="00766048" w:rsidRPr="00D500BC">
        <w:rPr>
          <w:rtl/>
        </w:rPr>
        <w:t xml:space="preserve"> </w:t>
      </w:r>
      <w:r w:rsidRPr="00D500BC">
        <w:rPr>
          <w:spacing w:val="-2"/>
          <w:rtl/>
        </w:rPr>
        <w:t xml:space="preserve">أيضاً إلى الحاجة إلى حجب الأجهزة غير النظامية في نفس الوقت في مختلف مشغلي الشبكات المتنقلة (داخل البلد وفي جميع أنحاء العالم أيضاً) ولهذا يلزم استخدام سجل مركزي لهوية المعدات </w:t>
      </w:r>
      <w:r w:rsidRPr="00D500BC">
        <w:rPr>
          <w:spacing w:val="-2"/>
          <w:lang w:val="en-GB" w:bidi="ar-SY"/>
        </w:rPr>
        <w:t>CEIR)</w:t>
      </w:r>
      <w:r w:rsidRPr="00D500BC">
        <w:rPr>
          <w:spacing w:val="-2"/>
          <w:rtl/>
        </w:rPr>
        <w:t>) لتوحيد البيانات الواردة في قوائم التحكم هذه وتوزيعها على جميع مشغلي الشبكات المتنقلة الموصولين</w:t>
      </w:r>
      <w:r w:rsidR="00CB05C5" w:rsidRPr="00CB05C5">
        <w:rPr>
          <w:rFonts w:hint="cs"/>
          <w:spacing w:val="-2"/>
          <w:rtl/>
        </w:rPr>
        <w:t xml:space="preserve"> </w:t>
      </w:r>
      <w:r w:rsidR="00CB05C5" w:rsidRPr="00CB05C5">
        <w:rPr>
          <w:color w:val="000000"/>
          <w:spacing w:val="-2"/>
          <w:szCs w:val="18"/>
        </w:rPr>
        <w:t>(MNO)</w:t>
      </w:r>
      <w:r w:rsidRPr="00D500BC">
        <w:rPr>
          <w:spacing w:val="-2"/>
          <w:rtl/>
        </w:rPr>
        <w:t>.</w:t>
      </w:r>
    </w:p>
    <w:p w14:paraId="209106DE" w14:textId="77777777" w:rsidR="00D500BC" w:rsidRPr="00D500BC" w:rsidRDefault="00D500BC" w:rsidP="00D500BC">
      <w:pPr>
        <w:rPr>
          <w:lang w:val="ar-SA" w:bidi="ar-SY"/>
        </w:rPr>
      </w:pPr>
      <w:r w:rsidRPr="00D500BC">
        <w:rPr>
          <w:rtl/>
        </w:rPr>
        <w:t xml:space="preserve">ولمساعدة البلدان التي تسعى إلى تنفيذ سجل </w:t>
      </w:r>
      <w:r w:rsidRPr="00D500BC">
        <w:rPr>
          <w:lang w:val="en-GB" w:bidi="ar-SY"/>
        </w:rPr>
        <w:t>CEIR</w:t>
      </w:r>
      <w:r w:rsidRPr="00D500BC">
        <w:rPr>
          <w:rtl/>
        </w:rPr>
        <w:t xml:space="preserve">، تقدم هذه التوصية وصفاً تقنياً تفصيلياً لنظام هذا السجل ومتطلباته والسطوح البينية والوظائف الأساسية التي ينبغي أن يقدمها وبعض الميزات الاختيارية التي يمكن استخدامها، تبعاً للمتطلبات الخاصة بالعميل. وتتضمن هذه التوصية أيضاً وصفاً لمختلف أصحاب المصلحة في نظام السجل </w:t>
      </w:r>
      <w:r w:rsidRPr="00D500BC">
        <w:rPr>
          <w:lang w:val="en-GB" w:bidi="ar-SY"/>
        </w:rPr>
        <w:t>CEIR</w:t>
      </w:r>
      <w:r w:rsidRPr="00D500BC">
        <w:rPr>
          <w:rtl/>
        </w:rPr>
        <w:t xml:space="preserve"> وأدوارهم ومسؤولياتهم المحددة أو المتوقعة.</w:t>
      </w:r>
    </w:p>
    <w:p w14:paraId="76C12EBD" w14:textId="060A5BB2" w:rsidR="00D500BC" w:rsidRPr="00D500BC" w:rsidRDefault="00D500BC" w:rsidP="00344869">
      <w:pPr>
        <w:pStyle w:val="Note"/>
        <w:rPr>
          <w:lang w:val="ar-SA" w:bidi="ar-SY"/>
        </w:rPr>
      </w:pPr>
      <w:r w:rsidRPr="00D500BC">
        <w:rPr>
          <w:b/>
          <w:bCs/>
          <w:rtl/>
        </w:rPr>
        <w:t>ملاحظة من مكتب تقييس الاتصالات</w:t>
      </w:r>
      <w:r w:rsidRPr="00D500BC">
        <w:rPr>
          <w:rtl/>
        </w:rPr>
        <w:t xml:space="preserve"> - لم يتلقَ مكتب تقييس الاتصالات حتى تاريخ هذه الرسالة المعممة أي بيانات عن حقوق الملكية الفكرية فيما يخص مشروع النص هذا. وللاطلاع على أحدث المعلومات بهذا الشأن، يُرجى من الأعضاء الرجوع إلى قاعدة بيانات حقوق الملكية الفكرية المتاحة عبر الرابط التالي</w:t>
      </w:r>
      <w:r w:rsidRPr="00D500BC">
        <w:rPr>
          <w:lang w:val="en-GB" w:bidi="ar-SY"/>
        </w:rPr>
        <w:t>:</w:t>
      </w:r>
      <w:r w:rsidRPr="00D500BC">
        <w:rPr>
          <w:rtl/>
        </w:rPr>
        <w:t xml:space="preserve"> </w:t>
      </w:r>
      <w:hyperlink r:id="rId12" w:history="1">
        <w:r w:rsidR="00344869" w:rsidRPr="00344869">
          <w:rPr>
            <w:rStyle w:val="Hyperlink"/>
            <w:lang w:val="en-GB"/>
          </w:rPr>
          <w:t>www.itu.int/ipr/</w:t>
        </w:r>
      </w:hyperlink>
      <w:r w:rsidR="00344869">
        <w:rPr>
          <w:rFonts w:hint="cs"/>
          <w:rtl/>
        </w:rPr>
        <w:t>.</w:t>
      </w:r>
    </w:p>
    <w:p w14:paraId="6C2AFC6C" w14:textId="4E2558BA" w:rsidR="00D500BC" w:rsidRPr="00D500BC" w:rsidRDefault="00587AA8" w:rsidP="00587AA8">
      <w:pPr>
        <w:pStyle w:val="Heading1"/>
        <w:rPr>
          <w:lang w:val="ar-SA" w:bidi="ar-SY"/>
        </w:rPr>
      </w:pPr>
      <w:r w:rsidRPr="00242652">
        <w:t>2</w:t>
      </w:r>
      <w:r w:rsidRPr="00242652">
        <w:rPr>
          <w:rtl/>
          <w:lang w:bidi="ar-EG"/>
        </w:rPr>
        <w:tab/>
      </w:r>
      <w:r w:rsidR="00D500BC" w:rsidRPr="00242652">
        <w:rPr>
          <w:rtl/>
        </w:rPr>
        <w:t xml:space="preserve">مشروع التوصية الجديدة </w:t>
      </w:r>
      <w:r w:rsidR="00766048" w:rsidRPr="00242652">
        <w:t>ITU-T Q.5056</w:t>
      </w:r>
      <w:r w:rsidR="00766048" w:rsidRPr="00242652">
        <w:rPr>
          <w:rFonts w:hint="cs"/>
          <w:rtl/>
          <w:lang w:bidi="ar-EG"/>
        </w:rPr>
        <w:t xml:space="preserve"> </w:t>
      </w:r>
      <w:r w:rsidR="00D500BC" w:rsidRPr="00242652">
        <w:rPr>
          <w:rtl/>
        </w:rPr>
        <w:t>(Q.FC-MCM سابقاً) [</w:t>
      </w:r>
      <w:hyperlink r:id="rId13" w:history="1">
        <w:r w:rsidR="00D500BC" w:rsidRPr="00242652">
          <w:rPr>
            <w:rStyle w:val="Hyperlink"/>
            <w:rtl/>
          </w:rPr>
          <w:t>SG11-R6</w:t>
        </w:r>
      </w:hyperlink>
      <w:r w:rsidR="00D500BC" w:rsidRPr="00242652">
        <w:rPr>
          <w:rtl/>
        </w:rPr>
        <w:t>]</w:t>
      </w:r>
    </w:p>
    <w:p w14:paraId="4822AD80" w14:textId="77777777" w:rsidR="00D500BC" w:rsidRPr="00D500BC" w:rsidRDefault="00D500BC" w:rsidP="00D500BC">
      <w:pPr>
        <w:rPr>
          <w:lang w:val="ar-SA" w:bidi="ar-SY"/>
        </w:rPr>
      </w:pPr>
      <w:r w:rsidRPr="00D500BC">
        <w:rPr>
          <w:rtl/>
        </w:rPr>
        <w:t>إطار مكافحة سوء استغلال محتوى الوسائط المتعددة على الإنترنت</w:t>
      </w:r>
    </w:p>
    <w:p w14:paraId="7566E17C" w14:textId="77777777" w:rsidR="00D500BC" w:rsidRPr="00D500BC" w:rsidRDefault="00D500BC" w:rsidP="00A0042B">
      <w:pPr>
        <w:pStyle w:val="Headingb"/>
        <w:rPr>
          <w:lang w:val="ar-SA" w:bidi="ar-SY"/>
        </w:rPr>
      </w:pPr>
      <w:r w:rsidRPr="00D500BC">
        <w:rPr>
          <w:rtl/>
        </w:rPr>
        <w:t>ملخص</w:t>
      </w:r>
    </w:p>
    <w:p w14:paraId="06E55806" w14:textId="77777777" w:rsidR="00D500BC" w:rsidRPr="00D500BC" w:rsidRDefault="00D500BC" w:rsidP="00D500BC">
      <w:pPr>
        <w:rPr>
          <w:lang w:val="ar-SA" w:bidi="ar-SY"/>
        </w:rPr>
      </w:pPr>
      <w:r w:rsidRPr="00D500BC">
        <w:rPr>
          <w:rtl/>
        </w:rPr>
        <w:t xml:space="preserve">مع توسع التوصيلية والتوافر الكبير للحلول المتاحة عبر الإنترنت </w:t>
      </w:r>
      <w:r w:rsidRPr="00D500BC">
        <w:rPr>
          <w:lang w:val="en-GB" w:bidi="ar-SY"/>
        </w:rPr>
        <w:t>OTT)</w:t>
      </w:r>
      <w:r w:rsidRPr="00D500BC">
        <w:rPr>
          <w:rtl/>
        </w:rPr>
        <w:t>) فيما يتعلق بتقديم المحتوى، يواجه العالم حالات سوء استغلال محتوى الوسائط المتعددة نتيجة إمكانية استخدام برمجيات مغشوشة أو خبيثة أو أجهزة استقبال مزيفة أو خبيثة، من بين إمكانيات أخرى.</w:t>
      </w:r>
    </w:p>
    <w:p w14:paraId="276E88F7" w14:textId="77777777" w:rsidR="00D500BC" w:rsidRPr="00D500BC" w:rsidRDefault="00D500BC" w:rsidP="00D500BC">
      <w:pPr>
        <w:rPr>
          <w:lang w:val="ar-SA" w:bidi="ar-SY"/>
        </w:rPr>
      </w:pPr>
      <w:r w:rsidRPr="00D500BC">
        <w:rPr>
          <w:rtl/>
        </w:rPr>
        <w:t>ولهذا السلوك آثار سلبية على جميع أصحاب المصلحة المعنيين. فهو يؤدي إلى توليد إيرادات أقل لمنشئي المحتوى وموزعيه، وتقليل الضرائب المفروضة على الإدارات، وزيادة الآثار المتعلقة بالبنية التحتية والأمن على مشغلي الشبكات، وتوسيع سطح الهجوم على خدمات الإنترنت، وزيادة المخاطر على المستهلكين الذين قد تُسرق بياناتهم الشخصية أو تتضرر، وكل ذلك نتيجة البرمجيات المغشوشة أو الخبيثة أو أجهزة الاستقبال المزيفة أو الخبيثة.</w:t>
      </w:r>
    </w:p>
    <w:p w14:paraId="56893AB4" w14:textId="77777777" w:rsidR="00D500BC" w:rsidRPr="00D500BC" w:rsidRDefault="00D500BC" w:rsidP="00D500BC">
      <w:pPr>
        <w:rPr>
          <w:lang w:val="ar-SA" w:bidi="ar-SY"/>
        </w:rPr>
      </w:pPr>
      <w:r w:rsidRPr="00D500BC">
        <w:rPr>
          <w:rtl/>
        </w:rPr>
        <w:t>وبالإضافة إلى ذلك، من الشائع سرقة المحتوى في بلد ما وتوزيعه في جميع أنحاء العالم، ولذلك يلزم التعاون الدولي بين جميع أصحاب المصلحة للتخفيف من مشكلة القرصنة الرقمية الدولية هذه.</w:t>
      </w:r>
    </w:p>
    <w:p w14:paraId="699DF676" w14:textId="77777777" w:rsidR="00D500BC" w:rsidRPr="00D500BC" w:rsidRDefault="00D500BC" w:rsidP="00D500BC">
      <w:pPr>
        <w:rPr>
          <w:lang w:val="ar-SA" w:bidi="ar-SY"/>
        </w:rPr>
      </w:pPr>
      <w:r w:rsidRPr="00D500BC">
        <w:rPr>
          <w:rtl/>
        </w:rPr>
        <w:lastRenderedPageBreak/>
        <w:t>وعلى الرغم من أن الصناعة اتخذت تدابير واسعة النطاق لمنع حدوث هذه المشكلة، فإن الإدارات، إذ تدرك استمرار نمو القرصنة الرقمية وانتهاك الملكية الفكرية وآثارها السلبية، تحاول جاهدةً معالجة هذه المشكلة من خلال تكييف لوائحها وإجراءاتها الرامية إلى التخفيف من سوء توزيع واستخدام محتوى الوسائط المتعددة.</w:t>
      </w:r>
    </w:p>
    <w:p w14:paraId="6C04FC5C" w14:textId="77777777" w:rsidR="00D500BC" w:rsidRPr="00D500BC" w:rsidRDefault="00D500BC" w:rsidP="00D500BC">
      <w:pPr>
        <w:rPr>
          <w:lang w:val="ar-SA" w:bidi="ar-SY"/>
        </w:rPr>
      </w:pPr>
      <w:r w:rsidRPr="00D500BC">
        <w:rPr>
          <w:rtl/>
        </w:rPr>
        <w:t>وبالنظر إلى هذا السيناريو المعقد، لا يوجد حل واحد لهذه المشكلة، بل يتعين على جميع أصحاب المصلحة المعنيين اتخاذ مجموعة من الإجراءات بطريقة تعاونية.</w:t>
      </w:r>
    </w:p>
    <w:p w14:paraId="16523A0E" w14:textId="03482002" w:rsidR="00D500BC" w:rsidRPr="00D500BC" w:rsidRDefault="00D500BC" w:rsidP="00D500BC">
      <w:pPr>
        <w:rPr>
          <w:lang w:val="ar-SA" w:bidi="ar-SY"/>
        </w:rPr>
      </w:pPr>
      <w:r w:rsidRPr="00D500BC">
        <w:rPr>
          <w:rtl/>
        </w:rPr>
        <w:t xml:space="preserve">ولذلك، تهدف هذه التوصية </w:t>
      </w:r>
      <w:r w:rsidR="00242652" w:rsidRPr="00242652">
        <w:t>ITU-T Q.5056</w:t>
      </w:r>
      <w:r w:rsidR="00242652" w:rsidRPr="00242652">
        <w:rPr>
          <w:rFonts w:hint="cs"/>
          <w:rtl/>
          <w:lang w:bidi="ar-EG"/>
        </w:rPr>
        <w:t xml:space="preserve"> </w:t>
      </w:r>
      <w:r w:rsidRPr="00D500BC">
        <w:rPr>
          <w:rtl/>
        </w:rPr>
        <w:t xml:space="preserve">إلى تقديم إطار مرجعي يتضمن المتطلبات والإجراءات التي ينبغي مراعاتها عند نشر حلول لمكافحة سوء استغلال محتوى الوسائط المتعددة </w:t>
      </w:r>
      <w:r w:rsidRPr="00D500BC">
        <w:rPr>
          <w:lang w:val="en-GB" w:bidi="ar-SY"/>
        </w:rPr>
        <w:t>MCM)</w:t>
      </w:r>
      <w:r w:rsidRPr="00D500BC">
        <w:rPr>
          <w:rtl/>
        </w:rPr>
        <w:t>).</w:t>
      </w:r>
    </w:p>
    <w:p w14:paraId="6B89DC76" w14:textId="7E268359" w:rsidR="00D500BC" w:rsidRPr="00D500BC" w:rsidRDefault="00D500BC" w:rsidP="00A0042B">
      <w:pPr>
        <w:pStyle w:val="Note"/>
        <w:rPr>
          <w:lang w:val="ar-SA" w:bidi="ar-SY"/>
        </w:rPr>
      </w:pPr>
      <w:r w:rsidRPr="00D500BC">
        <w:rPr>
          <w:b/>
          <w:bCs/>
          <w:rtl/>
        </w:rPr>
        <w:t>ملاحظة من مكتب تقييس الاتصالات</w:t>
      </w:r>
      <w:r w:rsidRPr="00D500BC">
        <w:rPr>
          <w:rtl/>
        </w:rPr>
        <w:t xml:space="preserve"> - لم يتلقَ مكتب تقييس الاتصالات حتى تاريخ هذه الرسالة المعممة أي بيانات عن حقوق الملكية الفكرية فيما يخص مشروع النص هذا. وللاطلاع على أحدث المعلومات بهذا الشأن، يُرجى من الأعضاء الرجوع إلى قاعدة بيانات حقوق الملكية الفكرية المتاحة عبر الرابط التالي</w:t>
      </w:r>
      <w:r w:rsidRPr="00D500BC">
        <w:rPr>
          <w:lang w:val="en-GB" w:bidi="ar-SY"/>
        </w:rPr>
        <w:t>:</w:t>
      </w:r>
      <w:r w:rsidRPr="00D500BC">
        <w:rPr>
          <w:rtl/>
        </w:rPr>
        <w:t xml:space="preserve"> </w:t>
      </w:r>
      <w:hyperlink r:id="rId14" w:history="1">
        <w:r w:rsidR="00A0042B" w:rsidRPr="00A0042B">
          <w:rPr>
            <w:rStyle w:val="Hyperlink"/>
            <w:lang w:val="en-GB"/>
          </w:rPr>
          <w:t>www.itu.int/ipr/</w:t>
        </w:r>
      </w:hyperlink>
      <w:r w:rsidRPr="00D500BC">
        <w:rPr>
          <w:rtl/>
        </w:rPr>
        <w:t>.</w:t>
      </w:r>
    </w:p>
    <w:p w14:paraId="7D13A65C" w14:textId="77777777" w:rsidR="008678B1" w:rsidRDefault="00D500BC" w:rsidP="00A0042B">
      <w:pPr>
        <w:rPr>
          <w:b/>
          <w:rtl/>
        </w:rPr>
      </w:pPr>
      <w:r w:rsidRPr="00D500BC">
        <w:rPr>
          <w:b/>
          <w:rtl/>
        </w:rPr>
        <w:t xml:space="preserve"> </w:t>
      </w:r>
      <w:r w:rsidR="008678B1">
        <w:rPr>
          <w:b/>
          <w:rtl/>
        </w:rPr>
        <w:br w:type="page"/>
      </w:r>
    </w:p>
    <w:p w14:paraId="216437B6" w14:textId="259BE8F0" w:rsidR="00D500BC" w:rsidRPr="00D500BC" w:rsidRDefault="00D500BC" w:rsidP="008678B1">
      <w:pPr>
        <w:pStyle w:val="Annextitle"/>
        <w:rPr>
          <w:lang w:val="ar-SA"/>
        </w:rPr>
      </w:pPr>
      <w:r w:rsidRPr="00D500BC">
        <w:rPr>
          <w:rtl/>
        </w:rPr>
        <w:lastRenderedPageBreak/>
        <w:t>الملحق 2</w:t>
      </w:r>
      <w:r w:rsidR="008678B1">
        <w:rPr>
          <w:rtl/>
        </w:rPr>
        <w:br/>
      </w:r>
      <w:r w:rsidRPr="00D500BC">
        <w:rPr>
          <w:rtl/>
        </w:rPr>
        <w:t>الموضوع: رد الدول الأعضاء على الرسالة المعممة 35 من مكتب تقييس الاتصالات:</w:t>
      </w:r>
      <w:r w:rsidR="008678B1">
        <w:rPr>
          <w:rtl/>
        </w:rPr>
        <w:br/>
      </w:r>
      <w:r w:rsidRPr="00D500BC">
        <w:rPr>
          <w:rtl/>
        </w:rPr>
        <w:t>المشاورة المتعلقة بمشروعي التوصيتين المحدَّدتين ITU-T Q.5055 (Q.CEIR سابقاً)</w:t>
      </w:r>
      <w:r w:rsidR="002363AB">
        <w:rPr>
          <w:rtl/>
        </w:rPr>
        <w:br/>
      </w:r>
      <w:r w:rsidRPr="00D500BC">
        <w:rPr>
          <w:rtl/>
        </w:rPr>
        <w:t>وITU-T Q.5056 (Q.FC-MCM سابقاً)</w:t>
      </w:r>
    </w:p>
    <w:tbl>
      <w:tblPr>
        <w:bidiVisual/>
        <w:tblW w:w="5000" w:type="pct"/>
        <w:jc w:val="center"/>
        <w:tblLayout w:type="fixed"/>
        <w:tblLook w:val="04A0" w:firstRow="1" w:lastRow="0" w:firstColumn="1" w:lastColumn="0" w:noHBand="0" w:noVBand="1"/>
      </w:tblPr>
      <w:tblGrid>
        <w:gridCol w:w="1643"/>
        <w:gridCol w:w="14"/>
        <w:gridCol w:w="3727"/>
        <w:gridCol w:w="1542"/>
        <w:gridCol w:w="2713"/>
      </w:tblGrid>
      <w:tr w:rsidR="00D500BC" w:rsidRPr="00D500BC" w14:paraId="04912358" w14:textId="77777777" w:rsidTr="00071E02">
        <w:trPr>
          <w:jc w:val="center"/>
        </w:trPr>
        <w:tc>
          <w:tcPr>
            <w:tcW w:w="1708" w:type="dxa"/>
            <w:gridSpan w:val="2"/>
            <w:shd w:val="clear" w:color="auto" w:fill="auto"/>
          </w:tcPr>
          <w:p w14:paraId="1CBA0F6B" w14:textId="77777777" w:rsidR="00D500BC" w:rsidRPr="00D500BC" w:rsidRDefault="00D500BC" w:rsidP="00D500BC">
            <w:pPr>
              <w:rPr>
                <w:b/>
                <w:bCs/>
                <w:lang w:val="ar-SA" w:bidi="ar-SY"/>
              </w:rPr>
            </w:pPr>
            <w:r w:rsidRPr="00D500BC">
              <w:rPr>
                <w:b/>
                <w:bCs/>
                <w:rtl/>
              </w:rPr>
              <w:t>إلى:</w:t>
            </w:r>
          </w:p>
        </w:tc>
        <w:tc>
          <w:tcPr>
            <w:tcW w:w="3855" w:type="dxa"/>
            <w:tcBorders>
              <w:right w:val="single" w:sz="8" w:space="0" w:color="auto"/>
            </w:tcBorders>
            <w:shd w:val="clear" w:color="auto" w:fill="auto"/>
          </w:tcPr>
          <w:p w14:paraId="497B54E4" w14:textId="74C6A8F1" w:rsidR="00D500BC" w:rsidRPr="00D500BC" w:rsidRDefault="00D500BC" w:rsidP="00961EDC">
            <w:pPr>
              <w:jc w:val="left"/>
              <w:rPr>
                <w:lang w:bidi="ar-SY"/>
              </w:rPr>
            </w:pPr>
            <w:r w:rsidRPr="00D500BC">
              <w:rPr>
                <w:rtl/>
              </w:rPr>
              <w:t>مدير مكتب تقييس الاتصالات،</w:t>
            </w:r>
            <w:r w:rsidR="00C8441C">
              <w:rPr>
                <w:rtl/>
                <w:lang w:val="ar-SA" w:bidi="ar-SY"/>
              </w:rPr>
              <w:br/>
            </w:r>
            <w:r w:rsidRPr="00D500BC">
              <w:rPr>
                <w:rtl/>
              </w:rPr>
              <w:t>الاتحاد الدولي للاتصالات</w:t>
            </w:r>
            <w:r w:rsidR="00961EDC">
              <w:rPr>
                <w:rtl/>
                <w:lang w:val="ar-SA" w:bidi="ar-SY"/>
              </w:rPr>
              <w:br/>
            </w:r>
            <w:r w:rsidRPr="00D500BC">
              <w:rPr>
                <w:rtl/>
              </w:rPr>
              <w:t>Place des Nations</w:t>
            </w:r>
            <w:r w:rsidR="00C8441C">
              <w:rPr>
                <w:rtl/>
                <w:lang w:bidi="ar-SY"/>
              </w:rPr>
              <w:br/>
            </w:r>
            <w:r w:rsidRPr="00D500BC">
              <w:rPr>
                <w:rtl/>
              </w:rPr>
              <w:t>CH-1211 Geneva 20, Switzerland</w:t>
            </w:r>
          </w:p>
        </w:tc>
        <w:tc>
          <w:tcPr>
            <w:tcW w:w="1590" w:type="dxa"/>
            <w:tcBorders>
              <w:left w:val="single" w:sz="8" w:space="0" w:color="auto"/>
            </w:tcBorders>
            <w:shd w:val="clear" w:color="auto" w:fill="auto"/>
          </w:tcPr>
          <w:p w14:paraId="1B74963C" w14:textId="77777777" w:rsidR="00D500BC" w:rsidRPr="00D500BC" w:rsidRDefault="00D500BC" w:rsidP="00D500BC">
            <w:pPr>
              <w:rPr>
                <w:b/>
                <w:bCs/>
                <w:lang w:val="ar-SA" w:bidi="ar-SY"/>
              </w:rPr>
            </w:pPr>
            <w:r w:rsidRPr="00D500BC">
              <w:rPr>
                <w:b/>
                <w:bCs/>
                <w:rtl/>
              </w:rPr>
              <w:t>من:</w:t>
            </w:r>
          </w:p>
        </w:tc>
        <w:tc>
          <w:tcPr>
            <w:tcW w:w="2804" w:type="dxa"/>
            <w:shd w:val="clear" w:color="auto" w:fill="auto"/>
          </w:tcPr>
          <w:p w14:paraId="26903013" w14:textId="050E5020" w:rsidR="00D500BC" w:rsidRPr="00D500BC" w:rsidRDefault="00D500BC" w:rsidP="0048492C">
            <w:pPr>
              <w:jc w:val="left"/>
              <w:rPr>
                <w:lang w:val="ar-SA" w:bidi="ar-SY"/>
              </w:rPr>
            </w:pPr>
            <w:r w:rsidRPr="00D500BC">
              <w:rPr>
                <w:rtl/>
              </w:rPr>
              <w:t>[</w:t>
            </w:r>
            <w:r w:rsidRPr="00D500BC">
              <w:rPr>
                <w:highlight w:val="green"/>
                <w:rtl/>
              </w:rPr>
              <w:t>الاسم]</w:t>
            </w:r>
            <w:r w:rsidR="0048492C" w:rsidRPr="00071E02">
              <w:rPr>
                <w:highlight w:val="green"/>
                <w:rtl/>
                <w:lang w:val="ar-SA" w:bidi="ar-SY"/>
              </w:rPr>
              <w:br/>
            </w:r>
            <w:r w:rsidRPr="00D500BC">
              <w:rPr>
                <w:highlight w:val="green"/>
                <w:rtl/>
              </w:rPr>
              <w:t>[الدور/المنصب الرسمي]</w:t>
            </w:r>
            <w:r w:rsidR="0048492C" w:rsidRPr="00071E02">
              <w:rPr>
                <w:highlight w:val="green"/>
                <w:rtl/>
                <w:lang w:val="ar-SA" w:bidi="ar-SY"/>
              </w:rPr>
              <w:br/>
            </w:r>
            <w:r w:rsidRPr="00D500BC">
              <w:rPr>
                <w:highlight w:val="green"/>
                <w:rtl/>
              </w:rPr>
              <w:t>[العنوان]</w:t>
            </w:r>
          </w:p>
        </w:tc>
      </w:tr>
      <w:tr w:rsidR="00D500BC" w:rsidRPr="00D500BC" w14:paraId="4B92BE3B" w14:textId="77777777" w:rsidTr="00071E02">
        <w:trPr>
          <w:jc w:val="center"/>
        </w:trPr>
        <w:tc>
          <w:tcPr>
            <w:tcW w:w="1708" w:type="dxa"/>
            <w:gridSpan w:val="2"/>
            <w:shd w:val="clear" w:color="auto" w:fill="auto"/>
          </w:tcPr>
          <w:p w14:paraId="4F05A3A9" w14:textId="77777777" w:rsidR="00D500BC" w:rsidRPr="00D500BC" w:rsidRDefault="00D500BC" w:rsidP="00D500BC">
            <w:pPr>
              <w:rPr>
                <w:b/>
                <w:bCs/>
                <w:lang w:val="ar-SA" w:bidi="ar-SY"/>
              </w:rPr>
            </w:pPr>
            <w:r w:rsidRPr="00D500BC">
              <w:rPr>
                <w:b/>
                <w:bCs/>
                <w:rtl/>
              </w:rPr>
              <w:t>الفاكس:</w:t>
            </w:r>
          </w:p>
        </w:tc>
        <w:tc>
          <w:tcPr>
            <w:tcW w:w="3855" w:type="dxa"/>
            <w:tcBorders>
              <w:right w:val="single" w:sz="8" w:space="0" w:color="auto"/>
            </w:tcBorders>
            <w:shd w:val="clear" w:color="auto" w:fill="auto"/>
          </w:tcPr>
          <w:p w14:paraId="2664692E" w14:textId="40A9D007" w:rsidR="00D500BC" w:rsidRPr="00D500BC" w:rsidRDefault="00C8441C" w:rsidP="00C8441C">
            <w:pPr>
              <w:rPr>
                <w:lang w:val="ar-SA" w:bidi="ar-SY"/>
              </w:rPr>
            </w:pPr>
            <w:r w:rsidRPr="00C8441C">
              <w:rPr>
                <w:lang w:val="en-GB"/>
              </w:rPr>
              <w:t>+41-22-730-5853</w:t>
            </w:r>
          </w:p>
        </w:tc>
        <w:tc>
          <w:tcPr>
            <w:tcW w:w="1590" w:type="dxa"/>
            <w:tcBorders>
              <w:left w:val="single" w:sz="8" w:space="0" w:color="auto"/>
            </w:tcBorders>
            <w:shd w:val="clear" w:color="auto" w:fill="auto"/>
          </w:tcPr>
          <w:p w14:paraId="7523DAEE" w14:textId="77777777" w:rsidR="00D500BC" w:rsidRPr="00D500BC" w:rsidRDefault="00D500BC" w:rsidP="00D500BC">
            <w:pPr>
              <w:rPr>
                <w:b/>
                <w:bCs/>
                <w:lang w:val="ar-SA" w:bidi="ar-SY"/>
              </w:rPr>
            </w:pPr>
            <w:r w:rsidRPr="00D500BC">
              <w:rPr>
                <w:b/>
                <w:bCs/>
                <w:rtl/>
              </w:rPr>
              <w:t>الفاكس:</w:t>
            </w:r>
          </w:p>
        </w:tc>
        <w:tc>
          <w:tcPr>
            <w:tcW w:w="2804" w:type="dxa"/>
            <w:shd w:val="clear" w:color="auto" w:fill="auto"/>
          </w:tcPr>
          <w:p w14:paraId="7B92D8C3" w14:textId="77777777" w:rsidR="00D500BC" w:rsidRPr="00D500BC" w:rsidRDefault="00D500BC" w:rsidP="00D500BC">
            <w:pPr>
              <w:rPr>
                <w:lang w:val="en-GB" w:bidi="ar-SY"/>
              </w:rPr>
            </w:pPr>
          </w:p>
        </w:tc>
      </w:tr>
      <w:tr w:rsidR="00D500BC" w:rsidRPr="00D500BC" w14:paraId="7B96C716" w14:textId="77777777" w:rsidTr="00071E02">
        <w:trPr>
          <w:jc w:val="center"/>
        </w:trPr>
        <w:tc>
          <w:tcPr>
            <w:tcW w:w="1708" w:type="dxa"/>
            <w:gridSpan w:val="2"/>
            <w:shd w:val="clear" w:color="auto" w:fill="auto"/>
          </w:tcPr>
          <w:p w14:paraId="5798ADFB" w14:textId="77777777" w:rsidR="00D500BC" w:rsidRPr="00D500BC" w:rsidRDefault="00D500BC" w:rsidP="00D500BC">
            <w:pPr>
              <w:rPr>
                <w:b/>
                <w:bCs/>
                <w:lang w:val="ar-SA" w:bidi="ar-SY"/>
              </w:rPr>
            </w:pPr>
            <w:r w:rsidRPr="00D500BC">
              <w:rPr>
                <w:b/>
                <w:bCs/>
                <w:rtl/>
              </w:rPr>
              <w:t>البريد الإلكتروني:</w:t>
            </w:r>
          </w:p>
        </w:tc>
        <w:tc>
          <w:tcPr>
            <w:tcW w:w="3855" w:type="dxa"/>
            <w:tcBorders>
              <w:right w:val="single" w:sz="8" w:space="0" w:color="auto"/>
            </w:tcBorders>
            <w:shd w:val="clear" w:color="auto" w:fill="auto"/>
          </w:tcPr>
          <w:p w14:paraId="17575A24" w14:textId="53F25A76" w:rsidR="00D500BC" w:rsidRPr="00D500BC" w:rsidRDefault="00C8441C" w:rsidP="00C8441C">
            <w:pPr>
              <w:rPr>
                <w:lang w:val="ar-SA" w:bidi="ar-SY"/>
              </w:rPr>
            </w:pPr>
            <w:hyperlink r:id="rId15" w:history="1">
              <w:r w:rsidRPr="00C8441C">
                <w:rPr>
                  <w:rStyle w:val="Hyperlink"/>
                  <w:lang w:val="en-GB" w:bidi="ar-SY"/>
                </w:rPr>
                <w:t>tsbdir@itu.int</w:t>
              </w:r>
            </w:hyperlink>
          </w:p>
        </w:tc>
        <w:tc>
          <w:tcPr>
            <w:tcW w:w="1590" w:type="dxa"/>
            <w:tcBorders>
              <w:left w:val="single" w:sz="8" w:space="0" w:color="auto"/>
            </w:tcBorders>
            <w:shd w:val="clear" w:color="auto" w:fill="auto"/>
          </w:tcPr>
          <w:p w14:paraId="0D29D665" w14:textId="77777777" w:rsidR="00D500BC" w:rsidRPr="00D500BC" w:rsidRDefault="00D500BC" w:rsidP="00D500BC">
            <w:pPr>
              <w:rPr>
                <w:b/>
                <w:bCs/>
                <w:lang w:val="ar-SA" w:bidi="ar-SY"/>
              </w:rPr>
            </w:pPr>
            <w:r w:rsidRPr="00D500BC">
              <w:rPr>
                <w:b/>
                <w:bCs/>
                <w:rtl/>
              </w:rPr>
              <w:t>البريد الإلكتروني:</w:t>
            </w:r>
          </w:p>
        </w:tc>
        <w:tc>
          <w:tcPr>
            <w:tcW w:w="2804" w:type="dxa"/>
            <w:shd w:val="clear" w:color="auto" w:fill="auto"/>
          </w:tcPr>
          <w:p w14:paraId="1912A6D4" w14:textId="77777777" w:rsidR="00D500BC" w:rsidRPr="00D500BC" w:rsidRDefault="00D500BC" w:rsidP="00D500BC">
            <w:pPr>
              <w:rPr>
                <w:lang w:val="en-GB" w:bidi="ar-SY"/>
              </w:rPr>
            </w:pPr>
          </w:p>
        </w:tc>
      </w:tr>
      <w:tr w:rsidR="00D500BC" w:rsidRPr="00D500BC" w14:paraId="3324F750" w14:textId="77777777" w:rsidTr="00071E02">
        <w:trPr>
          <w:jc w:val="center"/>
        </w:trPr>
        <w:tc>
          <w:tcPr>
            <w:tcW w:w="1694" w:type="dxa"/>
            <w:shd w:val="clear" w:color="auto" w:fill="auto"/>
          </w:tcPr>
          <w:p w14:paraId="6260A069" w14:textId="77777777" w:rsidR="00D500BC" w:rsidRPr="00D500BC" w:rsidRDefault="00D500BC" w:rsidP="00D500BC">
            <w:pPr>
              <w:rPr>
                <w:lang w:val="en-GB" w:bidi="ar-SY"/>
              </w:rPr>
            </w:pPr>
          </w:p>
        </w:tc>
        <w:tc>
          <w:tcPr>
            <w:tcW w:w="3869" w:type="dxa"/>
            <w:gridSpan w:val="2"/>
            <w:tcBorders>
              <w:right w:val="single" w:sz="8" w:space="0" w:color="auto"/>
            </w:tcBorders>
            <w:shd w:val="clear" w:color="auto" w:fill="auto"/>
          </w:tcPr>
          <w:p w14:paraId="2FF6BB14" w14:textId="77777777" w:rsidR="00D500BC" w:rsidRPr="00D500BC" w:rsidRDefault="00D500BC" w:rsidP="00D500BC">
            <w:pPr>
              <w:rPr>
                <w:lang w:val="en-GB" w:bidi="ar-SY"/>
              </w:rPr>
            </w:pPr>
          </w:p>
        </w:tc>
        <w:tc>
          <w:tcPr>
            <w:tcW w:w="1590" w:type="dxa"/>
            <w:tcBorders>
              <w:left w:val="single" w:sz="8" w:space="0" w:color="auto"/>
            </w:tcBorders>
            <w:shd w:val="clear" w:color="auto" w:fill="auto"/>
          </w:tcPr>
          <w:p w14:paraId="2773CD6D" w14:textId="77777777" w:rsidR="00D500BC" w:rsidRPr="00D500BC" w:rsidRDefault="00D500BC" w:rsidP="00D500BC">
            <w:pPr>
              <w:rPr>
                <w:b/>
                <w:bCs/>
                <w:lang w:val="ar-SA" w:bidi="ar-SY"/>
              </w:rPr>
            </w:pPr>
            <w:r w:rsidRPr="00D500BC">
              <w:rPr>
                <w:b/>
                <w:bCs/>
                <w:rtl/>
              </w:rPr>
              <w:t>التاريخ:</w:t>
            </w:r>
          </w:p>
        </w:tc>
        <w:tc>
          <w:tcPr>
            <w:tcW w:w="2804" w:type="dxa"/>
            <w:shd w:val="clear" w:color="auto" w:fill="auto"/>
          </w:tcPr>
          <w:p w14:paraId="209C9C4D" w14:textId="77777777" w:rsidR="00D500BC" w:rsidRPr="00D500BC" w:rsidRDefault="00D500BC" w:rsidP="00D500BC">
            <w:pPr>
              <w:rPr>
                <w:highlight w:val="green"/>
                <w:lang w:val="ar-SA" w:bidi="ar-SY"/>
              </w:rPr>
            </w:pPr>
            <w:r w:rsidRPr="00D500BC">
              <w:rPr>
                <w:highlight w:val="green"/>
                <w:rtl/>
              </w:rPr>
              <w:t>[المكان]، [التاريخ]</w:t>
            </w:r>
          </w:p>
        </w:tc>
      </w:tr>
    </w:tbl>
    <w:p w14:paraId="2C307A87" w14:textId="77777777" w:rsidR="00D500BC" w:rsidRPr="00D500BC" w:rsidRDefault="00D500BC" w:rsidP="00350D17">
      <w:pPr>
        <w:spacing w:before="360"/>
        <w:rPr>
          <w:rtl/>
        </w:rPr>
      </w:pPr>
      <w:r w:rsidRPr="00D500BC">
        <w:rPr>
          <w:rtl/>
        </w:rPr>
        <w:t>حضرات السادة والسيدات،</w:t>
      </w:r>
    </w:p>
    <w:p w14:paraId="5AD944F0" w14:textId="77777777" w:rsidR="00D500BC" w:rsidRPr="00D500BC" w:rsidRDefault="00D500BC" w:rsidP="00D500BC">
      <w:pPr>
        <w:rPr>
          <w:lang w:val="ar-SA" w:bidi="ar-SY"/>
        </w:rPr>
      </w:pPr>
      <w:r w:rsidRPr="00D500BC">
        <w:rPr>
          <w:rtl/>
        </w:rPr>
        <w:t>تحية طيبة وبعد،</w:t>
      </w:r>
    </w:p>
    <w:p w14:paraId="5C36985B" w14:textId="77777777" w:rsidR="00D500BC" w:rsidRPr="00D500BC" w:rsidRDefault="00D500BC" w:rsidP="00071E02">
      <w:pPr>
        <w:spacing w:after="120"/>
        <w:rPr>
          <w:lang w:val="ar-SA" w:bidi="ar-SY"/>
        </w:rPr>
      </w:pPr>
      <w:r w:rsidRPr="00D500BC">
        <w:rPr>
          <w:rtl/>
        </w:rPr>
        <w:t>فيما يخص مشاورة الدول الأعضاء بشأن مشروعي النصين المحددين المشار إليهما في الرسالة المعممة 35 من مكتب تقييس الاتصالات، أود أن أطلعكم على رأي هذه الإدارة المبين في الجدول أدناه.</w:t>
      </w:r>
    </w:p>
    <w:tbl>
      <w:tblPr>
        <w:bidiVisual/>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0"/>
        <w:gridCol w:w="7759"/>
      </w:tblGrid>
      <w:tr w:rsidR="00D500BC" w:rsidRPr="00D500BC" w14:paraId="06D9210E" w14:textId="77777777" w:rsidTr="009B05AC">
        <w:trPr>
          <w:trHeight w:val="227"/>
          <w:tblHeader/>
        </w:trPr>
        <w:tc>
          <w:tcPr>
            <w:tcW w:w="1960" w:type="dxa"/>
            <w:shd w:val="clear" w:color="auto" w:fill="auto"/>
            <w:vAlign w:val="center"/>
          </w:tcPr>
          <w:p w14:paraId="357FCDDA" w14:textId="77777777" w:rsidR="00D500BC" w:rsidRPr="00D500BC" w:rsidRDefault="00D500BC" w:rsidP="00071E02">
            <w:pPr>
              <w:jc w:val="center"/>
              <w:rPr>
                <w:b/>
                <w:bCs/>
                <w:sz w:val="20"/>
                <w:szCs w:val="20"/>
                <w:lang w:bidi="ar-SY"/>
              </w:rPr>
            </w:pPr>
          </w:p>
        </w:tc>
        <w:tc>
          <w:tcPr>
            <w:tcW w:w="7759" w:type="dxa"/>
            <w:shd w:val="clear" w:color="auto" w:fill="auto"/>
            <w:vAlign w:val="center"/>
          </w:tcPr>
          <w:p w14:paraId="0308E22A" w14:textId="77777777" w:rsidR="00D500BC" w:rsidRPr="00D500BC" w:rsidRDefault="00D500BC" w:rsidP="00071E02">
            <w:pPr>
              <w:jc w:val="center"/>
              <w:rPr>
                <w:b/>
                <w:bCs/>
                <w:sz w:val="20"/>
                <w:szCs w:val="20"/>
                <w:lang w:val="ar-SA" w:bidi="ar-SY"/>
              </w:rPr>
            </w:pPr>
            <w:r w:rsidRPr="00D500BC">
              <w:rPr>
                <w:b/>
                <w:bCs/>
                <w:sz w:val="20"/>
                <w:szCs w:val="20"/>
                <w:rtl/>
              </w:rPr>
              <w:t>يُرجى اختيار أحد المربعين فيما يتعلق بكل نص</w:t>
            </w:r>
          </w:p>
        </w:tc>
      </w:tr>
      <w:tr w:rsidR="00D500BC" w:rsidRPr="00D500BC" w14:paraId="0D66E9ED" w14:textId="77777777" w:rsidTr="009B05AC">
        <w:trPr>
          <w:trHeight w:val="227"/>
        </w:trPr>
        <w:tc>
          <w:tcPr>
            <w:tcW w:w="1960" w:type="dxa"/>
            <w:vMerge w:val="restart"/>
            <w:shd w:val="clear" w:color="auto" w:fill="auto"/>
            <w:vAlign w:val="center"/>
          </w:tcPr>
          <w:p w14:paraId="52D5C79D" w14:textId="31155E98" w:rsidR="00D500BC" w:rsidRPr="00D500BC" w:rsidRDefault="00D500BC" w:rsidP="00071E02">
            <w:pPr>
              <w:jc w:val="center"/>
              <w:rPr>
                <w:b/>
                <w:bCs/>
                <w:sz w:val="20"/>
                <w:szCs w:val="20"/>
                <w:lang w:val="ar-SA" w:bidi="ar-SY"/>
              </w:rPr>
            </w:pPr>
            <w:r w:rsidRPr="00D500BC">
              <w:rPr>
                <w:b/>
                <w:bCs/>
                <w:sz w:val="20"/>
                <w:szCs w:val="20"/>
                <w:rtl/>
              </w:rPr>
              <w:t xml:space="preserve">مشروع التوصية الجديدة </w:t>
            </w:r>
            <w:r w:rsidR="00827EE6">
              <w:rPr>
                <w:b/>
                <w:bCs/>
                <w:sz w:val="20"/>
                <w:szCs w:val="20"/>
                <w:rtl/>
              </w:rPr>
              <w:br/>
            </w:r>
            <w:r w:rsidRPr="00D500BC">
              <w:rPr>
                <w:b/>
                <w:bCs/>
                <w:sz w:val="20"/>
                <w:szCs w:val="20"/>
                <w:rtl/>
              </w:rPr>
              <w:t>ITU-T Q.5055 (Q.CEIR سابقاً)</w:t>
            </w:r>
          </w:p>
        </w:tc>
        <w:tc>
          <w:tcPr>
            <w:tcW w:w="7759" w:type="dxa"/>
            <w:shd w:val="clear" w:color="auto" w:fill="auto"/>
            <w:vAlign w:val="center"/>
          </w:tcPr>
          <w:p w14:paraId="6E57C557" w14:textId="2714CB04" w:rsidR="00D500BC" w:rsidRPr="00D500BC" w:rsidRDefault="00071E02" w:rsidP="00A204DF">
            <w:pPr>
              <w:tabs>
                <w:tab w:val="clear" w:pos="794"/>
                <w:tab w:val="left" w:pos="720"/>
              </w:tabs>
              <w:ind w:left="720" w:hanging="720"/>
              <w:rPr>
                <w:sz w:val="20"/>
                <w:szCs w:val="20"/>
                <w:lang w:val="ar-SA" w:bidi="ar-SY"/>
              </w:rPr>
            </w:pPr>
            <w:r w:rsidRPr="00A204DF">
              <w:rPr>
                <w:sz w:val="20"/>
                <w:szCs w:val="20"/>
                <w:lang w:val="en-GB" w:bidi="ar-SY"/>
              </w:rPr>
              <w:fldChar w:fldCharType="begin">
                <w:ffData>
                  <w:name w:val="Check1"/>
                  <w:enabled/>
                  <w:calcOnExit w:val="0"/>
                  <w:checkBox>
                    <w:sizeAuto/>
                    <w:default w:val="0"/>
                  </w:checkBox>
                </w:ffData>
              </w:fldChar>
            </w:r>
            <w:r w:rsidRPr="00A204DF">
              <w:rPr>
                <w:sz w:val="20"/>
                <w:szCs w:val="20"/>
                <w:lang w:val="en-GB" w:bidi="ar-SY"/>
              </w:rPr>
              <w:instrText xml:space="preserve"> FORMCHECKBOX </w:instrText>
            </w:r>
            <w:r w:rsidRPr="00A204DF">
              <w:rPr>
                <w:sz w:val="20"/>
                <w:szCs w:val="20"/>
                <w:lang w:val="en-GB" w:bidi="ar-SY"/>
              </w:rPr>
            </w:r>
            <w:r w:rsidRPr="00A204DF">
              <w:rPr>
                <w:sz w:val="20"/>
                <w:szCs w:val="20"/>
                <w:lang w:val="en-GB" w:bidi="ar-SY"/>
              </w:rPr>
              <w:fldChar w:fldCharType="separate"/>
            </w:r>
            <w:r w:rsidRPr="00A204DF">
              <w:rPr>
                <w:sz w:val="20"/>
                <w:szCs w:val="20"/>
                <w:lang w:val="en-GB" w:bidi="ar-SY"/>
              </w:rPr>
              <w:fldChar w:fldCharType="end"/>
            </w:r>
            <w:r w:rsidR="00A204DF" w:rsidRPr="00A204DF">
              <w:rPr>
                <w:sz w:val="20"/>
                <w:szCs w:val="20"/>
                <w:rtl/>
                <w:lang w:val="en-GB" w:bidi="ar-SY"/>
              </w:rPr>
              <w:tab/>
            </w:r>
            <w:r w:rsidR="00D500BC" w:rsidRPr="00D500BC">
              <w:rPr>
                <w:sz w:val="20"/>
                <w:szCs w:val="20"/>
                <w:lang w:val="en-GB" w:bidi="ar-SY"/>
              </w:rPr>
              <w:t xml:space="preserve"> </w:t>
            </w:r>
            <w:r w:rsidR="00D500BC" w:rsidRPr="00D500BC">
              <w:rPr>
                <w:b/>
                <w:bCs/>
                <w:sz w:val="20"/>
                <w:szCs w:val="20"/>
                <w:rtl/>
              </w:rPr>
              <w:t xml:space="preserve">تفوض </w:t>
            </w:r>
            <w:r w:rsidR="00D500BC" w:rsidRPr="00D500BC">
              <w:rPr>
                <w:sz w:val="20"/>
                <w:szCs w:val="20"/>
                <w:rtl/>
              </w:rPr>
              <w:t xml:space="preserve">لجنة الدراسات 11 </w:t>
            </w:r>
            <w:r w:rsidR="00D500BC" w:rsidRPr="00D500BC">
              <w:rPr>
                <w:b/>
                <w:bCs/>
                <w:sz w:val="20"/>
                <w:szCs w:val="20"/>
                <w:rtl/>
              </w:rPr>
              <w:t>سلطة النظر</w:t>
            </w:r>
            <w:r w:rsidR="00D500BC" w:rsidRPr="00D500BC">
              <w:rPr>
                <w:sz w:val="20"/>
                <w:szCs w:val="20"/>
                <w:rtl/>
              </w:rPr>
              <w:t xml:space="preserve"> في هذا النص بغرض الموافقة عليه (وفي هذه الحالة، تحديد</w:t>
            </w:r>
            <w:r w:rsidR="00A204DF">
              <w:rPr>
                <w:rFonts w:hint="cs"/>
                <w:sz w:val="20"/>
                <w:szCs w:val="20"/>
                <w:rtl/>
              </w:rPr>
              <w:t> </w:t>
            </w:r>
            <w:r w:rsidR="00D500BC" w:rsidRPr="00D500BC">
              <w:rPr>
                <w:sz w:val="20"/>
                <w:szCs w:val="20"/>
                <w:rtl/>
              </w:rPr>
              <w:t>أحد الخيارين):</w:t>
            </w:r>
          </w:p>
          <w:p w14:paraId="383A7A11" w14:textId="63BD281A" w:rsidR="00D500BC" w:rsidRPr="00D500BC" w:rsidRDefault="00A204DF" w:rsidP="00A204DF">
            <w:pPr>
              <w:tabs>
                <w:tab w:val="clear" w:pos="794"/>
                <w:tab w:val="left" w:pos="720"/>
              </w:tabs>
              <w:ind w:left="720" w:hanging="720"/>
              <w:rPr>
                <w:sz w:val="20"/>
                <w:szCs w:val="20"/>
                <w:lang w:val="ar-SA" w:bidi="ar-SY"/>
              </w:rPr>
            </w:pPr>
            <w:r>
              <w:rPr>
                <w:sz w:val="20"/>
                <w:szCs w:val="20"/>
                <w:rtl/>
                <w:lang w:val="en-GB" w:bidi="ar-SY"/>
              </w:rPr>
              <w:tab/>
            </w:r>
            <w:r w:rsidR="00071E02" w:rsidRPr="00071E02">
              <w:rPr>
                <w:sz w:val="20"/>
                <w:szCs w:val="20"/>
                <w:lang w:val="en-GB" w:bidi="ar-SY"/>
              </w:rPr>
              <w:fldChar w:fldCharType="begin">
                <w:ffData>
                  <w:name w:val="Check1"/>
                  <w:enabled/>
                  <w:calcOnExit w:val="0"/>
                  <w:checkBox>
                    <w:sizeAuto/>
                    <w:default w:val="0"/>
                  </w:checkBox>
                </w:ffData>
              </w:fldChar>
            </w:r>
            <w:r w:rsidR="00071E02" w:rsidRPr="00071E02">
              <w:rPr>
                <w:sz w:val="20"/>
                <w:szCs w:val="20"/>
                <w:lang w:val="en-GB" w:bidi="ar-SY"/>
              </w:rPr>
              <w:instrText xml:space="preserve"> FORMCHECKBOX </w:instrText>
            </w:r>
            <w:r w:rsidR="00071E02" w:rsidRPr="00071E02">
              <w:rPr>
                <w:sz w:val="20"/>
                <w:szCs w:val="20"/>
                <w:lang w:val="en-GB" w:bidi="ar-SY"/>
              </w:rPr>
            </w:r>
            <w:r w:rsidR="00071E02" w:rsidRPr="00071E02">
              <w:rPr>
                <w:sz w:val="20"/>
                <w:szCs w:val="20"/>
                <w:lang w:val="en-GB" w:bidi="ar-SY"/>
              </w:rPr>
              <w:fldChar w:fldCharType="separate"/>
            </w:r>
            <w:r w:rsidR="00071E02" w:rsidRPr="00071E02">
              <w:rPr>
                <w:sz w:val="20"/>
                <w:szCs w:val="20"/>
                <w:lang w:val="en-GB" w:bidi="ar-SY"/>
              </w:rPr>
              <w:fldChar w:fldCharType="end"/>
            </w:r>
            <w:r w:rsidR="00D500BC" w:rsidRPr="00D500BC">
              <w:rPr>
                <w:sz w:val="20"/>
                <w:szCs w:val="20"/>
                <w:rtl/>
              </w:rPr>
              <w:tab/>
              <w:t>لا تعليقات أو تغييرات مقترحة</w:t>
            </w:r>
          </w:p>
          <w:p w14:paraId="3669A18A" w14:textId="6AB84A81" w:rsidR="00D500BC" w:rsidRPr="00D500BC" w:rsidRDefault="00A204DF" w:rsidP="009B05AC">
            <w:pPr>
              <w:tabs>
                <w:tab w:val="clear" w:pos="794"/>
                <w:tab w:val="left" w:pos="720"/>
              </w:tabs>
              <w:spacing w:after="120"/>
              <w:ind w:left="720" w:hanging="720"/>
              <w:rPr>
                <w:sz w:val="20"/>
                <w:szCs w:val="20"/>
                <w:lang w:val="ar-SA" w:bidi="ar-SY"/>
              </w:rPr>
            </w:pPr>
            <w:r>
              <w:rPr>
                <w:sz w:val="20"/>
                <w:szCs w:val="20"/>
                <w:rtl/>
                <w:lang w:val="en-GB" w:bidi="ar-SY"/>
              </w:rPr>
              <w:tab/>
            </w:r>
            <w:r w:rsidR="00071E02" w:rsidRPr="00071E02">
              <w:rPr>
                <w:sz w:val="20"/>
                <w:szCs w:val="20"/>
                <w:lang w:val="en-GB" w:bidi="ar-SY"/>
              </w:rPr>
              <w:fldChar w:fldCharType="begin">
                <w:ffData>
                  <w:name w:val="Check1"/>
                  <w:enabled/>
                  <w:calcOnExit w:val="0"/>
                  <w:checkBox>
                    <w:sizeAuto/>
                    <w:default w:val="0"/>
                  </w:checkBox>
                </w:ffData>
              </w:fldChar>
            </w:r>
            <w:r w:rsidR="00071E02" w:rsidRPr="00071E02">
              <w:rPr>
                <w:sz w:val="20"/>
                <w:szCs w:val="20"/>
                <w:lang w:val="en-GB" w:bidi="ar-SY"/>
              </w:rPr>
              <w:instrText xml:space="preserve"> FORMCHECKBOX </w:instrText>
            </w:r>
            <w:r w:rsidR="00071E02" w:rsidRPr="00071E02">
              <w:rPr>
                <w:sz w:val="20"/>
                <w:szCs w:val="20"/>
                <w:lang w:val="en-GB" w:bidi="ar-SY"/>
              </w:rPr>
            </w:r>
            <w:r w:rsidR="00071E02" w:rsidRPr="00071E02">
              <w:rPr>
                <w:sz w:val="20"/>
                <w:szCs w:val="20"/>
                <w:lang w:val="en-GB" w:bidi="ar-SY"/>
              </w:rPr>
              <w:fldChar w:fldCharType="separate"/>
            </w:r>
            <w:r w:rsidR="00071E02" w:rsidRPr="00071E02">
              <w:rPr>
                <w:sz w:val="20"/>
                <w:szCs w:val="20"/>
                <w:lang w:val="en-GB" w:bidi="ar-SY"/>
              </w:rPr>
              <w:fldChar w:fldCharType="end"/>
            </w:r>
            <w:r w:rsidR="00D500BC" w:rsidRPr="00D500BC">
              <w:rPr>
                <w:sz w:val="20"/>
                <w:szCs w:val="20"/>
                <w:rtl/>
              </w:rPr>
              <w:tab/>
              <w:t>التعليقات والتغييرات المقترحة مرفقة بالطي</w:t>
            </w:r>
          </w:p>
        </w:tc>
      </w:tr>
      <w:tr w:rsidR="00D500BC" w:rsidRPr="00D500BC" w14:paraId="33B0C344" w14:textId="77777777" w:rsidTr="009B05AC">
        <w:trPr>
          <w:trHeight w:val="227"/>
        </w:trPr>
        <w:tc>
          <w:tcPr>
            <w:tcW w:w="1960" w:type="dxa"/>
            <w:vMerge/>
            <w:shd w:val="clear" w:color="auto" w:fill="auto"/>
            <w:vAlign w:val="center"/>
          </w:tcPr>
          <w:p w14:paraId="4028E4D1" w14:textId="77777777" w:rsidR="00D500BC" w:rsidRPr="00D500BC" w:rsidRDefault="00D500BC" w:rsidP="00071E02">
            <w:pPr>
              <w:jc w:val="center"/>
              <w:rPr>
                <w:b/>
                <w:bCs/>
                <w:sz w:val="20"/>
                <w:szCs w:val="20"/>
                <w:lang w:val="en-GB" w:bidi="ar-SY"/>
              </w:rPr>
            </w:pPr>
          </w:p>
        </w:tc>
        <w:tc>
          <w:tcPr>
            <w:tcW w:w="7759" w:type="dxa"/>
            <w:shd w:val="clear" w:color="auto" w:fill="auto"/>
            <w:vAlign w:val="center"/>
          </w:tcPr>
          <w:p w14:paraId="7BDEF6D8" w14:textId="10B788FF" w:rsidR="00D500BC" w:rsidRPr="00D500BC" w:rsidRDefault="00A204DF" w:rsidP="00A204DF">
            <w:pPr>
              <w:tabs>
                <w:tab w:val="clear" w:pos="794"/>
                <w:tab w:val="left" w:pos="720"/>
              </w:tabs>
              <w:ind w:left="720" w:hanging="720"/>
              <w:rPr>
                <w:sz w:val="20"/>
                <w:szCs w:val="20"/>
                <w:lang w:val="ar-SA" w:bidi="ar-SY"/>
              </w:rPr>
            </w:pPr>
            <w:r w:rsidRPr="00071E02">
              <w:rPr>
                <w:sz w:val="20"/>
                <w:szCs w:val="20"/>
                <w:lang w:val="en-GB" w:bidi="ar-SY"/>
              </w:rPr>
              <w:fldChar w:fldCharType="begin">
                <w:ffData>
                  <w:name w:val="Check1"/>
                  <w:enabled/>
                  <w:calcOnExit w:val="0"/>
                  <w:checkBox>
                    <w:sizeAuto/>
                    <w:default w:val="0"/>
                  </w:checkBox>
                </w:ffData>
              </w:fldChar>
            </w:r>
            <w:r w:rsidRPr="00071E02">
              <w:rPr>
                <w:sz w:val="20"/>
                <w:szCs w:val="20"/>
                <w:lang w:val="en-GB" w:bidi="ar-SY"/>
              </w:rPr>
              <w:instrText xml:space="preserve"> FORMCHECKBOX </w:instrText>
            </w:r>
            <w:r w:rsidRPr="00071E02">
              <w:rPr>
                <w:sz w:val="20"/>
                <w:szCs w:val="20"/>
                <w:lang w:val="en-GB" w:bidi="ar-SY"/>
              </w:rPr>
            </w:r>
            <w:r w:rsidRPr="00071E02">
              <w:rPr>
                <w:sz w:val="20"/>
                <w:szCs w:val="20"/>
                <w:lang w:val="en-GB" w:bidi="ar-SY"/>
              </w:rPr>
              <w:fldChar w:fldCharType="separate"/>
            </w:r>
            <w:r w:rsidRPr="00071E02">
              <w:rPr>
                <w:sz w:val="20"/>
                <w:szCs w:val="20"/>
                <w:lang w:val="en-GB" w:bidi="ar-SY"/>
              </w:rPr>
              <w:fldChar w:fldCharType="end"/>
            </w:r>
            <w:r>
              <w:rPr>
                <w:sz w:val="20"/>
                <w:szCs w:val="20"/>
                <w:rtl/>
                <w:lang w:val="en-GB" w:bidi="ar-SY"/>
              </w:rPr>
              <w:tab/>
            </w:r>
            <w:r w:rsidR="00D500BC" w:rsidRPr="00D500BC">
              <w:rPr>
                <w:b/>
                <w:bCs/>
                <w:sz w:val="20"/>
                <w:szCs w:val="20"/>
                <w:rtl/>
              </w:rPr>
              <w:t>لا تفوض</w:t>
            </w:r>
            <w:r w:rsidR="00D500BC" w:rsidRPr="00D500BC">
              <w:rPr>
                <w:sz w:val="20"/>
                <w:szCs w:val="20"/>
                <w:rtl/>
              </w:rPr>
              <w:t xml:space="preserve"> لجنة الدراسات 11 </w:t>
            </w:r>
            <w:r w:rsidR="00D500BC" w:rsidRPr="00D500BC">
              <w:rPr>
                <w:b/>
                <w:bCs/>
                <w:sz w:val="20"/>
                <w:szCs w:val="20"/>
                <w:rtl/>
              </w:rPr>
              <w:t>سلطة النظر</w:t>
            </w:r>
            <w:r w:rsidR="00D500BC" w:rsidRPr="00D500BC">
              <w:rPr>
                <w:sz w:val="20"/>
                <w:szCs w:val="20"/>
                <w:rtl/>
              </w:rPr>
              <w:t xml:space="preserve"> في هذا النص بغرض الموافقة عليه (ترفَق بالطي أسباب هذا الرأي ولمحة عن التغييرات المحتملة التي من شأنها أن تمكّن من إحراز تقدم في العمل)</w:t>
            </w:r>
          </w:p>
        </w:tc>
      </w:tr>
      <w:tr w:rsidR="00D500BC" w:rsidRPr="00D500BC" w14:paraId="553BA73F" w14:textId="77777777" w:rsidTr="009B05AC">
        <w:trPr>
          <w:trHeight w:val="227"/>
        </w:trPr>
        <w:tc>
          <w:tcPr>
            <w:tcW w:w="1960" w:type="dxa"/>
            <w:vMerge w:val="restart"/>
            <w:shd w:val="clear" w:color="auto" w:fill="auto"/>
            <w:vAlign w:val="center"/>
          </w:tcPr>
          <w:p w14:paraId="1F3FD8DA" w14:textId="3E2C9729" w:rsidR="00D500BC" w:rsidRPr="00D500BC" w:rsidRDefault="00D500BC" w:rsidP="00071E02">
            <w:pPr>
              <w:jc w:val="center"/>
              <w:rPr>
                <w:b/>
                <w:bCs/>
                <w:sz w:val="20"/>
                <w:szCs w:val="20"/>
                <w:lang w:val="ar-SA" w:bidi="ar-SY"/>
              </w:rPr>
            </w:pPr>
            <w:r w:rsidRPr="00D500BC">
              <w:rPr>
                <w:b/>
                <w:bCs/>
                <w:sz w:val="20"/>
                <w:szCs w:val="20"/>
                <w:rtl/>
              </w:rPr>
              <w:t>مشروع التوصية</w:t>
            </w:r>
            <w:r w:rsidR="00827EE6">
              <w:rPr>
                <w:rFonts w:hint="cs"/>
                <w:b/>
                <w:bCs/>
                <w:sz w:val="20"/>
                <w:szCs w:val="20"/>
                <w:rtl/>
              </w:rPr>
              <w:t xml:space="preserve"> </w:t>
            </w:r>
            <w:r w:rsidRPr="00D500BC">
              <w:rPr>
                <w:b/>
                <w:bCs/>
                <w:sz w:val="20"/>
                <w:szCs w:val="20"/>
                <w:rtl/>
              </w:rPr>
              <w:t>الجديدة</w:t>
            </w:r>
            <w:r w:rsidR="00BE688F">
              <w:rPr>
                <w:b/>
                <w:bCs/>
                <w:sz w:val="20"/>
                <w:szCs w:val="20"/>
                <w:rtl/>
              </w:rPr>
              <w:br/>
            </w:r>
            <w:r w:rsidRPr="00D500BC">
              <w:rPr>
                <w:b/>
                <w:bCs/>
                <w:sz w:val="20"/>
                <w:szCs w:val="20"/>
                <w:rtl/>
              </w:rPr>
              <w:t>ITU-T Q.5056 (Q.FC-MCM سابقاً)</w:t>
            </w:r>
          </w:p>
        </w:tc>
        <w:tc>
          <w:tcPr>
            <w:tcW w:w="7759" w:type="dxa"/>
            <w:shd w:val="clear" w:color="auto" w:fill="auto"/>
            <w:vAlign w:val="center"/>
          </w:tcPr>
          <w:p w14:paraId="6F6EF22B" w14:textId="4A8EF5C0" w:rsidR="00D500BC" w:rsidRPr="00D500BC" w:rsidRDefault="00A204DF" w:rsidP="00A204DF">
            <w:pPr>
              <w:ind w:left="720" w:hanging="720"/>
              <w:rPr>
                <w:sz w:val="20"/>
                <w:szCs w:val="20"/>
                <w:lang w:val="ar-SA" w:bidi="ar-SY"/>
              </w:rPr>
            </w:pPr>
            <w:r w:rsidRPr="00071E02">
              <w:rPr>
                <w:sz w:val="20"/>
                <w:szCs w:val="20"/>
                <w:lang w:val="en-GB" w:bidi="ar-SY"/>
              </w:rPr>
              <w:fldChar w:fldCharType="begin">
                <w:ffData>
                  <w:name w:val="Check1"/>
                  <w:enabled/>
                  <w:calcOnExit w:val="0"/>
                  <w:checkBox>
                    <w:sizeAuto/>
                    <w:default w:val="0"/>
                  </w:checkBox>
                </w:ffData>
              </w:fldChar>
            </w:r>
            <w:r w:rsidRPr="00071E02">
              <w:rPr>
                <w:sz w:val="20"/>
                <w:szCs w:val="20"/>
                <w:lang w:val="en-GB" w:bidi="ar-SY"/>
              </w:rPr>
              <w:instrText xml:space="preserve"> FORMCHECKBOX </w:instrText>
            </w:r>
            <w:r w:rsidRPr="00071E02">
              <w:rPr>
                <w:sz w:val="20"/>
                <w:szCs w:val="20"/>
                <w:lang w:val="en-GB" w:bidi="ar-SY"/>
              </w:rPr>
            </w:r>
            <w:r w:rsidRPr="00071E02">
              <w:rPr>
                <w:sz w:val="20"/>
                <w:szCs w:val="20"/>
                <w:lang w:val="en-GB" w:bidi="ar-SY"/>
              </w:rPr>
              <w:fldChar w:fldCharType="separate"/>
            </w:r>
            <w:r w:rsidRPr="00071E02">
              <w:rPr>
                <w:sz w:val="20"/>
                <w:szCs w:val="20"/>
                <w:lang w:val="en-GB" w:bidi="ar-SY"/>
              </w:rPr>
              <w:fldChar w:fldCharType="end"/>
            </w:r>
            <w:r>
              <w:rPr>
                <w:sz w:val="20"/>
                <w:szCs w:val="20"/>
                <w:rtl/>
                <w:lang w:val="en-GB" w:bidi="ar-SY"/>
              </w:rPr>
              <w:tab/>
            </w:r>
            <w:r w:rsidR="00D500BC" w:rsidRPr="00D500BC">
              <w:rPr>
                <w:b/>
                <w:bCs/>
                <w:sz w:val="20"/>
                <w:szCs w:val="20"/>
                <w:rtl/>
              </w:rPr>
              <w:t xml:space="preserve">تفوض </w:t>
            </w:r>
            <w:r w:rsidR="00D500BC" w:rsidRPr="00D500BC">
              <w:rPr>
                <w:sz w:val="20"/>
                <w:szCs w:val="20"/>
                <w:rtl/>
              </w:rPr>
              <w:t xml:space="preserve">لجنة الدراسات 11 </w:t>
            </w:r>
            <w:r w:rsidR="00D500BC" w:rsidRPr="00D500BC">
              <w:rPr>
                <w:b/>
                <w:bCs/>
                <w:sz w:val="20"/>
                <w:szCs w:val="20"/>
                <w:rtl/>
              </w:rPr>
              <w:t>سلطة النظر</w:t>
            </w:r>
            <w:r w:rsidR="00D500BC" w:rsidRPr="00D500BC">
              <w:rPr>
                <w:sz w:val="20"/>
                <w:szCs w:val="20"/>
                <w:rtl/>
              </w:rPr>
              <w:t xml:space="preserve"> في هذا النص بغرض الموافقة عليه (وفي هذه الحالة، تحديد</w:t>
            </w:r>
            <w:r>
              <w:rPr>
                <w:rFonts w:hint="cs"/>
                <w:sz w:val="20"/>
                <w:szCs w:val="20"/>
                <w:rtl/>
              </w:rPr>
              <w:t> </w:t>
            </w:r>
            <w:r w:rsidR="00D500BC" w:rsidRPr="00D500BC">
              <w:rPr>
                <w:sz w:val="20"/>
                <w:szCs w:val="20"/>
                <w:rtl/>
              </w:rPr>
              <w:t>أحد الخيارين):</w:t>
            </w:r>
          </w:p>
          <w:p w14:paraId="0E4D46B2" w14:textId="52A592CC" w:rsidR="00D500BC" w:rsidRPr="00D500BC" w:rsidRDefault="00A204DF" w:rsidP="00A204DF">
            <w:pPr>
              <w:ind w:left="720" w:hanging="720"/>
              <w:rPr>
                <w:sz w:val="20"/>
                <w:szCs w:val="20"/>
                <w:lang w:val="ar-SA" w:bidi="ar-SY"/>
              </w:rPr>
            </w:pPr>
            <w:r>
              <w:rPr>
                <w:sz w:val="20"/>
                <w:szCs w:val="20"/>
                <w:rtl/>
                <w:lang w:val="en-GB" w:bidi="ar-SY"/>
              </w:rPr>
              <w:tab/>
            </w:r>
            <w:r w:rsidRPr="00071E02">
              <w:rPr>
                <w:sz w:val="20"/>
                <w:szCs w:val="20"/>
                <w:lang w:val="en-GB" w:bidi="ar-SY"/>
              </w:rPr>
              <w:fldChar w:fldCharType="begin">
                <w:ffData>
                  <w:name w:val="Check1"/>
                  <w:enabled/>
                  <w:calcOnExit w:val="0"/>
                  <w:checkBox>
                    <w:sizeAuto/>
                    <w:default w:val="0"/>
                  </w:checkBox>
                </w:ffData>
              </w:fldChar>
            </w:r>
            <w:r w:rsidRPr="00071E02">
              <w:rPr>
                <w:sz w:val="20"/>
                <w:szCs w:val="20"/>
                <w:lang w:val="en-GB" w:bidi="ar-SY"/>
              </w:rPr>
              <w:instrText xml:space="preserve"> FORMCHECKBOX </w:instrText>
            </w:r>
            <w:r w:rsidRPr="00071E02">
              <w:rPr>
                <w:sz w:val="20"/>
                <w:szCs w:val="20"/>
                <w:lang w:val="en-GB" w:bidi="ar-SY"/>
              </w:rPr>
            </w:r>
            <w:r w:rsidRPr="00071E02">
              <w:rPr>
                <w:sz w:val="20"/>
                <w:szCs w:val="20"/>
                <w:lang w:val="en-GB" w:bidi="ar-SY"/>
              </w:rPr>
              <w:fldChar w:fldCharType="separate"/>
            </w:r>
            <w:r w:rsidRPr="00071E02">
              <w:rPr>
                <w:sz w:val="20"/>
                <w:szCs w:val="20"/>
                <w:lang w:val="en-GB" w:bidi="ar-SY"/>
              </w:rPr>
              <w:fldChar w:fldCharType="end"/>
            </w:r>
            <w:r w:rsidR="00D500BC" w:rsidRPr="00D500BC">
              <w:rPr>
                <w:sz w:val="20"/>
                <w:szCs w:val="20"/>
                <w:rtl/>
              </w:rPr>
              <w:tab/>
              <w:t>لا تعليقات أو تغييرات مقترحة</w:t>
            </w:r>
          </w:p>
          <w:p w14:paraId="459DE3DE" w14:textId="34FD8ED3" w:rsidR="00D500BC" w:rsidRPr="00D500BC" w:rsidRDefault="00A204DF" w:rsidP="009B05AC">
            <w:pPr>
              <w:spacing w:after="120"/>
              <w:ind w:left="720" w:hanging="720"/>
              <w:rPr>
                <w:sz w:val="20"/>
                <w:szCs w:val="20"/>
                <w:lang w:val="ar-SA" w:bidi="ar-SY"/>
              </w:rPr>
            </w:pPr>
            <w:r>
              <w:rPr>
                <w:sz w:val="20"/>
                <w:szCs w:val="20"/>
                <w:rtl/>
                <w:lang w:val="en-GB" w:bidi="ar-SY"/>
              </w:rPr>
              <w:tab/>
            </w:r>
            <w:r w:rsidRPr="00071E02">
              <w:rPr>
                <w:sz w:val="20"/>
                <w:szCs w:val="20"/>
                <w:lang w:val="en-GB" w:bidi="ar-SY"/>
              </w:rPr>
              <w:fldChar w:fldCharType="begin">
                <w:ffData>
                  <w:name w:val="Check1"/>
                  <w:enabled/>
                  <w:calcOnExit w:val="0"/>
                  <w:checkBox>
                    <w:sizeAuto/>
                    <w:default w:val="0"/>
                  </w:checkBox>
                </w:ffData>
              </w:fldChar>
            </w:r>
            <w:r w:rsidRPr="00071E02">
              <w:rPr>
                <w:sz w:val="20"/>
                <w:szCs w:val="20"/>
                <w:lang w:val="en-GB" w:bidi="ar-SY"/>
              </w:rPr>
              <w:instrText xml:space="preserve"> FORMCHECKBOX </w:instrText>
            </w:r>
            <w:r w:rsidRPr="00071E02">
              <w:rPr>
                <w:sz w:val="20"/>
                <w:szCs w:val="20"/>
                <w:lang w:val="en-GB" w:bidi="ar-SY"/>
              </w:rPr>
            </w:r>
            <w:r w:rsidRPr="00071E02">
              <w:rPr>
                <w:sz w:val="20"/>
                <w:szCs w:val="20"/>
                <w:lang w:val="en-GB" w:bidi="ar-SY"/>
              </w:rPr>
              <w:fldChar w:fldCharType="separate"/>
            </w:r>
            <w:r w:rsidRPr="00071E02">
              <w:rPr>
                <w:sz w:val="20"/>
                <w:szCs w:val="20"/>
                <w:lang w:val="en-GB" w:bidi="ar-SY"/>
              </w:rPr>
              <w:fldChar w:fldCharType="end"/>
            </w:r>
            <w:r w:rsidR="00D500BC" w:rsidRPr="00D500BC">
              <w:rPr>
                <w:sz w:val="20"/>
                <w:szCs w:val="20"/>
                <w:rtl/>
              </w:rPr>
              <w:tab/>
              <w:t>التعليقات والتغييرات المقترحة مرفقة بالطي</w:t>
            </w:r>
          </w:p>
        </w:tc>
      </w:tr>
      <w:tr w:rsidR="00D500BC" w:rsidRPr="00D500BC" w14:paraId="2CCE0F40" w14:textId="77777777" w:rsidTr="009B05AC">
        <w:trPr>
          <w:trHeight w:val="227"/>
        </w:trPr>
        <w:tc>
          <w:tcPr>
            <w:tcW w:w="1960" w:type="dxa"/>
            <w:vMerge/>
            <w:shd w:val="clear" w:color="auto" w:fill="auto"/>
            <w:vAlign w:val="center"/>
          </w:tcPr>
          <w:p w14:paraId="6C8BEF6E" w14:textId="77777777" w:rsidR="00D500BC" w:rsidRPr="00D500BC" w:rsidRDefault="00D500BC" w:rsidP="00071E02">
            <w:pPr>
              <w:jc w:val="center"/>
              <w:rPr>
                <w:b/>
                <w:bCs/>
                <w:sz w:val="20"/>
                <w:szCs w:val="20"/>
                <w:lang w:bidi="ar-SY"/>
              </w:rPr>
            </w:pPr>
          </w:p>
        </w:tc>
        <w:tc>
          <w:tcPr>
            <w:tcW w:w="7759" w:type="dxa"/>
            <w:shd w:val="clear" w:color="auto" w:fill="auto"/>
            <w:vAlign w:val="center"/>
          </w:tcPr>
          <w:p w14:paraId="4F6D3D1B" w14:textId="7E5D1202" w:rsidR="00D500BC" w:rsidRPr="00D500BC" w:rsidRDefault="00A204DF" w:rsidP="009B05AC">
            <w:pPr>
              <w:spacing w:after="120"/>
              <w:ind w:left="720" w:hanging="720"/>
              <w:rPr>
                <w:sz w:val="20"/>
                <w:szCs w:val="20"/>
                <w:lang w:val="ar-SA" w:bidi="ar-SY"/>
              </w:rPr>
            </w:pPr>
            <w:r w:rsidRPr="00071E02">
              <w:rPr>
                <w:sz w:val="20"/>
                <w:szCs w:val="20"/>
                <w:lang w:val="en-GB" w:bidi="ar-SY"/>
              </w:rPr>
              <w:fldChar w:fldCharType="begin">
                <w:ffData>
                  <w:name w:val="Check1"/>
                  <w:enabled/>
                  <w:calcOnExit w:val="0"/>
                  <w:checkBox>
                    <w:sizeAuto/>
                    <w:default w:val="0"/>
                  </w:checkBox>
                </w:ffData>
              </w:fldChar>
            </w:r>
            <w:r w:rsidRPr="00071E02">
              <w:rPr>
                <w:sz w:val="20"/>
                <w:szCs w:val="20"/>
                <w:lang w:val="en-GB" w:bidi="ar-SY"/>
              </w:rPr>
              <w:instrText xml:space="preserve"> FORMCHECKBOX </w:instrText>
            </w:r>
            <w:r w:rsidRPr="00071E02">
              <w:rPr>
                <w:sz w:val="20"/>
                <w:szCs w:val="20"/>
                <w:lang w:val="en-GB" w:bidi="ar-SY"/>
              </w:rPr>
            </w:r>
            <w:r w:rsidRPr="00071E02">
              <w:rPr>
                <w:sz w:val="20"/>
                <w:szCs w:val="20"/>
                <w:lang w:val="en-GB" w:bidi="ar-SY"/>
              </w:rPr>
              <w:fldChar w:fldCharType="separate"/>
            </w:r>
            <w:r w:rsidRPr="00071E02">
              <w:rPr>
                <w:sz w:val="20"/>
                <w:szCs w:val="20"/>
                <w:lang w:val="en-GB" w:bidi="ar-SY"/>
              </w:rPr>
              <w:fldChar w:fldCharType="end"/>
            </w:r>
            <w:r w:rsidR="00D500BC" w:rsidRPr="00D500BC">
              <w:rPr>
                <w:sz w:val="20"/>
                <w:szCs w:val="20"/>
                <w:rtl/>
              </w:rPr>
              <w:tab/>
            </w:r>
            <w:r w:rsidR="00D500BC" w:rsidRPr="00D500BC">
              <w:rPr>
                <w:b/>
                <w:bCs/>
                <w:sz w:val="20"/>
                <w:szCs w:val="20"/>
                <w:rtl/>
              </w:rPr>
              <w:t>لا تفوض</w:t>
            </w:r>
            <w:r w:rsidR="00D500BC" w:rsidRPr="00D500BC">
              <w:rPr>
                <w:sz w:val="20"/>
                <w:szCs w:val="20"/>
                <w:rtl/>
              </w:rPr>
              <w:t xml:space="preserve"> لجنة الدراسات 11 </w:t>
            </w:r>
            <w:r w:rsidR="00D500BC" w:rsidRPr="00D500BC">
              <w:rPr>
                <w:b/>
                <w:bCs/>
                <w:sz w:val="20"/>
                <w:szCs w:val="20"/>
                <w:rtl/>
              </w:rPr>
              <w:t>سلطة النظر</w:t>
            </w:r>
            <w:r w:rsidR="00D500BC" w:rsidRPr="00D500BC">
              <w:rPr>
                <w:sz w:val="20"/>
                <w:szCs w:val="20"/>
                <w:rtl/>
              </w:rPr>
              <w:t xml:space="preserve"> في هذا النص بغرض الموافقة عليه (ترفَق بالطي أسباب هذا الرأي ولمحة عن التغييرات المحتملة التي من شأنها أن تمكّن من إحراز تقدم في العمل)</w:t>
            </w:r>
          </w:p>
        </w:tc>
      </w:tr>
    </w:tbl>
    <w:p w14:paraId="3107C248" w14:textId="77777777" w:rsidR="009B05AC" w:rsidRPr="009B05AC" w:rsidRDefault="009B05AC" w:rsidP="009B05AC">
      <w:pPr>
        <w:spacing w:before="240"/>
        <w:rPr>
          <w:lang w:val="ar-SA" w:bidi="ar-EG"/>
        </w:rPr>
      </w:pPr>
      <w:r w:rsidRPr="009B05AC">
        <w:rPr>
          <w:rtl/>
        </w:rPr>
        <w:t>وتفضلوا بقبول فائق التقدير والاحترام.</w:t>
      </w:r>
    </w:p>
    <w:p w14:paraId="67BD85D0" w14:textId="77777777" w:rsidR="009B05AC" w:rsidRPr="009B05AC" w:rsidRDefault="009B05AC" w:rsidP="00372AF0">
      <w:pPr>
        <w:spacing w:before="600"/>
        <w:rPr>
          <w:highlight w:val="green"/>
          <w:lang w:val="ar-SA" w:bidi="ar-EG"/>
        </w:rPr>
      </w:pPr>
      <w:r w:rsidRPr="009B05AC">
        <w:rPr>
          <w:highlight w:val="green"/>
          <w:rtl/>
        </w:rPr>
        <w:t>[الاسم]</w:t>
      </w:r>
    </w:p>
    <w:p w14:paraId="6CC36D7A" w14:textId="77777777" w:rsidR="009B05AC" w:rsidRPr="009B05AC" w:rsidRDefault="009B05AC" w:rsidP="009B05AC">
      <w:pPr>
        <w:rPr>
          <w:highlight w:val="green"/>
          <w:lang w:val="ar-SA" w:bidi="ar-EG"/>
        </w:rPr>
      </w:pPr>
      <w:r w:rsidRPr="009B05AC">
        <w:rPr>
          <w:highlight w:val="green"/>
          <w:rtl/>
        </w:rPr>
        <w:t>[الدور/المنصب الرسمي]</w:t>
      </w:r>
    </w:p>
    <w:p w14:paraId="46727BE4" w14:textId="204BD742" w:rsidR="009B05AC" w:rsidRDefault="009B05AC" w:rsidP="009B05AC">
      <w:pPr>
        <w:rPr>
          <w:rtl/>
          <w:lang w:bidi="ar-EG"/>
        </w:rPr>
      </w:pPr>
      <w:r w:rsidRPr="00A64ED6">
        <w:rPr>
          <w:rtl/>
        </w:rPr>
        <w:t xml:space="preserve">إدارة </w:t>
      </w:r>
      <w:r w:rsidRPr="009B05AC">
        <w:rPr>
          <w:highlight w:val="green"/>
          <w:rtl/>
        </w:rPr>
        <w:t>[الدولة العضو]</w:t>
      </w:r>
    </w:p>
    <w:p w14:paraId="2858C2C1" w14:textId="2B646B3B" w:rsidR="00596808" w:rsidRPr="00D517B2" w:rsidRDefault="00CA3C69" w:rsidP="00350D17">
      <w:pPr>
        <w:spacing w:before="24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596808" w:rsidRPr="00D517B2" w:rsidSect="006C3242">
      <w:headerReference w:type="defaul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AC6BD" w14:textId="77777777" w:rsidR="001C4742" w:rsidRDefault="001C4742" w:rsidP="006C3242">
      <w:pPr>
        <w:spacing w:before="0" w:line="240" w:lineRule="auto"/>
      </w:pPr>
      <w:r>
        <w:separator/>
      </w:r>
    </w:p>
  </w:endnote>
  <w:endnote w:type="continuationSeparator" w:id="0">
    <w:p w14:paraId="529EF2A2" w14:textId="77777777" w:rsidR="001C4742" w:rsidRDefault="001C474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2747B"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0D494" w14:textId="77777777" w:rsidR="001C4742" w:rsidRDefault="001C4742" w:rsidP="006C3242">
      <w:pPr>
        <w:spacing w:before="0" w:line="240" w:lineRule="auto"/>
      </w:pPr>
      <w:r>
        <w:separator/>
      </w:r>
    </w:p>
  </w:footnote>
  <w:footnote w:type="continuationSeparator" w:id="0">
    <w:p w14:paraId="6946091E" w14:textId="77777777" w:rsidR="001C4742" w:rsidRDefault="001C4742"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45FF5" w14:textId="7FC73418"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007139D8">
      <w:rPr>
        <w:sz w:val="20"/>
        <w:szCs w:val="20"/>
        <w:lang w:bidi="ar-EG"/>
      </w:rPr>
      <w:t xml:space="preserve">TSB Circular </w:t>
    </w:r>
    <w:r w:rsidR="00EE740C">
      <w:rPr>
        <w:sz w:val="20"/>
        <w:szCs w:val="20"/>
        <w:lang w:bidi="ar-EG"/>
      </w:rPr>
      <w:t>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36097659">
    <w:abstractNumId w:val="9"/>
  </w:num>
  <w:num w:numId="2" w16cid:durableId="740449449">
    <w:abstractNumId w:val="7"/>
  </w:num>
  <w:num w:numId="3" w16cid:durableId="633414961">
    <w:abstractNumId w:val="6"/>
  </w:num>
  <w:num w:numId="4" w16cid:durableId="223679747">
    <w:abstractNumId w:val="5"/>
  </w:num>
  <w:num w:numId="5" w16cid:durableId="1663046147">
    <w:abstractNumId w:val="4"/>
  </w:num>
  <w:num w:numId="6" w16cid:durableId="721952793">
    <w:abstractNumId w:val="8"/>
  </w:num>
  <w:num w:numId="7" w16cid:durableId="1592009377">
    <w:abstractNumId w:val="3"/>
  </w:num>
  <w:num w:numId="8" w16cid:durableId="927422131">
    <w:abstractNumId w:val="2"/>
  </w:num>
  <w:num w:numId="9" w16cid:durableId="267154376">
    <w:abstractNumId w:val="1"/>
  </w:num>
  <w:num w:numId="10" w16cid:durableId="382215526">
    <w:abstractNumId w:val="0"/>
  </w:num>
  <w:num w:numId="11" w16cid:durableId="14517084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B0"/>
    <w:rsid w:val="00002A63"/>
    <w:rsid w:val="0006468A"/>
    <w:rsid w:val="00071E02"/>
    <w:rsid w:val="0008107B"/>
    <w:rsid w:val="00090574"/>
    <w:rsid w:val="000C1C0E"/>
    <w:rsid w:val="000C548A"/>
    <w:rsid w:val="000E327F"/>
    <w:rsid w:val="000F23D2"/>
    <w:rsid w:val="001400B0"/>
    <w:rsid w:val="00146FE2"/>
    <w:rsid w:val="00160E0C"/>
    <w:rsid w:val="001C0169"/>
    <w:rsid w:val="001C4742"/>
    <w:rsid w:val="001D1D50"/>
    <w:rsid w:val="001D6745"/>
    <w:rsid w:val="001E2788"/>
    <w:rsid w:val="001E446E"/>
    <w:rsid w:val="002154EE"/>
    <w:rsid w:val="002276D2"/>
    <w:rsid w:val="0023283D"/>
    <w:rsid w:val="002363AB"/>
    <w:rsid w:val="00242652"/>
    <w:rsid w:val="00246684"/>
    <w:rsid w:val="0026373E"/>
    <w:rsid w:val="00271C43"/>
    <w:rsid w:val="00290728"/>
    <w:rsid w:val="002978F4"/>
    <w:rsid w:val="002B028D"/>
    <w:rsid w:val="002E0125"/>
    <w:rsid w:val="002E196B"/>
    <w:rsid w:val="002E6541"/>
    <w:rsid w:val="00334924"/>
    <w:rsid w:val="003409BC"/>
    <w:rsid w:val="00344869"/>
    <w:rsid w:val="00350D17"/>
    <w:rsid w:val="00357185"/>
    <w:rsid w:val="00372AF0"/>
    <w:rsid w:val="00383829"/>
    <w:rsid w:val="003A3046"/>
    <w:rsid w:val="003B213E"/>
    <w:rsid w:val="003C7EDF"/>
    <w:rsid w:val="003F4B29"/>
    <w:rsid w:val="003F5F06"/>
    <w:rsid w:val="00400EC6"/>
    <w:rsid w:val="0041309A"/>
    <w:rsid w:val="0042686F"/>
    <w:rsid w:val="004317D8"/>
    <w:rsid w:val="00434183"/>
    <w:rsid w:val="00443869"/>
    <w:rsid w:val="00447F32"/>
    <w:rsid w:val="004650FB"/>
    <w:rsid w:val="0048492C"/>
    <w:rsid w:val="004E11DC"/>
    <w:rsid w:val="00525DDD"/>
    <w:rsid w:val="005409AC"/>
    <w:rsid w:val="00544B65"/>
    <w:rsid w:val="0055516A"/>
    <w:rsid w:val="005731DD"/>
    <w:rsid w:val="0058491B"/>
    <w:rsid w:val="00587AA8"/>
    <w:rsid w:val="00592EA5"/>
    <w:rsid w:val="00595B52"/>
    <w:rsid w:val="00596808"/>
    <w:rsid w:val="005A3170"/>
    <w:rsid w:val="006019C6"/>
    <w:rsid w:val="006635B2"/>
    <w:rsid w:val="00677396"/>
    <w:rsid w:val="0069200F"/>
    <w:rsid w:val="006A65CB"/>
    <w:rsid w:val="006C1530"/>
    <w:rsid w:val="006C3242"/>
    <w:rsid w:val="006C7CC0"/>
    <w:rsid w:val="006E1BAD"/>
    <w:rsid w:val="006E6264"/>
    <w:rsid w:val="006F63F7"/>
    <w:rsid w:val="007025C7"/>
    <w:rsid w:val="00706D7A"/>
    <w:rsid w:val="007139D8"/>
    <w:rsid w:val="00722F0D"/>
    <w:rsid w:val="00736641"/>
    <w:rsid w:val="0074420E"/>
    <w:rsid w:val="00766048"/>
    <w:rsid w:val="00783E26"/>
    <w:rsid w:val="007B1E20"/>
    <w:rsid w:val="007C3BC7"/>
    <w:rsid w:val="007C3BCD"/>
    <w:rsid w:val="007D4ACF"/>
    <w:rsid w:val="007E4766"/>
    <w:rsid w:val="007F0787"/>
    <w:rsid w:val="00807031"/>
    <w:rsid w:val="00810B7B"/>
    <w:rsid w:val="0082358A"/>
    <w:rsid w:val="008235CD"/>
    <w:rsid w:val="008247DE"/>
    <w:rsid w:val="00827EE6"/>
    <w:rsid w:val="00840B10"/>
    <w:rsid w:val="008513CB"/>
    <w:rsid w:val="008678B1"/>
    <w:rsid w:val="00873469"/>
    <w:rsid w:val="00877F4B"/>
    <w:rsid w:val="00891703"/>
    <w:rsid w:val="008A7F84"/>
    <w:rsid w:val="008D365F"/>
    <w:rsid w:val="0091702E"/>
    <w:rsid w:val="00923B0C"/>
    <w:rsid w:val="00926F44"/>
    <w:rsid w:val="0094021C"/>
    <w:rsid w:val="0094432F"/>
    <w:rsid w:val="00952F86"/>
    <w:rsid w:val="009565AC"/>
    <w:rsid w:val="00961EDC"/>
    <w:rsid w:val="00982B28"/>
    <w:rsid w:val="009B05AC"/>
    <w:rsid w:val="009D313F"/>
    <w:rsid w:val="00A0042B"/>
    <w:rsid w:val="00A204DF"/>
    <w:rsid w:val="00A47A5A"/>
    <w:rsid w:val="00A64ED6"/>
    <w:rsid w:val="00A6683B"/>
    <w:rsid w:val="00A71426"/>
    <w:rsid w:val="00A77C90"/>
    <w:rsid w:val="00A9156F"/>
    <w:rsid w:val="00A97F94"/>
    <w:rsid w:val="00AA7EA2"/>
    <w:rsid w:val="00AB0BC9"/>
    <w:rsid w:val="00AF6B5C"/>
    <w:rsid w:val="00B03099"/>
    <w:rsid w:val="00B05BC8"/>
    <w:rsid w:val="00B32FE0"/>
    <w:rsid w:val="00B405D8"/>
    <w:rsid w:val="00B64B47"/>
    <w:rsid w:val="00B916A7"/>
    <w:rsid w:val="00BB0F08"/>
    <w:rsid w:val="00BE688F"/>
    <w:rsid w:val="00C002DE"/>
    <w:rsid w:val="00C53BF8"/>
    <w:rsid w:val="00C66157"/>
    <w:rsid w:val="00C674FE"/>
    <w:rsid w:val="00C67501"/>
    <w:rsid w:val="00C73A84"/>
    <w:rsid w:val="00C75633"/>
    <w:rsid w:val="00C8441C"/>
    <w:rsid w:val="00CA3C69"/>
    <w:rsid w:val="00CB05C5"/>
    <w:rsid w:val="00CE1C08"/>
    <w:rsid w:val="00CE2EE1"/>
    <w:rsid w:val="00CE3349"/>
    <w:rsid w:val="00CE36E5"/>
    <w:rsid w:val="00CF27F5"/>
    <w:rsid w:val="00CF3FFD"/>
    <w:rsid w:val="00D06A1F"/>
    <w:rsid w:val="00D10B0D"/>
    <w:rsid w:val="00D10CCF"/>
    <w:rsid w:val="00D22846"/>
    <w:rsid w:val="00D500BC"/>
    <w:rsid w:val="00D517B2"/>
    <w:rsid w:val="00D76170"/>
    <w:rsid w:val="00D77D0F"/>
    <w:rsid w:val="00DA1CF0"/>
    <w:rsid w:val="00DC1E02"/>
    <w:rsid w:val="00DC24B4"/>
    <w:rsid w:val="00DC5FB0"/>
    <w:rsid w:val="00DD1EBB"/>
    <w:rsid w:val="00DF16DC"/>
    <w:rsid w:val="00E45211"/>
    <w:rsid w:val="00E473C5"/>
    <w:rsid w:val="00E84438"/>
    <w:rsid w:val="00E92863"/>
    <w:rsid w:val="00EB796D"/>
    <w:rsid w:val="00EE740C"/>
    <w:rsid w:val="00F058DC"/>
    <w:rsid w:val="00F24FC4"/>
    <w:rsid w:val="00F2676C"/>
    <w:rsid w:val="00F52941"/>
    <w:rsid w:val="00F84366"/>
    <w:rsid w:val="00F85089"/>
    <w:rsid w:val="00F974C5"/>
    <w:rsid w:val="00FA2B1A"/>
    <w:rsid w:val="00FA6F46"/>
    <w:rsid w:val="00FC2DC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C19F4D"/>
  <w15:chartTrackingRefBased/>
  <w15:docId w15:val="{37E13769-93A7-4541-BFDE-A26AC137C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styleId="FollowedHyperlink">
    <w:name w:val="FollowedHyperlink"/>
    <w:basedOn w:val="DefaultParagraphFont"/>
    <w:uiPriority w:val="99"/>
    <w:semiHidden/>
    <w:unhideWhenUsed/>
    <w:rsid w:val="00C73A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25-SG11-R-0006/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p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25-SG11-R-0005/en" TargetMode="External"/><Relationship Id="rId5" Type="http://schemas.openxmlformats.org/officeDocument/2006/relationships/webSettings" Target="webSettings.xml"/><Relationship Id="rId15" Type="http://schemas.openxmlformats.org/officeDocument/2006/relationships/hyperlink" Target="mailto:tsbdir@itu.int"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http://www.itu.int/ip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Work\2025\4\7\2500720%5bA%5d\PA_TSB%20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 Circ.dotx</Template>
  <TotalTime>25</TotalTime>
  <Pages>5</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MMAS</dc:creator>
  <cp:keywords/>
  <dc:description/>
  <cp:lastModifiedBy>Braud, Olivia</cp:lastModifiedBy>
  <cp:revision>5</cp:revision>
  <cp:lastPrinted>2025-04-10T12:07:00Z</cp:lastPrinted>
  <dcterms:created xsi:type="dcterms:W3CDTF">2025-04-07T13:37:00Z</dcterms:created>
  <dcterms:modified xsi:type="dcterms:W3CDTF">2025-04-10T12:08:00Z</dcterms:modified>
</cp:coreProperties>
</file>