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4" w:type="dxa"/>
        <w:tblInd w:w="-90" w:type="dxa"/>
        <w:tblLayout w:type="fixed"/>
        <w:tblCellMar>
          <w:left w:w="0" w:type="dxa"/>
          <w:right w:w="0" w:type="dxa"/>
        </w:tblCellMar>
        <w:tblLook w:val="0000" w:firstRow="0" w:lastRow="0" w:firstColumn="0" w:lastColumn="0" w:noHBand="0" w:noVBand="0"/>
      </w:tblPr>
      <w:tblGrid>
        <w:gridCol w:w="1091"/>
        <w:gridCol w:w="417"/>
        <w:gridCol w:w="3467"/>
        <w:gridCol w:w="5329"/>
      </w:tblGrid>
      <w:tr w:rsidR="007B6316" w14:paraId="2698402B" w14:textId="77777777" w:rsidTr="008D5266">
        <w:trPr>
          <w:cantSplit/>
          <w:trHeight w:val="340"/>
        </w:trPr>
        <w:tc>
          <w:tcPr>
            <w:tcW w:w="1508" w:type="dxa"/>
            <w:gridSpan w:val="2"/>
          </w:tcPr>
          <w:p w14:paraId="46220BE1"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06D29D8B" wp14:editId="58F29AF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32E863D"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4AE0A14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8D5266" w14:paraId="248BD163" w14:textId="77777777" w:rsidTr="008D5266">
        <w:trPr>
          <w:cantSplit/>
          <w:trHeight w:val="340"/>
        </w:trPr>
        <w:tc>
          <w:tcPr>
            <w:tcW w:w="1091" w:type="dxa"/>
          </w:tcPr>
          <w:p w14:paraId="39E27282" w14:textId="77777777" w:rsidR="007B6316" w:rsidRPr="008D5266" w:rsidRDefault="007B6316" w:rsidP="00303D62">
            <w:pPr>
              <w:tabs>
                <w:tab w:val="left" w:pos="4111"/>
              </w:tabs>
              <w:spacing w:before="10"/>
              <w:ind w:left="57"/>
              <w:rPr>
                <w:rFonts w:cstheme="minorHAnsi"/>
                <w:b/>
                <w:bCs/>
                <w:sz w:val="22"/>
                <w:szCs w:val="22"/>
              </w:rPr>
            </w:pPr>
          </w:p>
        </w:tc>
        <w:tc>
          <w:tcPr>
            <w:tcW w:w="3884" w:type="dxa"/>
            <w:gridSpan w:val="2"/>
          </w:tcPr>
          <w:p w14:paraId="3F4FCA9B" w14:textId="77777777" w:rsidR="007B6316" w:rsidRPr="008D5266" w:rsidRDefault="007B6316" w:rsidP="00303D62">
            <w:pPr>
              <w:tabs>
                <w:tab w:val="left" w:pos="4111"/>
              </w:tabs>
              <w:spacing w:before="0"/>
              <w:ind w:left="57"/>
              <w:rPr>
                <w:rFonts w:cstheme="minorHAnsi"/>
                <w:b/>
                <w:sz w:val="22"/>
                <w:szCs w:val="22"/>
              </w:rPr>
            </w:pPr>
          </w:p>
        </w:tc>
        <w:tc>
          <w:tcPr>
            <w:tcW w:w="5329" w:type="dxa"/>
          </w:tcPr>
          <w:p w14:paraId="731C6CEE" w14:textId="50144108" w:rsidR="007B6316" w:rsidRPr="008D5266" w:rsidRDefault="007B6316" w:rsidP="007B6316">
            <w:pPr>
              <w:tabs>
                <w:tab w:val="clear" w:pos="794"/>
                <w:tab w:val="clear" w:pos="1191"/>
                <w:tab w:val="clear" w:pos="1588"/>
                <w:tab w:val="clear" w:pos="1985"/>
                <w:tab w:val="left" w:pos="284"/>
              </w:tabs>
              <w:spacing w:after="120"/>
              <w:ind w:left="284" w:hanging="227"/>
              <w:rPr>
                <w:rFonts w:cstheme="minorHAnsi"/>
                <w:sz w:val="22"/>
                <w:szCs w:val="22"/>
              </w:rPr>
            </w:pPr>
            <w:r w:rsidRPr="008D5266">
              <w:rPr>
                <w:rFonts w:cstheme="minorHAnsi"/>
                <w:sz w:val="22"/>
                <w:szCs w:val="22"/>
              </w:rPr>
              <w:t>Ginebra,</w:t>
            </w:r>
            <w:r w:rsidR="009463B7" w:rsidRPr="008D5266">
              <w:rPr>
                <w:rFonts w:cstheme="minorHAnsi"/>
                <w:sz w:val="22"/>
                <w:szCs w:val="22"/>
              </w:rPr>
              <w:t xml:space="preserve"> 25 de marzo de 2025</w:t>
            </w:r>
          </w:p>
        </w:tc>
      </w:tr>
      <w:tr w:rsidR="001350B9" w:rsidRPr="008D5266" w14:paraId="0598A4A9" w14:textId="77777777" w:rsidTr="008D5266">
        <w:trPr>
          <w:cantSplit/>
          <w:trHeight w:val="340"/>
        </w:trPr>
        <w:tc>
          <w:tcPr>
            <w:tcW w:w="1091" w:type="dxa"/>
          </w:tcPr>
          <w:p w14:paraId="22EC7E3C" w14:textId="77777777" w:rsidR="001350B9" w:rsidRPr="008D5266" w:rsidRDefault="001350B9" w:rsidP="00303D62">
            <w:pPr>
              <w:tabs>
                <w:tab w:val="left" w:pos="4111"/>
              </w:tabs>
              <w:spacing w:before="10"/>
              <w:ind w:left="57"/>
              <w:rPr>
                <w:rFonts w:cstheme="minorHAnsi"/>
                <w:sz w:val="22"/>
                <w:szCs w:val="22"/>
              </w:rPr>
            </w:pPr>
            <w:r w:rsidRPr="008D5266">
              <w:rPr>
                <w:rFonts w:cstheme="minorHAnsi"/>
                <w:b/>
                <w:bCs/>
                <w:sz w:val="22"/>
                <w:szCs w:val="22"/>
              </w:rPr>
              <w:t>Ref</w:t>
            </w:r>
            <w:r w:rsidRPr="008D5266">
              <w:rPr>
                <w:rFonts w:cstheme="minorHAnsi"/>
                <w:sz w:val="22"/>
                <w:szCs w:val="22"/>
              </w:rPr>
              <w:t>.:</w:t>
            </w:r>
          </w:p>
          <w:p w14:paraId="65B39145" w14:textId="77777777" w:rsidR="001350B9" w:rsidRPr="008D5266" w:rsidRDefault="001350B9" w:rsidP="007B6316">
            <w:pPr>
              <w:tabs>
                <w:tab w:val="left" w:pos="4111"/>
              </w:tabs>
              <w:spacing w:before="10"/>
              <w:ind w:left="57"/>
              <w:rPr>
                <w:rFonts w:cstheme="minorHAnsi"/>
                <w:sz w:val="22"/>
                <w:szCs w:val="22"/>
              </w:rPr>
            </w:pPr>
          </w:p>
        </w:tc>
        <w:tc>
          <w:tcPr>
            <w:tcW w:w="3884" w:type="dxa"/>
            <w:gridSpan w:val="2"/>
          </w:tcPr>
          <w:p w14:paraId="16FFF655" w14:textId="24B4B861" w:rsidR="001350B9" w:rsidRPr="008D5266" w:rsidRDefault="001350B9" w:rsidP="009463B7">
            <w:pPr>
              <w:tabs>
                <w:tab w:val="left" w:pos="4111"/>
              </w:tabs>
              <w:spacing w:before="0"/>
              <w:ind w:left="57"/>
              <w:rPr>
                <w:rFonts w:cstheme="minorHAnsi"/>
                <w:sz w:val="22"/>
                <w:szCs w:val="22"/>
              </w:rPr>
            </w:pPr>
            <w:r w:rsidRPr="008D5266">
              <w:rPr>
                <w:rFonts w:cstheme="minorHAnsi"/>
                <w:b/>
                <w:sz w:val="22"/>
                <w:szCs w:val="22"/>
              </w:rPr>
              <w:t xml:space="preserve">Circular TSB </w:t>
            </w:r>
            <w:r w:rsidR="009463B7" w:rsidRPr="008D5266">
              <w:rPr>
                <w:rFonts w:cstheme="minorHAnsi"/>
                <w:b/>
                <w:sz w:val="22"/>
                <w:szCs w:val="22"/>
              </w:rPr>
              <w:t>34</w:t>
            </w:r>
          </w:p>
        </w:tc>
        <w:tc>
          <w:tcPr>
            <w:tcW w:w="5329" w:type="dxa"/>
            <w:vMerge w:val="restart"/>
          </w:tcPr>
          <w:p w14:paraId="07246CE3" w14:textId="080ACF13" w:rsidR="009463B7" w:rsidRPr="008D5266" w:rsidRDefault="009463B7" w:rsidP="009463B7">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S"/>
            <w:bookmarkEnd w:id="0"/>
            <w:r w:rsidRPr="008D5266">
              <w:rPr>
                <w:rFonts w:cstheme="minorHAnsi"/>
                <w:sz w:val="22"/>
                <w:szCs w:val="22"/>
              </w:rPr>
              <w:t>–</w:t>
            </w:r>
            <w:r w:rsidR="001350B9" w:rsidRPr="008D5266">
              <w:rPr>
                <w:rFonts w:cstheme="minorHAnsi"/>
                <w:sz w:val="22"/>
                <w:szCs w:val="22"/>
              </w:rPr>
              <w:tab/>
              <w:t>A las Administraciones de los Estados Miembros de la Unión</w:t>
            </w:r>
            <w:r w:rsidRPr="008D5266">
              <w:rPr>
                <w:rFonts w:cstheme="minorHAnsi"/>
                <w:sz w:val="22"/>
                <w:szCs w:val="22"/>
              </w:rPr>
              <w:t>;</w:t>
            </w:r>
          </w:p>
          <w:p w14:paraId="1CEBCA6C" w14:textId="04EC0FA1" w:rsidR="009463B7" w:rsidRPr="008D5266" w:rsidRDefault="009463B7" w:rsidP="009463B7">
            <w:pPr>
              <w:tabs>
                <w:tab w:val="clear" w:pos="794"/>
                <w:tab w:val="clear" w:pos="1191"/>
                <w:tab w:val="clear" w:pos="1588"/>
                <w:tab w:val="clear" w:pos="1985"/>
                <w:tab w:val="left" w:pos="284"/>
              </w:tabs>
              <w:spacing w:before="0"/>
              <w:ind w:left="284" w:hanging="227"/>
              <w:rPr>
                <w:rFonts w:cstheme="minorHAnsi"/>
                <w:sz w:val="22"/>
                <w:szCs w:val="22"/>
              </w:rPr>
            </w:pPr>
            <w:r w:rsidRPr="008D5266">
              <w:rPr>
                <w:rFonts w:cstheme="minorHAnsi"/>
                <w:sz w:val="22"/>
                <w:szCs w:val="22"/>
              </w:rPr>
              <w:t>–</w:t>
            </w:r>
            <w:r w:rsidRPr="008D5266">
              <w:rPr>
                <w:rFonts w:cstheme="minorHAnsi"/>
                <w:sz w:val="22"/>
                <w:szCs w:val="22"/>
              </w:rPr>
              <w:tab/>
              <w:t xml:space="preserve">Al </w:t>
            </w:r>
            <w:r w:rsidRPr="008D5266">
              <w:rPr>
                <w:rFonts w:cstheme="minorHAnsi"/>
                <w:sz w:val="22"/>
                <w:szCs w:val="22"/>
                <w:lang w:val="es-ES"/>
              </w:rPr>
              <w:t>Estado de Palestina (Res. 99 (Rev. Dubái, 2018));</w:t>
            </w:r>
          </w:p>
          <w:p w14:paraId="07B6EACB" w14:textId="78A83720" w:rsidR="009463B7" w:rsidRPr="008D5266" w:rsidRDefault="009463B7" w:rsidP="009463B7">
            <w:pPr>
              <w:tabs>
                <w:tab w:val="clear" w:pos="794"/>
                <w:tab w:val="clear" w:pos="1191"/>
                <w:tab w:val="clear" w:pos="1588"/>
                <w:tab w:val="clear" w:pos="1985"/>
                <w:tab w:val="left" w:pos="284"/>
              </w:tabs>
              <w:spacing w:before="0"/>
              <w:ind w:left="284" w:hanging="227"/>
              <w:rPr>
                <w:rFonts w:cstheme="minorHAnsi"/>
                <w:sz w:val="22"/>
                <w:szCs w:val="22"/>
              </w:rPr>
            </w:pPr>
            <w:r w:rsidRPr="008D5266">
              <w:rPr>
                <w:rFonts w:cstheme="minorHAnsi"/>
                <w:sz w:val="22"/>
                <w:szCs w:val="22"/>
              </w:rPr>
              <w:t>–</w:t>
            </w:r>
            <w:r w:rsidR="001350B9" w:rsidRPr="008D5266">
              <w:rPr>
                <w:rFonts w:cstheme="minorHAnsi"/>
                <w:sz w:val="22"/>
                <w:szCs w:val="22"/>
              </w:rPr>
              <w:tab/>
              <w:t>A los Miembros de Sector</w:t>
            </w:r>
            <w:r w:rsidRPr="008D5266">
              <w:rPr>
                <w:rFonts w:cstheme="minorHAnsi"/>
                <w:sz w:val="22"/>
                <w:szCs w:val="22"/>
              </w:rPr>
              <w:t xml:space="preserve"> del</w:t>
            </w:r>
            <w:r w:rsidR="001350B9" w:rsidRPr="008D5266">
              <w:rPr>
                <w:rFonts w:cstheme="minorHAnsi"/>
                <w:sz w:val="22"/>
                <w:szCs w:val="22"/>
              </w:rPr>
              <w:t xml:space="preserve"> UIT</w:t>
            </w:r>
            <w:r w:rsidR="001350B9" w:rsidRPr="008D5266">
              <w:rPr>
                <w:rFonts w:cstheme="minorHAnsi"/>
                <w:sz w:val="22"/>
                <w:szCs w:val="22"/>
              </w:rPr>
              <w:noBreakHyphen/>
              <w:t>T;</w:t>
            </w:r>
          </w:p>
          <w:p w14:paraId="7A00C7E8" w14:textId="0A14A91C" w:rsidR="009463B7" w:rsidRPr="008D5266" w:rsidRDefault="009463B7" w:rsidP="009463B7">
            <w:pPr>
              <w:tabs>
                <w:tab w:val="clear" w:pos="794"/>
                <w:tab w:val="clear" w:pos="1191"/>
                <w:tab w:val="clear" w:pos="1588"/>
                <w:tab w:val="clear" w:pos="1985"/>
                <w:tab w:val="left" w:pos="284"/>
              </w:tabs>
              <w:spacing w:before="0"/>
              <w:ind w:left="284" w:hanging="227"/>
              <w:rPr>
                <w:rFonts w:cstheme="minorHAnsi"/>
                <w:sz w:val="22"/>
                <w:szCs w:val="22"/>
              </w:rPr>
            </w:pPr>
            <w:r w:rsidRPr="008D5266">
              <w:rPr>
                <w:rFonts w:cstheme="minorHAnsi"/>
                <w:sz w:val="22"/>
                <w:szCs w:val="22"/>
              </w:rPr>
              <w:t>–</w:t>
            </w:r>
            <w:r w:rsidR="001350B9" w:rsidRPr="008D5266">
              <w:rPr>
                <w:rFonts w:cstheme="minorHAnsi"/>
                <w:sz w:val="22"/>
                <w:szCs w:val="22"/>
              </w:rPr>
              <w:tab/>
              <w:t>A los Asociados de</w:t>
            </w:r>
            <w:r w:rsidRPr="008D5266">
              <w:rPr>
                <w:rFonts w:cstheme="minorHAnsi"/>
                <w:sz w:val="22"/>
                <w:szCs w:val="22"/>
              </w:rPr>
              <w:t xml:space="preserve"> </w:t>
            </w:r>
            <w:r w:rsidR="001350B9" w:rsidRPr="008D5266">
              <w:rPr>
                <w:rFonts w:cstheme="minorHAnsi"/>
                <w:sz w:val="22"/>
                <w:szCs w:val="22"/>
              </w:rPr>
              <w:t>l</w:t>
            </w:r>
            <w:r w:rsidRPr="008D5266">
              <w:rPr>
                <w:rFonts w:cstheme="minorHAnsi"/>
                <w:sz w:val="22"/>
                <w:szCs w:val="22"/>
              </w:rPr>
              <w:t>a Comisión de Estudio 11 del</w:t>
            </w:r>
            <w:r w:rsidR="001350B9" w:rsidRPr="008D5266">
              <w:rPr>
                <w:rFonts w:cstheme="minorHAnsi"/>
                <w:sz w:val="22"/>
                <w:szCs w:val="22"/>
              </w:rPr>
              <w:t xml:space="preserve"> UIT</w:t>
            </w:r>
            <w:r w:rsidR="001350B9" w:rsidRPr="008D5266">
              <w:rPr>
                <w:rFonts w:cstheme="minorHAnsi"/>
                <w:sz w:val="22"/>
                <w:szCs w:val="22"/>
              </w:rPr>
              <w:noBreakHyphen/>
              <w:t>T;</w:t>
            </w:r>
          </w:p>
          <w:p w14:paraId="6F8B3555" w14:textId="33AC3AD5" w:rsidR="009463B7" w:rsidRPr="008D5266" w:rsidRDefault="009463B7" w:rsidP="009463B7">
            <w:pPr>
              <w:tabs>
                <w:tab w:val="clear" w:pos="794"/>
                <w:tab w:val="clear" w:pos="1191"/>
                <w:tab w:val="clear" w:pos="1588"/>
                <w:tab w:val="clear" w:pos="1985"/>
                <w:tab w:val="left" w:pos="284"/>
              </w:tabs>
              <w:spacing w:before="0"/>
              <w:ind w:left="284" w:hanging="227"/>
              <w:rPr>
                <w:rFonts w:cstheme="minorHAnsi"/>
                <w:sz w:val="22"/>
                <w:szCs w:val="22"/>
              </w:rPr>
            </w:pPr>
            <w:r w:rsidRPr="008D5266">
              <w:rPr>
                <w:rFonts w:cstheme="minorHAnsi"/>
                <w:sz w:val="22"/>
                <w:szCs w:val="22"/>
              </w:rPr>
              <w:t>–</w:t>
            </w:r>
            <w:r w:rsidR="001350B9" w:rsidRPr="008D5266">
              <w:rPr>
                <w:rFonts w:cstheme="minorHAnsi"/>
                <w:sz w:val="22"/>
                <w:szCs w:val="22"/>
              </w:rPr>
              <w:tab/>
              <w:t>A las Instituciones Académicas de</w:t>
            </w:r>
            <w:r w:rsidRPr="008D5266">
              <w:rPr>
                <w:rFonts w:cstheme="minorHAnsi"/>
                <w:sz w:val="22"/>
                <w:szCs w:val="22"/>
              </w:rPr>
              <w:t xml:space="preserve"> </w:t>
            </w:r>
            <w:r w:rsidR="001350B9" w:rsidRPr="008D5266">
              <w:rPr>
                <w:rFonts w:cstheme="minorHAnsi"/>
                <w:sz w:val="22"/>
                <w:szCs w:val="22"/>
              </w:rPr>
              <w:t>l</w:t>
            </w:r>
            <w:r w:rsidRPr="008D5266">
              <w:rPr>
                <w:rFonts w:cstheme="minorHAnsi"/>
                <w:sz w:val="22"/>
                <w:szCs w:val="22"/>
              </w:rPr>
              <w:t>a</w:t>
            </w:r>
            <w:r w:rsidR="001350B9" w:rsidRPr="008D5266">
              <w:rPr>
                <w:rFonts w:cstheme="minorHAnsi"/>
                <w:sz w:val="22"/>
                <w:szCs w:val="22"/>
              </w:rPr>
              <w:t xml:space="preserve"> UIT</w:t>
            </w:r>
          </w:p>
          <w:p w14:paraId="203ACA2B" w14:textId="5451634F" w:rsidR="009463B7" w:rsidRPr="008D5266" w:rsidRDefault="009463B7" w:rsidP="009463B7">
            <w:pPr>
              <w:tabs>
                <w:tab w:val="clear" w:pos="794"/>
                <w:tab w:val="clear" w:pos="1191"/>
                <w:tab w:val="clear" w:pos="1588"/>
                <w:tab w:val="clear" w:pos="1985"/>
                <w:tab w:val="left" w:pos="284"/>
              </w:tabs>
              <w:spacing w:after="120"/>
              <w:ind w:left="284" w:hanging="227"/>
              <w:rPr>
                <w:rFonts w:cstheme="minorHAnsi"/>
                <w:b/>
                <w:bCs/>
                <w:sz w:val="22"/>
                <w:szCs w:val="22"/>
              </w:rPr>
            </w:pPr>
            <w:r w:rsidRPr="008D5266">
              <w:rPr>
                <w:rFonts w:cstheme="minorHAnsi"/>
                <w:b/>
                <w:bCs/>
                <w:sz w:val="22"/>
                <w:szCs w:val="22"/>
              </w:rPr>
              <w:t>Copia:</w:t>
            </w:r>
          </w:p>
          <w:p w14:paraId="5F2DD501" w14:textId="1CCDC619" w:rsidR="009463B7" w:rsidRPr="008D5266" w:rsidRDefault="009463B7" w:rsidP="009463B7">
            <w:pPr>
              <w:tabs>
                <w:tab w:val="clear" w:pos="794"/>
                <w:tab w:val="clear" w:pos="1191"/>
                <w:tab w:val="clear" w:pos="1588"/>
                <w:tab w:val="clear" w:pos="1985"/>
                <w:tab w:val="left" w:pos="284"/>
              </w:tabs>
              <w:spacing w:before="0"/>
              <w:ind w:left="284" w:hanging="227"/>
              <w:rPr>
                <w:rFonts w:cstheme="minorHAnsi"/>
                <w:sz w:val="22"/>
                <w:szCs w:val="22"/>
              </w:rPr>
            </w:pPr>
            <w:r w:rsidRPr="008D5266">
              <w:rPr>
                <w:rFonts w:cstheme="minorHAnsi"/>
                <w:sz w:val="22"/>
                <w:szCs w:val="22"/>
              </w:rPr>
              <w:t>–</w:t>
            </w:r>
            <w:r w:rsidR="001350B9" w:rsidRPr="008D5266">
              <w:rPr>
                <w:rFonts w:cstheme="minorHAnsi"/>
                <w:sz w:val="22"/>
                <w:szCs w:val="22"/>
              </w:rPr>
              <w:tab/>
              <w:t>A</w:t>
            </w:r>
            <w:r w:rsidRPr="008D5266">
              <w:rPr>
                <w:rFonts w:cstheme="minorHAnsi"/>
                <w:sz w:val="22"/>
                <w:szCs w:val="22"/>
              </w:rPr>
              <w:t xml:space="preserve"> </w:t>
            </w:r>
            <w:r w:rsidR="001350B9" w:rsidRPr="008D5266">
              <w:rPr>
                <w:rFonts w:cstheme="minorHAnsi"/>
                <w:sz w:val="22"/>
                <w:szCs w:val="22"/>
              </w:rPr>
              <w:t>l</w:t>
            </w:r>
            <w:r w:rsidRPr="008D5266">
              <w:rPr>
                <w:rFonts w:cstheme="minorHAnsi"/>
                <w:sz w:val="22"/>
                <w:szCs w:val="22"/>
              </w:rPr>
              <w:t>os</w:t>
            </w:r>
            <w:r w:rsidR="001350B9" w:rsidRPr="008D5266">
              <w:rPr>
                <w:rFonts w:cstheme="minorHAnsi"/>
                <w:sz w:val="22"/>
                <w:szCs w:val="22"/>
              </w:rPr>
              <w:t xml:space="preserve"> </w:t>
            </w:r>
            <w:proofErr w:type="gramStart"/>
            <w:r w:rsidR="001350B9" w:rsidRPr="008D5266">
              <w:rPr>
                <w:rFonts w:cstheme="minorHAnsi"/>
                <w:sz w:val="22"/>
                <w:szCs w:val="22"/>
              </w:rPr>
              <w:t>Presidente</w:t>
            </w:r>
            <w:r w:rsidRPr="008D5266">
              <w:rPr>
                <w:rFonts w:cstheme="minorHAnsi"/>
                <w:sz w:val="22"/>
                <w:szCs w:val="22"/>
              </w:rPr>
              <w:t>s</w:t>
            </w:r>
            <w:proofErr w:type="gramEnd"/>
            <w:r w:rsidR="001350B9" w:rsidRPr="008D5266">
              <w:rPr>
                <w:rFonts w:cstheme="minorHAnsi"/>
                <w:sz w:val="22"/>
                <w:szCs w:val="22"/>
              </w:rPr>
              <w:t xml:space="preserve"> y a los </w:t>
            </w:r>
            <w:proofErr w:type="gramStart"/>
            <w:r w:rsidR="001350B9" w:rsidRPr="008D5266">
              <w:rPr>
                <w:rFonts w:cstheme="minorHAnsi"/>
                <w:sz w:val="22"/>
                <w:szCs w:val="22"/>
              </w:rPr>
              <w:t>Vicepresidentes</w:t>
            </w:r>
            <w:proofErr w:type="gramEnd"/>
            <w:r w:rsidR="001350B9" w:rsidRPr="008D5266">
              <w:rPr>
                <w:rFonts w:cstheme="minorHAnsi"/>
                <w:sz w:val="22"/>
                <w:szCs w:val="22"/>
              </w:rPr>
              <w:t xml:space="preserve"> de la</w:t>
            </w:r>
            <w:r w:rsidRPr="008D5266">
              <w:rPr>
                <w:rFonts w:cstheme="minorHAnsi"/>
                <w:sz w:val="22"/>
                <w:szCs w:val="22"/>
              </w:rPr>
              <w:t xml:space="preserve"> </w:t>
            </w:r>
            <w:r w:rsidR="001350B9" w:rsidRPr="008D5266">
              <w:rPr>
                <w:rFonts w:cstheme="minorHAnsi"/>
                <w:sz w:val="22"/>
                <w:szCs w:val="22"/>
              </w:rPr>
              <w:t xml:space="preserve">Comisión de Estudio </w:t>
            </w:r>
            <w:r w:rsidRPr="008D5266">
              <w:rPr>
                <w:rFonts w:cstheme="minorHAnsi"/>
                <w:sz w:val="22"/>
                <w:szCs w:val="22"/>
              </w:rPr>
              <w:t>11 del UIT-T</w:t>
            </w:r>
            <w:r w:rsidR="001350B9" w:rsidRPr="008D5266">
              <w:rPr>
                <w:rFonts w:cstheme="minorHAnsi"/>
                <w:sz w:val="22"/>
                <w:szCs w:val="22"/>
              </w:rPr>
              <w:t>;</w:t>
            </w:r>
          </w:p>
          <w:p w14:paraId="07B4C9BF" w14:textId="26A5FE84" w:rsidR="009463B7" w:rsidRPr="008D5266" w:rsidRDefault="009463B7" w:rsidP="009463B7">
            <w:pPr>
              <w:tabs>
                <w:tab w:val="clear" w:pos="794"/>
                <w:tab w:val="clear" w:pos="1191"/>
                <w:tab w:val="clear" w:pos="1588"/>
                <w:tab w:val="clear" w:pos="1985"/>
                <w:tab w:val="left" w:pos="284"/>
              </w:tabs>
              <w:spacing w:before="0"/>
              <w:ind w:left="284" w:hanging="227"/>
              <w:rPr>
                <w:rFonts w:cstheme="minorHAnsi"/>
                <w:sz w:val="22"/>
                <w:szCs w:val="22"/>
              </w:rPr>
            </w:pPr>
            <w:r w:rsidRPr="008D5266">
              <w:rPr>
                <w:rFonts w:cstheme="minorHAnsi"/>
                <w:sz w:val="22"/>
                <w:szCs w:val="22"/>
              </w:rPr>
              <w:t>–</w:t>
            </w:r>
            <w:r w:rsidR="001350B9" w:rsidRPr="008D5266">
              <w:rPr>
                <w:rFonts w:cstheme="minorHAnsi"/>
                <w:sz w:val="22"/>
                <w:szCs w:val="22"/>
              </w:rPr>
              <w:tab/>
              <w:t xml:space="preserve">Al </w:t>
            </w:r>
            <w:proofErr w:type="gramStart"/>
            <w:r w:rsidR="001350B9" w:rsidRPr="008D5266">
              <w:rPr>
                <w:rFonts w:cstheme="minorHAnsi"/>
                <w:sz w:val="22"/>
                <w:szCs w:val="22"/>
              </w:rPr>
              <w:t>Director</w:t>
            </w:r>
            <w:proofErr w:type="gramEnd"/>
            <w:r w:rsidR="001350B9" w:rsidRPr="008D5266">
              <w:rPr>
                <w:rFonts w:cstheme="minorHAnsi"/>
                <w:sz w:val="22"/>
                <w:szCs w:val="22"/>
              </w:rPr>
              <w:t xml:space="preserve"> de la Oficina de Desarrollo de las Telecomunicaciones;</w:t>
            </w:r>
          </w:p>
          <w:p w14:paraId="48371E77" w14:textId="31D50A4D" w:rsidR="001350B9" w:rsidRPr="008D5266" w:rsidRDefault="009463B7" w:rsidP="009463B7">
            <w:pPr>
              <w:tabs>
                <w:tab w:val="clear" w:pos="794"/>
                <w:tab w:val="clear" w:pos="1191"/>
                <w:tab w:val="clear" w:pos="1588"/>
                <w:tab w:val="clear" w:pos="1985"/>
                <w:tab w:val="left" w:pos="284"/>
              </w:tabs>
              <w:spacing w:before="0"/>
              <w:ind w:left="284" w:hanging="227"/>
              <w:rPr>
                <w:rFonts w:cstheme="minorHAnsi"/>
                <w:sz w:val="22"/>
                <w:szCs w:val="22"/>
              </w:rPr>
            </w:pPr>
            <w:r w:rsidRPr="008D5266">
              <w:rPr>
                <w:rFonts w:cstheme="minorHAnsi"/>
                <w:sz w:val="22"/>
                <w:szCs w:val="22"/>
              </w:rPr>
              <w:t>–</w:t>
            </w:r>
            <w:r w:rsidR="001350B9" w:rsidRPr="008D5266">
              <w:rPr>
                <w:rFonts w:cstheme="minorHAnsi"/>
                <w:sz w:val="22"/>
                <w:szCs w:val="22"/>
              </w:rPr>
              <w:tab/>
              <w:t xml:space="preserve">Al </w:t>
            </w:r>
            <w:proofErr w:type="gramStart"/>
            <w:r w:rsidR="001350B9" w:rsidRPr="008D5266">
              <w:rPr>
                <w:rFonts w:cstheme="minorHAnsi"/>
                <w:sz w:val="22"/>
                <w:szCs w:val="22"/>
              </w:rPr>
              <w:t>Director</w:t>
            </w:r>
            <w:proofErr w:type="gramEnd"/>
            <w:r w:rsidR="001350B9" w:rsidRPr="008D5266">
              <w:rPr>
                <w:rFonts w:cstheme="minorHAnsi"/>
                <w:sz w:val="22"/>
                <w:szCs w:val="22"/>
              </w:rPr>
              <w:t xml:space="preserve"> de la Oficina de Radiocomunicaciones</w:t>
            </w:r>
          </w:p>
        </w:tc>
      </w:tr>
      <w:tr w:rsidR="001350B9" w:rsidRPr="008D5266" w14:paraId="53CF3D25" w14:textId="77777777" w:rsidTr="008D5266">
        <w:trPr>
          <w:cantSplit/>
        </w:trPr>
        <w:tc>
          <w:tcPr>
            <w:tcW w:w="1091" w:type="dxa"/>
          </w:tcPr>
          <w:p w14:paraId="4BF18A50" w14:textId="77777777" w:rsidR="001350B9" w:rsidRPr="008D5266" w:rsidRDefault="001350B9" w:rsidP="00303D62">
            <w:pPr>
              <w:tabs>
                <w:tab w:val="left" w:pos="4111"/>
              </w:tabs>
              <w:spacing w:before="10"/>
              <w:ind w:left="57"/>
              <w:rPr>
                <w:rFonts w:cstheme="minorHAnsi"/>
                <w:sz w:val="22"/>
                <w:szCs w:val="22"/>
              </w:rPr>
            </w:pPr>
            <w:r w:rsidRPr="008D5266">
              <w:rPr>
                <w:rFonts w:cstheme="minorHAnsi"/>
                <w:sz w:val="22"/>
                <w:szCs w:val="22"/>
              </w:rPr>
              <w:t>Tel.:</w:t>
            </w:r>
          </w:p>
        </w:tc>
        <w:tc>
          <w:tcPr>
            <w:tcW w:w="3884" w:type="dxa"/>
            <w:gridSpan w:val="2"/>
          </w:tcPr>
          <w:p w14:paraId="0C53EB45" w14:textId="105AE87E" w:rsidR="001350B9" w:rsidRPr="008D5266" w:rsidRDefault="001350B9" w:rsidP="00303D62">
            <w:pPr>
              <w:tabs>
                <w:tab w:val="left" w:pos="4111"/>
              </w:tabs>
              <w:spacing w:before="0"/>
              <w:ind w:left="57"/>
              <w:rPr>
                <w:rStyle w:val="Hyperlink"/>
                <w:rFonts w:cstheme="minorHAnsi"/>
                <w:sz w:val="22"/>
                <w:szCs w:val="22"/>
              </w:rPr>
            </w:pPr>
            <w:r w:rsidRPr="008D5266">
              <w:rPr>
                <w:rFonts w:cstheme="minorHAnsi"/>
                <w:sz w:val="22"/>
                <w:szCs w:val="22"/>
              </w:rPr>
              <w:t>+41 22 730</w:t>
            </w:r>
            <w:r w:rsidR="009463B7" w:rsidRPr="008D5266">
              <w:rPr>
                <w:rFonts w:cstheme="minorHAnsi"/>
                <w:sz w:val="22"/>
                <w:szCs w:val="22"/>
              </w:rPr>
              <w:t xml:space="preserve"> 5780</w:t>
            </w:r>
          </w:p>
        </w:tc>
        <w:tc>
          <w:tcPr>
            <w:tcW w:w="5329" w:type="dxa"/>
            <w:vMerge/>
          </w:tcPr>
          <w:p w14:paraId="0A755F21" w14:textId="77777777" w:rsidR="001350B9" w:rsidRPr="008D5266" w:rsidRDefault="001350B9" w:rsidP="00303D62">
            <w:pPr>
              <w:tabs>
                <w:tab w:val="left" w:pos="226"/>
                <w:tab w:val="left" w:pos="510"/>
              </w:tabs>
              <w:spacing w:before="0"/>
              <w:ind w:left="226" w:hanging="169"/>
              <w:rPr>
                <w:rFonts w:cstheme="minorHAnsi"/>
                <w:b/>
                <w:sz w:val="22"/>
                <w:szCs w:val="22"/>
              </w:rPr>
            </w:pPr>
          </w:p>
        </w:tc>
      </w:tr>
      <w:tr w:rsidR="001350B9" w:rsidRPr="008D5266" w14:paraId="7D846AB1" w14:textId="77777777" w:rsidTr="008D5266">
        <w:trPr>
          <w:cantSplit/>
        </w:trPr>
        <w:tc>
          <w:tcPr>
            <w:tcW w:w="1091" w:type="dxa"/>
          </w:tcPr>
          <w:p w14:paraId="50698B35" w14:textId="77777777" w:rsidR="001350B9" w:rsidRPr="008D5266" w:rsidRDefault="001350B9" w:rsidP="00303D62">
            <w:pPr>
              <w:tabs>
                <w:tab w:val="left" w:pos="4111"/>
              </w:tabs>
              <w:spacing w:before="10"/>
              <w:ind w:left="57"/>
              <w:rPr>
                <w:rFonts w:cstheme="minorHAnsi"/>
                <w:sz w:val="22"/>
                <w:szCs w:val="22"/>
              </w:rPr>
            </w:pPr>
            <w:r w:rsidRPr="008D5266">
              <w:rPr>
                <w:rFonts w:cstheme="minorHAnsi"/>
                <w:sz w:val="22"/>
                <w:szCs w:val="22"/>
              </w:rPr>
              <w:t>Fax:</w:t>
            </w:r>
          </w:p>
        </w:tc>
        <w:tc>
          <w:tcPr>
            <w:tcW w:w="3884" w:type="dxa"/>
            <w:gridSpan w:val="2"/>
          </w:tcPr>
          <w:p w14:paraId="7C0E5721" w14:textId="77777777" w:rsidR="001350B9" w:rsidRPr="008D5266" w:rsidRDefault="001350B9" w:rsidP="00303D62">
            <w:pPr>
              <w:tabs>
                <w:tab w:val="left" w:pos="4111"/>
              </w:tabs>
              <w:spacing w:before="0"/>
              <w:ind w:left="57"/>
              <w:rPr>
                <w:rStyle w:val="Hyperlink"/>
                <w:rFonts w:cstheme="minorHAnsi"/>
                <w:sz w:val="22"/>
                <w:szCs w:val="22"/>
              </w:rPr>
            </w:pPr>
            <w:r w:rsidRPr="008D5266">
              <w:rPr>
                <w:rFonts w:cstheme="minorHAnsi"/>
                <w:sz w:val="22"/>
                <w:szCs w:val="22"/>
              </w:rPr>
              <w:t>+41 22 730 5853</w:t>
            </w:r>
          </w:p>
        </w:tc>
        <w:tc>
          <w:tcPr>
            <w:tcW w:w="5329" w:type="dxa"/>
            <w:vMerge/>
          </w:tcPr>
          <w:p w14:paraId="4D3175E3" w14:textId="77777777" w:rsidR="001350B9" w:rsidRPr="008D5266" w:rsidRDefault="001350B9" w:rsidP="00303D62">
            <w:pPr>
              <w:tabs>
                <w:tab w:val="left" w:pos="226"/>
                <w:tab w:val="left" w:pos="510"/>
              </w:tabs>
              <w:spacing w:before="0"/>
              <w:ind w:left="226" w:hanging="169"/>
              <w:rPr>
                <w:rFonts w:cstheme="minorHAnsi"/>
                <w:b/>
                <w:sz w:val="22"/>
                <w:szCs w:val="22"/>
              </w:rPr>
            </w:pPr>
          </w:p>
        </w:tc>
      </w:tr>
      <w:tr w:rsidR="001350B9" w:rsidRPr="008D5266" w14:paraId="088B3340" w14:textId="77777777" w:rsidTr="008D5266">
        <w:trPr>
          <w:cantSplit/>
          <w:trHeight w:val="2493"/>
        </w:trPr>
        <w:tc>
          <w:tcPr>
            <w:tcW w:w="1091" w:type="dxa"/>
          </w:tcPr>
          <w:p w14:paraId="5BFDF159" w14:textId="77777777" w:rsidR="001350B9" w:rsidRPr="008D5266" w:rsidRDefault="001350B9" w:rsidP="00303D62">
            <w:pPr>
              <w:tabs>
                <w:tab w:val="left" w:pos="4111"/>
              </w:tabs>
              <w:spacing w:before="10"/>
              <w:ind w:left="57"/>
              <w:rPr>
                <w:rFonts w:cstheme="minorHAnsi"/>
                <w:sz w:val="22"/>
                <w:szCs w:val="22"/>
              </w:rPr>
            </w:pPr>
            <w:r w:rsidRPr="008D5266">
              <w:rPr>
                <w:rFonts w:cstheme="minorHAnsi"/>
                <w:sz w:val="22"/>
                <w:szCs w:val="22"/>
              </w:rPr>
              <w:t>Correo-e:</w:t>
            </w:r>
          </w:p>
        </w:tc>
        <w:tc>
          <w:tcPr>
            <w:tcW w:w="3884" w:type="dxa"/>
            <w:gridSpan w:val="2"/>
          </w:tcPr>
          <w:p w14:paraId="3820D6A6" w14:textId="63ED77AF" w:rsidR="001350B9" w:rsidRPr="008D5266" w:rsidRDefault="009463B7" w:rsidP="00303D62">
            <w:pPr>
              <w:tabs>
                <w:tab w:val="left" w:pos="4111"/>
              </w:tabs>
              <w:spacing w:before="0"/>
              <w:ind w:left="57"/>
              <w:rPr>
                <w:rFonts w:cstheme="minorHAnsi"/>
                <w:sz w:val="22"/>
                <w:szCs w:val="22"/>
              </w:rPr>
            </w:pPr>
            <w:hyperlink r:id="rId9" w:history="1">
              <w:r w:rsidRPr="008D5266">
                <w:rPr>
                  <w:rStyle w:val="Hyperlink"/>
                  <w:rFonts w:cstheme="minorHAnsi"/>
                  <w:sz w:val="22"/>
                  <w:szCs w:val="22"/>
                </w:rPr>
                <w:t>tsbsg11@itu.int</w:t>
              </w:r>
            </w:hyperlink>
            <w:r w:rsidR="001350B9" w:rsidRPr="008D5266">
              <w:rPr>
                <w:rFonts w:cstheme="minorHAnsi"/>
                <w:sz w:val="22"/>
                <w:szCs w:val="22"/>
              </w:rPr>
              <w:t xml:space="preserve"> </w:t>
            </w:r>
          </w:p>
        </w:tc>
        <w:tc>
          <w:tcPr>
            <w:tcW w:w="5329" w:type="dxa"/>
            <w:vMerge/>
          </w:tcPr>
          <w:p w14:paraId="5ED766AF" w14:textId="77777777" w:rsidR="001350B9" w:rsidRPr="008D5266"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7B6316" w:rsidRPr="008D5266" w14:paraId="4DEC105B" w14:textId="77777777" w:rsidTr="008D5266">
        <w:trPr>
          <w:cantSplit/>
        </w:trPr>
        <w:tc>
          <w:tcPr>
            <w:tcW w:w="1091" w:type="dxa"/>
          </w:tcPr>
          <w:p w14:paraId="10247610" w14:textId="77777777" w:rsidR="007B6316" w:rsidRPr="008D5266" w:rsidRDefault="007B6316" w:rsidP="00303D62">
            <w:pPr>
              <w:tabs>
                <w:tab w:val="left" w:pos="4111"/>
              </w:tabs>
              <w:spacing w:before="10"/>
              <w:ind w:left="57"/>
              <w:rPr>
                <w:rFonts w:cstheme="minorHAnsi"/>
                <w:sz w:val="22"/>
                <w:szCs w:val="22"/>
              </w:rPr>
            </w:pPr>
            <w:r w:rsidRPr="008D5266">
              <w:rPr>
                <w:rFonts w:cstheme="minorHAnsi"/>
                <w:b/>
                <w:bCs/>
                <w:sz w:val="22"/>
                <w:szCs w:val="22"/>
              </w:rPr>
              <w:t>Asunto</w:t>
            </w:r>
            <w:r w:rsidRPr="008D5266">
              <w:rPr>
                <w:rFonts w:cstheme="minorHAnsi"/>
                <w:sz w:val="22"/>
                <w:szCs w:val="22"/>
              </w:rPr>
              <w:t>:</w:t>
            </w:r>
          </w:p>
        </w:tc>
        <w:tc>
          <w:tcPr>
            <w:tcW w:w="9213" w:type="dxa"/>
            <w:gridSpan w:val="3"/>
          </w:tcPr>
          <w:p w14:paraId="61D1EFDE" w14:textId="1FD783B6" w:rsidR="007B6316" w:rsidRPr="008D5266" w:rsidRDefault="009463B7" w:rsidP="00303D62">
            <w:pPr>
              <w:tabs>
                <w:tab w:val="left" w:pos="4111"/>
              </w:tabs>
              <w:spacing w:before="0"/>
              <w:rPr>
                <w:rFonts w:cstheme="minorHAnsi"/>
                <w:b/>
                <w:sz w:val="22"/>
                <w:szCs w:val="22"/>
              </w:rPr>
            </w:pPr>
            <w:r w:rsidRPr="008D5266">
              <w:rPr>
                <w:rFonts w:cstheme="minorHAnsi"/>
                <w:b/>
                <w:sz w:val="22"/>
                <w:szCs w:val="22"/>
                <w:lang w:val="es-ES"/>
              </w:rPr>
              <w:t>Situación de las Recomendaciones UIT-T Q.5054 y UIT-T Q.5010</w:t>
            </w:r>
            <w:bookmarkStart w:id="1" w:name="_Hlk46831557"/>
            <w:r w:rsidRPr="008D5266">
              <w:rPr>
                <w:rFonts w:cstheme="minorHAnsi"/>
                <w:b/>
                <w:sz w:val="22"/>
                <w:szCs w:val="22"/>
                <w:lang w:val="es-ES"/>
              </w:rPr>
              <w:t xml:space="preserve"> </w:t>
            </w:r>
            <w:bookmarkEnd w:id="1"/>
            <w:r w:rsidRPr="008D5266">
              <w:rPr>
                <w:rFonts w:cstheme="minorHAnsi"/>
                <w:b/>
                <w:sz w:val="22"/>
                <w:szCs w:val="22"/>
                <w:lang w:val="es-ES"/>
              </w:rPr>
              <w:t>tras la reunión de la Comisión de Estudio 11 del UIT-T (Ginebra, 19-28 de febrero de 2025)</w:t>
            </w:r>
          </w:p>
        </w:tc>
      </w:tr>
    </w:tbl>
    <w:p w14:paraId="743C64CC" w14:textId="5BEC6D8A" w:rsidR="00C34772" w:rsidRPr="008D5266" w:rsidRDefault="00C34772" w:rsidP="008D5266">
      <w:pPr>
        <w:spacing w:before="240"/>
        <w:rPr>
          <w:rFonts w:cstheme="minorHAnsi"/>
          <w:sz w:val="22"/>
          <w:szCs w:val="22"/>
        </w:rPr>
      </w:pPr>
      <w:bookmarkStart w:id="2" w:name="StartTyping_S"/>
      <w:bookmarkStart w:id="3" w:name="suitetext"/>
      <w:bookmarkStart w:id="4" w:name="text"/>
      <w:bookmarkEnd w:id="2"/>
      <w:bookmarkEnd w:id="3"/>
      <w:bookmarkEnd w:id="4"/>
      <w:r w:rsidRPr="008D5266">
        <w:rPr>
          <w:rFonts w:cstheme="minorHAnsi"/>
          <w:sz w:val="22"/>
          <w:szCs w:val="22"/>
        </w:rPr>
        <w:t>Muy Señora mía/Muy Señor mío</w:t>
      </w:r>
      <w:r w:rsidR="008D5266" w:rsidRPr="008D5266">
        <w:rPr>
          <w:rFonts w:cstheme="minorHAnsi"/>
          <w:sz w:val="22"/>
          <w:szCs w:val="22"/>
        </w:rPr>
        <w:t>,</w:t>
      </w:r>
    </w:p>
    <w:p w14:paraId="4BF3DBF9" w14:textId="70D5CE6B" w:rsidR="007B6316" w:rsidRPr="008D5266" w:rsidRDefault="009463B7" w:rsidP="009463B7">
      <w:pPr>
        <w:spacing w:after="120"/>
        <w:rPr>
          <w:rFonts w:cstheme="minorHAnsi"/>
          <w:sz w:val="22"/>
          <w:szCs w:val="22"/>
          <w:lang w:val="es-ES"/>
        </w:rPr>
      </w:pPr>
      <w:r w:rsidRPr="008D5266">
        <w:rPr>
          <w:rFonts w:cstheme="minorHAnsi"/>
          <w:bCs/>
          <w:sz w:val="22"/>
          <w:szCs w:val="22"/>
          <w:lang w:val="es-ES"/>
        </w:rPr>
        <w:t>1</w:t>
      </w:r>
      <w:r w:rsidRPr="008D5266">
        <w:rPr>
          <w:rFonts w:cstheme="minorHAnsi"/>
          <w:sz w:val="22"/>
          <w:szCs w:val="22"/>
          <w:lang w:val="es-ES"/>
        </w:rPr>
        <w:tab/>
      </w:r>
      <w:proofErr w:type="gramStart"/>
      <w:r w:rsidRPr="008D5266">
        <w:rPr>
          <w:rFonts w:cstheme="minorHAnsi"/>
          <w:sz w:val="22"/>
          <w:szCs w:val="22"/>
          <w:lang w:val="es-ES"/>
        </w:rPr>
        <w:t>En</w:t>
      </w:r>
      <w:proofErr w:type="gramEnd"/>
      <w:r w:rsidRPr="008D5266">
        <w:rPr>
          <w:rFonts w:cstheme="minorHAnsi"/>
          <w:sz w:val="22"/>
          <w:szCs w:val="22"/>
          <w:lang w:val="es-ES"/>
        </w:rPr>
        <w:t xml:space="preserve"> relación con la </w:t>
      </w:r>
      <w:hyperlink r:id="rId10" w:history="1">
        <w:r w:rsidRPr="008D5266">
          <w:rPr>
            <w:rStyle w:val="Hyperlink"/>
            <w:rFonts w:cstheme="minorHAnsi"/>
            <w:sz w:val="22"/>
            <w:szCs w:val="22"/>
            <w:lang w:val="es-ES"/>
          </w:rPr>
          <w:t>Circular TSB 223</w:t>
        </w:r>
      </w:hyperlink>
      <w:r w:rsidRPr="008D5266">
        <w:rPr>
          <w:rFonts w:cstheme="minorHAnsi"/>
          <w:sz w:val="22"/>
          <w:szCs w:val="22"/>
          <w:lang w:val="es-ES"/>
        </w:rPr>
        <w:t xml:space="preserve"> de 25 de julio de 2024 y de conformidad con la cláusula 9.5 de la Resolución 1 (Rev. Ginebra, 2022), me complace informarle de que la Comisión de Estudio 11 tomó las siguientes decisiones durante su sesión plenaria, celebrada en Ginebra el 28 de febrero de 2025, en relación con los proyectos de textos del UIT-T que figuran a continuación:</w:t>
      </w:r>
    </w:p>
    <w:tbl>
      <w:tblPr>
        <w:tblW w:w="514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32"/>
        <w:gridCol w:w="5235"/>
        <w:gridCol w:w="3121"/>
      </w:tblGrid>
      <w:tr w:rsidR="009463B7" w:rsidRPr="008D5266" w14:paraId="1C0DF1F3" w14:textId="77777777" w:rsidTr="00AD500E">
        <w:tc>
          <w:tcPr>
            <w:tcW w:w="775" w:type="pct"/>
            <w:shd w:val="clear" w:color="auto" w:fill="auto"/>
            <w:tcMar>
              <w:top w:w="105" w:type="dxa"/>
              <w:left w:w="75" w:type="dxa"/>
              <w:bottom w:w="90" w:type="dxa"/>
              <w:right w:w="75" w:type="dxa"/>
            </w:tcMar>
            <w:vAlign w:val="center"/>
            <w:hideMark/>
          </w:tcPr>
          <w:p w14:paraId="49CF3B9B" w14:textId="77777777" w:rsidR="009463B7" w:rsidRPr="008D5266" w:rsidRDefault="009463B7" w:rsidP="009463B7">
            <w:pPr>
              <w:pStyle w:val="Tablehead0"/>
              <w:rPr>
                <w:rFonts w:cstheme="minorHAnsi"/>
                <w:szCs w:val="22"/>
                <w:lang w:eastAsia="en-GB"/>
              </w:rPr>
            </w:pPr>
            <w:r w:rsidRPr="008D5266">
              <w:rPr>
                <w:rFonts w:cstheme="minorHAnsi"/>
                <w:szCs w:val="22"/>
                <w:bdr w:val="none" w:sz="0" w:space="0" w:color="auto" w:frame="1"/>
                <w:lang w:eastAsia="en-GB"/>
              </w:rPr>
              <w:t>Número</w:t>
            </w:r>
          </w:p>
        </w:tc>
        <w:tc>
          <w:tcPr>
            <w:tcW w:w="2647" w:type="pct"/>
            <w:shd w:val="clear" w:color="auto" w:fill="auto"/>
            <w:tcMar>
              <w:top w:w="105" w:type="dxa"/>
              <w:left w:w="75" w:type="dxa"/>
              <w:bottom w:w="90" w:type="dxa"/>
              <w:right w:w="75" w:type="dxa"/>
            </w:tcMar>
            <w:hideMark/>
          </w:tcPr>
          <w:p w14:paraId="2E2E8878" w14:textId="77777777" w:rsidR="009463B7" w:rsidRPr="008D5266" w:rsidRDefault="009463B7" w:rsidP="009463B7">
            <w:pPr>
              <w:pStyle w:val="Tablehead0"/>
              <w:rPr>
                <w:rFonts w:cstheme="minorHAnsi"/>
                <w:szCs w:val="22"/>
                <w:lang w:eastAsia="en-GB"/>
              </w:rPr>
            </w:pPr>
            <w:r w:rsidRPr="008D5266">
              <w:rPr>
                <w:rFonts w:cstheme="minorHAnsi"/>
                <w:szCs w:val="22"/>
                <w:bdr w:val="none" w:sz="0" w:space="0" w:color="auto" w:frame="1"/>
                <w:lang w:eastAsia="en-GB"/>
              </w:rPr>
              <w:t>Título</w:t>
            </w:r>
          </w:p>
        </w:tc>
        <w:tc>
          <w:tcPr>
            <w:tcW w:w="1578" w:type="pct"/>
            <w:shd w:val="clear" w:color="auto" w:fill="auto"/>
            <w:tcMar>
              <w:top w:w="105" w:type="dxa"/>
              <w:left w:w="75" w:type="dxa"/>
              <w:bottom w:w="90" w:type="dxa"/>
              <w:right w:w="75" w:type="dxa"/>
            </w:tcMar>
            <w:hideMark/>
          </w:tcPr>
          <w:p w14:paraId="4A36314B" w14:textId="77777777" w:rsidR="009463B7" w:rsidRPr="008D5266" w:rsidRDefault="009463B7" w:rsidP="009463B7">
            <w:pPr>
              <w:pStyle w:val="Tablehead0"/>
              <w:rPr>
                <w:rFonts w:cstheme="minorHAnsi"/>
                <w:szCs w:val="22"/>
                <w:lang w:eastAsia="en-GB"/>
              </w:rPr>
            </w:pPr>
            <w:r w:rsidRPr="008D5266">
              <w:rPr>
                <w:rFonts w:cstheme="minorHAnsi"/>
                <w:szCs w:val="22"/>
                <w:lang w:eastAsia="en-GB"/>
              </w:rPr>
              <w:t>Decisión</w:t>
            </w:r>
          </w:p>
        </w:tc>
      </w:tr>
      <w:tr w:rsidR="009463B7" w:rsidRPr="008D5266" w14:paraId="066C01ED" w14:textId="77777777" w:rsidTr="00AD500E">
        <w:tc>
          <w:tcPr>
            <w:tcW w:w="775" w:type="pct"/>
            <w:shd w:val="clear" w:color="auto" w:fill="auto"/>
            <w:tcMar>
              <w:top w:w="105" w:type="dxa"/>
              <w:left w:w="75" w:type="dxa"/>
              <w:bottom w:w="90" w:type="dxa"/>
              <w:right w:w="75" w:type="dxa"/>
            </w:tcMar>
            <w:vAlign w:val="center"/>
          </w:tcPr>
          <w:p w14:paraId="5E07B9BD" w14:textId="77777777" w:rsidR="009463B7" w:rsidRPr="008D5266" w:rsidRDefault="009463B7" w:rsidP="009463B7">
            <w:pPr>
              <w:pStyle w:val="Tabletext0"/>
              <w:rPr>
                <w:rFonts w:cstheme="minorHAnsi"/>
                <w:szCs w:val="22"/>
                <w:lang w:val="fr-CH" w:eastAsia="zh-CN"/>
              </w:rPr>
            </w:pPr>
            <w:hyperlink r:id="rId11" w:history="1">
              <w:r w:rsidRPr="008D5266">
                <w:rPr>
                  <w:rStyle w:val="Hyperlink"/>
                  <w:rFonts w:cstheme="minorHAnsi"/>
                  <w:szCs w:val="22"/>
                  <w:lang w:val="fr-CH" w:eastAsia="zh-CN"/>
                </w:rPr>
                <w:t>UIT-T Q.5054</w:t>
              </w:r>
            </w:hyperlink>
          </w:p>
        </w:tc>
        <w:tc>
          <w:tcPr>
            <w:tcW w:w="2647" w:type="pct"/>
            <w:shd w:val="clear" w:color="auto" w:fill="auto"/>
            <w:tcMar>
              <w:top w:w="105" w:type="dxa"/>
              <w:left w:w="75" w:type="dxa"/>
              <w:bottom w:w="90" w:type="dxa"/>
              <w:right w:w="75" w:type="dxa"/>
            </w:tcMar>
            <w:vAlign w:val="center"/>
          </w:tcPr>
          <w:p w14:paraId="696D65EB" w14:textId="77777777" w:rsidR="009463B7" w:rsidRPr="008D5266" w:rsidRDefault="009463B7" w:rsidP="009463B7">
            <w:pPr>
              <w:pStyle w:val="Tabletext0"/>
              <w:jc w:val="center"/>
              <w:rPr>
                <w:rFonts w:cstheme="minorHAnsi"/>
                <w:szCs w:val="22"/>
                <w:lang w:val="es-ES" w:eastAsia="ko-KR"/>
              </w:rPr>
            </w:pPr>
            <w:r w:rsidRPr="008D5266">
              <w:rPr>
                <w:rFonts w:cstheme="minorHAnsi"/>
                <w:szCs w:val="22"/>
                <w:lang w:val="es-ES" w:eastAsia="ko-KR"/>
              </w:rPr>
              <w:t>Marco centrado en el consumidor para luchar contra la falsificación y el robo de dispositivos TIC móviles</w:t>
            </w:r>
          </w:p>
        </w:tc>
        <w:tc>
          <w:tcPr>
            <w:tcW w:w="1578" w:type="pct"/>
            <w:shd w:val="clear" w:color="auto" w:fill="auto"/>
            <w:tcMar>
              <w:top w:w="105" w:type="dxa"/>
              <w:left w:w="75" w:type="dxa"/>
              <w:bottom w:w="90" w:type="dxa"/>
              <w:right w:w="75" w:type="dxa"/>
            </w:tcMar>
            <w:vAlign w:val="center"/>
          </w:tcPr>
          <w:p w14:paraId="24EBD58B" w14:textId="77777777" w:rsidR="009463B7" w:rsidRPr="008D5266" w:rsidRDefault="009463B7" w:rsidP="009463B7">
            <w:pPr>
              <w:pStyle w:val="Tabletext0"/>
              <w:jc w:val="center"/>
              <w:rPr>
                <w:rFonts w:cstheme="minorHAnsi"/>
                <w:szCs w:val="22"/>
              </w:rPr>
            </w:pPr>
            <w:r w:rsidRPr="008D5266">
              <w:rPr>
                <w:rFonts w:cstheme="minorHAnsi"/>
                <w:szCs w:val="22"/>
              </w:rPr>
              <w:t>aprobada</w:t>
            </w:r>
          </w:p>
        </w:tc>
      </w:tr>
      <w:tr w:rsidR="009463B7" w:rsidRPr="008D5266" w14:paraId="5C079699" w14:textId="77777777" w:rsidTr="00AD500E">
        <w:tc>
          <w:tcPr>
            <w:tcW w:w="775" w:type="pct"/>
            <w:shd w:val="clear" w:color="auto" w:fill="auto"/>
            <w:tcMar>
              <w:top w:w="105" w:type="dxa"/>
              <w:left w:w="75" w:type="dxa"/>
              <w:bottom w:w="90" w:type="dxa"/>
              <w:right w:w="75" w:type="dxa"/>
            </w:tcMar>
            <w:vAlign w:val="center"/>
          </w:tcPr>
          <w:p w14:paraId="78929F0F" w14:textId="77777777" w:rsidR="009463B7" w:rsidRPr="008D5266" w:rsidRDefault="009463B7" w:rsidP="009463B7">
            <w:pPr>
              <w:pStyle w:val="Tabletext0"/>
              <w:rPr>
                <w:rFonts w:cstheme="minorHAnsi"/>
                <w:szCs w:val="22"/>
                <w:lang w:val="fr-CH" w:eastAsia="zh-CN"/>
              </w:rPr>
            </w:pPr>
            <w:hyperlink r:id="rId12" w:history="1">
              <w:r w:rsidRPr="008D5266">
                <w:rPr>
                  <w:rStyle w:val="Hyperlink"/>
                  <w:rFonts w:cstheme="minorHAnsi"/>
                  <w:szCs w:val="22"/>
                  <w:lang w:val="fr-CH" w:eastAsia="zh-CN"/>
                </w:rPr>
                <w:t>UIT-T Q.5010</w:t>
              </w:r>
            </w:hyperlink>
          </w:p>
        </w:tc>
        <w:tc>
          <w:tcPr>
            <w:tcW w:w="2647" w:type="pct"/>
            <w:shd w:val="clear" w:color="auto" w:fill="auto"/>
            <w:tcMar>
              <w:top w:w="105" w:type="dxa"/>
              <w:left w:w="75" w:type="dxa"/>
              <w:bottom w:w="90" w:type="dxa"/>
              <w:right w:w="75" w:type="dxa"/>
            </w:tcMar>
            <w:vAlign w:val="center"/>
          </w:tcPr>
          <w:p w14:paraId="2BED0AF8" w14:textId="77777777" w:rsidR="009463B7" w:rsidRPr="008D5266" w:rsidRDefault="009463B7" w:rsidP="009463B7">
            <w:pPr>
              <w:pStyle w:val="Tabletext0"/>
              <w:jc w:val="center"/>
              <w:rPr>
                <w:rFonts w:cstheme="minorHAnsi"/>
                <w:szCs w:val="22"/>
                <w:lang w:val="es-ES" w:eastAsia="ko-KR"/>
              </w:rPr>
            </w:pPr>
            <w:r w:rsidRPr="008D5266">
              <w:rPr>
                <w:rFonts w:cstheme="minorHAnsi"/>
                <w:szCs w:val="22"/>
                <w:lang w:val="es-ES" w:eastAsia="ko-KR"/>
              </w:rPr>
              <w:t>Requisitos de señalización y arquitectura para el entorno de servicio de movilidad aérea urbana</w:t>
            </w:r>
          </w:p>
        </w:tc>
        <w:tc>
          <w:tcPr>
            <w:tcW w:w="1578" w:type="pct"/>
            <w:shd w:val="clear" w:color="auto" w:fill="auto"/>
            <w:tcMar>
              <w:top w:w="105" w:type="dxa"/>
              <w:left w:w="75" w:type="dxa"/>
              <w:bottom w:w="90" w:type="dxa"/>
              <w:right w:w="75" w:type="dxa"/>
            </w:tcMar>
            <w:vAlign w:val="center"/>
          </w:tcPr>
          <w:p w14:paraId="3FCAA423" w14:textId="025B6EED" w:rsidR="009463B7" w:rsidRPr="008D5266" w:rsidRDefault="009463B7" w:rsidP="009463B7">
            <w:pPr>
              <w:pStyle w:val="Tabletext0"/>
              <w:jc w:val="center"/>
              <w:rPr>
                <w:rFonts w:cstheme="minorHAnsi"/>
                <w:szCs w:val="22"/>
                <w:lang w:val="es-ES"/>
              </w:rPr>
            </w:pPr>
            <w:r w:rsidRPr="008D5266">
              <w:rPr>
                <w:rFonts w:cstheme="minorHAnsi"/>
                <w:szCs w:val="22"/>
                <w:lang w:val="es-ES"/>
              </w:rPr>
              <w:t>Aprobación diferida a la próxima reunión de la CE</w:t>
            </w:r>
            <w:r w:rsidR="00A27D2A" w:rsidRPr="008D5266">
              <w:rPr>
                <w:rFonts w:cstheme="minorHAnsi"/>
                <w:szCs w:val="22"/>
                <w:lang w:val="es-ES"/>
              </w:rPr>
              <w:t> </w:t>
            </w:r>
            <w:r w:rsidRPr="008D5266">
              <w:rPr>
                <w:rFonts w:cstheme="minorHAnsi"/>
                <w:szCs w:val="22"/>
                <w:lang w:val="es-ES"/>
              </w:rPr>
              <w:t>11 (prevista en Ginebra del 17 al 26 de noviembre de 2025)</w:t>
            </w:r>
          </w:p>
        </w:tc>
      </w:tr>
    </w:tbl>
    <w:p w14:paraId="7CD46476" w14:textId="6C432459" w:rsidR="009463B7" w:rsidRPr="008D5266" w:rsidRDefault="009463B7" w:rsidP="009463B7">
      <w:pPr>
        <w:rPr>
          <w:rFonts w:cstheme="minorHAnsi"/>
          <w:sz w:val="22"/>
          <w:szCs w:val="22"/>
          <w:lang w:val="es-ES"/>
        </w:rPr>
      </w:pPr>
      <w:r w:rsidRPr="008D5266">
        <w:rPr>
          <w:rFonts w:cstheme="minorHAnsi"/>
          <w:bCs/>
          <w:sz w:val="22"/>
          <w:szCs w:val="22"/>
          <w:lang w:val="es-ES"/>
        </w:rPr>
        <w:t>2</w:t>
      </w:r>
      <w:r w:rsidRPr="008D5266">
        <w:rPr>
          <w:rFonts w:cstheme="minorHAnsi"/>
          <w:sz w:val="22"/>
          <w:szCs w:val="22"/>
          <w:lang w:val="es-ES"/>
        </w:rPr>
        <w:tab/>
      </w:r>
      <w:proofErr w:type="gramStart"/>
      <w:r w:rsidRPr="008D5266">
        <w:rPr>
          <w:rFonts w:cstheme="minorHAnsi"/>
          <w:sz w:val="22"/>
          <w:szCs w:val="22"/>
          <w:lang w:val="es-ES"/>
        </w:rPr>
        <w:t>Puede</w:t>
      </w:r>
      <w:proofErr w:type="gramEnd"/>
      <w:r w:rsidRPr="008D5266">
        <w:rPr>
          <w:rFonts w:cstheme="minorHAnsi"/>
          <w:sz w:val="22"/>
          <w:szCs w:val="22"/>
          <w:lang w:val="es-ES"/>
        </w:rPr>
        <w:t xml:space="preserve"> accederse en línea a la información disponible sobre patentes a través del </w:t>
      </w:r>
      <w:hyperlink r:id="rId13" w:history="1">
        <w:r w:rsidRPr="008D5266">
          <w:rPr>
            <w:rStyle w:val="Hyperlink"/>
            <w:rFonts w:cstheme="minorHAnsi"/>
            <w:sz w:val="22"/>
            <w:szCs w:val="22"/>
            <w:lang w:val="es-ES"/>
          </w:rPr>
          <w:t>sitio web del UIT</w:t>
        </w:r>
        <w:r w:rsidRPr="008D5266">
          <w:rPr>
            <w:rStyle w:val="Hyperlink"/>
            <w:rFonts w:cstheme="minorHAnsi"/>
            <w:sz w:val="22"/>
            <w:szCs w:val="22"/>
            <w:lang w:val="es-ES"/>
          </w:rPr>
          <w:noBreakHyphen/>
          <w:t>T</w:t>
        </w:r>
      </w:hyperlink>
      <w:r w:rsidRPr="008D5266">
        <w:rPr>
          <w:rFonts w:cstheme="minorHAnsi"/>
          <w:sz w:val="22"/>
          <w:szCs w:val="22"/>
          <w:lang w:val="es-ES"/>
        </w:rPr>
        <w:t>.</w:t>
      </w:r>
    </w:p>
    <w:p w14:paraId="7B1EFF05" w14:textId="77777777" w:rsidR="009463B7" w:rsidRPr="008D5266" w:rsidRDefault="009463B7" w:rsidP="009463B7">
      <w:pPr>
        <w:rPr>
          <w:rFonts w:cstheme="minorHAnsi"/>
          <w:sz w:val="22"/>
          <w:szCs w:val="22"/>
          <w:lang w:val="es-ES"/>
        </w:rPr>
      </w:pPr>
      <w:r w:rsidRPr="008D5266">
        <w:rPr>
          <w:rFonts w:cstheme="minorHAnsi"/>
          <w:bCs/>
          <w:sz w:val="22"/>
          <w:szCs w:val="22"/>
          <w:lang w:val="es-ES"/>
        </w:rPr>
        <w:t>3</w:t>
      </w:r>
      <w:r w:rsidRPr="008D5266">
        <w:rPr>
          <w:rFonts w:cstheme="minorHAnsi"/>
          <w:sz w:val="22"/>
          <w:szCs w:val="22"/>
          <w:lang w:val="es-ES"/>
        </w:rPr>
        <w:tab/>
      </w:r>
      <w:proofErr w:type="gramStart"/>
      <w:r w:rsidRPr="008D5266">
        <w:rPr>
          <w:rFonts w:cstheme="minorHAnsi"/>
          <w:sz w:val="22"/>
          <w:szCs w:val="22"/>
          <w:lang w:val="es-ES"/>
        </w:rPr>
        <w:t>El</w:t>
      </w:r>
      <w:proofErr w:type="gramEnd"/>
      <w:r w:rsidRPr="008D5266">
        <w:rPr>
          <w:rFonts w:cstheme="minorHAnsi"/>
          <w:sz w:val="22"/>
          <w:szCs w:val="22"/>
          <w:lang w:val="es-ES"/>
        </w:rPr>
        <w:t xml:space="preserve"> texto de la Recomendación UIT-T Q.5054 </w:t>
      </w:r>
      <w:proofErr w:type="spellStart"/>
      <w:r w:rsidRPr="008D5266">
        <w:rPr>
          <w:rFonts w:cstheme="minorHAnsi"/>
          <w:sz w:val="22"/>
          <w:szCs w:val="22"/>
          <w:lang w:val="es-ES"/>
        </w:rPr>
        <w:t>prepublicada</w:t>
      </w:r>
      <w:proofErr w:type="spellEnd"/>
      <w:r w:rsidRPr="008D5266">
        <w:rPr>
          <w:rFonts w:cstheme="minorHAnsi"/>
          <w:sz w:val="22"/>
          <w:szCs w:val="22"/>
          <w:lang w:val="es-ES"/>
        </w:rPr>
        <w:t xml:space="preserve"> está disponible en el sitio web del UIT-T en la dirección </w:t>
      </w:r>
      <w:hyperlink r:id="rId14" w:history="1">
        <w:r w:rsidRPr="008D5266">
          <w:rPr>
            <w:rStyle w:val="Hyperlink"/>
            <w:rFonts w:cstheme="minorHAnsi"/>
            <w:sz w:val="22"/>
            <w:szCs w:val="22"/>
            <w:lang w:val="es-ES"/>
          </w:rPr>
          <w:t>https://www.itu.int/itu-t/recommendations/</w:t>
        </w:r>
      </w:hyperlink>
      <w:r w:rsidRPr="008D5266">
        <w:rPr>
          <w:rFonts w:cstheme="minorHAnsi"/>
          <w:sz w:val="22"/>
          <w:szCs w:val="22"/>
          <w:lang w:val="es-ES"/>
        </w:rPr>
        <w:t>.</w:t>
      </w:r>
    </w:p>
    <w:p w14:paraId="2860FBB0" w14:textId="3457410E" w:rsidR="009463B7" w:rsidRPr="008D5266" w:rsidRDefault="009463B7" w:rsidP="009463B7">
      <w:pPr>
        <w:rPr>
          <w:rFonts w:cstheme="minorHAnsi"/>
          <w:sz w:val="22"/>
          <w:szCs w:val="22"/>
          <w:lang w:val="es-ES"/>
        </w:rPr>
      </w:pPr>
      <w:r w:rsidRPr="008D5266">
        <w:rPr>
          <w:rFonts w:cstheme="minorHAnsi"/>
          <w:bCs/>
          <w:sz w:val="22"/>
          <w:szCs w:val="22"/>
          <w:lang w:val="es-ES"/>
        </w:rPr>
        <w:t>4</w:t>
      </w:r>
      <w:r w:rsidRPr="008D5266">
        <w:rPr>
          <w:rFonts w:cstheme="minorHAnsi"/>
          <w:sz w:val="22"/>
          <w:szCs w:val="22"/>
          <w:lang w:val="es-ES"/>
        </w:rPr>
        <w:tab/>
      </w:r>
      <w:proofErr w:type="gramStart"/>
      <w:r w:rsidRPr="008D5266">
        <w:rPr>
          <w:rFonts w:cstheme="minorHAnsi"/>
          <w:sz w:val="22"/>
          <w:szCs w:val="22"/>
          <w:lang w:val="es-ES"/>
        </w:rPr>
        <w:t>La</w:t>
      </w:r>
      <w:proofErr w:type="gramEnd"/>
      <w:r w:rsidRPr="008D5266">
        <w:rPr>
          <w:rFonts w:cstheme="minorHAnsi"/>
          <w:sz w:val="22"/>
          <w:szCs w:val="22"/>
          <w:lang w:val="es-ES"/>
        </w:rPr>
        <w:t xml:space="preserve"> UIT publicará lo antes posible el texto de la Recomendación UIT-T Q.5054 aprobada.</w:t>
      </w:r>
    </w:p>
    <w:p w14:paraId="7D1B3CA4" w14:textId="77777777" w:rsidR="007B6316" w:rsidRPr="008D5266" w:rsidRDefault="007B6316" w:rsidP="007B6316">
      <w:pPr>
        <w:rPr>
          <w:rFonts w:cstheme="minorHAnsi"/>
          <w:sz w:val="22"/>
          <w:szCs w:val="22"/>
        </w:rPr>
      </w:pPr>
      <w:r w:rsidRPr="008D5266">
        <w:rPr>
          <w:rFonts w:cstheme="minorHAnsi"/>
          <w:sz w:val="22"/>
          <w:szCs w:val="22"/>
        </w:rPr>
        <w:t>Atentamente,</w:t>
      </w:r>
    </w:p>
    <w:p w14:paraId="26B5BD5E" w14:textId="606DE427" w:rsidR="007B6316" w:rsidRPr="008D5266" w:rsidRDefault="0083563F" w:rsidP="008D5266">
      <w:pPr>
        <w:spacing w:before="720"/>
        <w:rPr>
          <w:rFonts w:cstheme="minorHAnsi"/>
          <w:sz w:val="22"/>
          <w:szCs w:val="22"/>
        </w:rPr>
      </w:pPr>
      <w:r>
        <w:rPr>
          <w:rFonts w:cstheme="minorHAnsi"/>
          <w:noProof/>
          <w:sz w:val="22"/>
          <w:szCs w:val="22"/>
          <w:lang w:val="es-ES"/>
        </w:rPr>
        <w:drawing>
          <wp:anchor distT="0" distB="0" distL="114300" distR="114300" simplePos="0" relativeHeight="251658240" behindDoc="0" locked="0" layoutInCell="1" allowOverlap="1" wp14:anchorId="5EFE3D3B" wp14:editId="72D6937E">
            <wp:simplePos x="0" y="0"/>
            <wp:positionH relativeFrom="margin">
              <wp:align>left</wp:align>
            </wp:positionH>
            <wp:positionV relativeFrom="paragraph">
              <wp:posOffset>66675</wp:posOffset>
            </wp:positionV>
            <wp:extent cx="825500" cy="330200"/>
            <wp:effectExtent l="0" t="0" r="0" b="0"/>
            <wp:wrapNone/>
            <wp:docPr id="130180636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06362" name="Picture 1" descr="A black text on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825500" cy="330200"/>
                    </a:xfrm>
                    <a:prstGeom prst="rect">
                      <a:avLst/>
                    </a:prstGeom>
                  </pic:spPr>
                </pic:pic>
              </a:graphicData>
            </a:graphic>
          </wp:anchor>
        </w:drawing>
      </w:r>
      <w:r w:rsidR="001350B9" w:rsidRPr="008D5266">
        <w:rPr>
          <w:rFonts w:cstheme="minorHAnsi"/>
          <w:sz w:val="22"/>
          <w:szCs w:val="22"/>
          <w:lang w:val="es-ES"/>
        </w:rPr>
        <w:t>Seizo Onoe</w:t>
      </w:r>
      <w:r w:rsidR="007B6316" w:rsidRPr="008D5266">
        <w:rPr>
          <w:rFonts w:cstheme="minorHAnsi"/>
          <w:sz w:val="22"/>
          <w:szCs w:val="22"/>
        </w:rPr>
        <w:br/>
      </w:r>
      <w:proofErr w:type="gramStart"/>
      <w:r w:rsidR="007B6316" w:rsidRPr="008D5266">
        <w:rPr>
          <w:rFonts w:cstheme="minorHAnsi"/>
          <w:sz w:val="22"/>
          <w:szCs w:val="22"/>
        </w:rPr>
        <w:t>Director</w:t>
      </w:r>
      <w:proofErr w:type="gramEnd"/>
      <w:r w:rsidR="007B6316" w:rsidRPr="008D5266">
        <w:rPr>
          <w:rFonts w:cstheme="minorHAnsi"/>
          <w:sz w:val="22"/>
          <w:szCs w:val="22"/>
        </w:rPr>
        <w:t xml:space="preserve"> de la Oficina de </w:t>
      </w:r>
      <w:r w:rsidR="007B6316" w:rsidRPr="008D5266">
        <w:rPr>
          <w:rFonts w:cstheme="minorHAnsi"/>
          <w:sz w:val="22"/>
          <w:szCs w:val="22"/>
        </w:rPr>
        <w:br/>
        <w:t>Normalización de las Telecomunicaciones</w:t>
      </w:r>
    </w:p>
    <w:p w14:paraId="252E9338" w14:textId="77777777" w:rsidR="00401C20" w:rsidRPr="008D5266" w:rsidRDefault="00401C20" w:rsidP="007B6316">
      <w:pPr>
        <w:ind w:right="92"/>
        <w:rPr>
          <w:rFonts w:cstheme="minorHAnsi"/>
          <w:sz w:val="22"/>
          <w:szCs w:val="22"/>
          <w:lang w:val="es-ES"/>
        </w:rPr>
      </w:pPr>
    </w:p>
    <w:sectPr w:rsidR="00401C20" w:rsidRPr="008D5266"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0B541" w14:textId="77777777" w:rsidR="009463B7" w:rsidRDefault="009463B7">
      <w:r>
        <w:separator/>
      </w:r>
    </w:p>
  </w:endnote>
  <w:endnote w:type="continuationSeparator" w:id="0">
    <w:p w14:paraId="5623925A" w14:textId="77777777" w:rsidR="009463B7" w:rsidRDefault="0094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623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C38D7" w14:textId="77777777" w:rsidR="009463B7" w:rsidRDefault="009463B7">
      <w:r>
        <w:t>____________________</w:t>
      </w:r>
    </w:p>
  </w:footnote>
  <w:footnote w:type="continuationSeparator" w:id="0">
    <w:p w14:paraId="3BE67CCD" w14:textId="77777777" w:rsidR="009463B7" w:rsidRDefault="00946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2647"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B7"/>
    <w:rsid w:val="00002529"/>
    <w:rsid w:val="00013B76"/>
    <w:rsid w:val="00085662"/>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5719E"/>
    <w:rsid w:val="00592DCE"/>
    <w:rsid w:val="005B4BFB"/>
    <w:rsid w:val="006969B4"/>
    <w:rsid w:val="006E4F7B"/>
    <w:rsid w:val="00781E2A"/>
    <w:rsid w:val="007933A2"/>
    <w:rsid w:val="007B6316"/>
    <w:rsid w:val="00814503"/>
    <w:rsid w:val="008258C2"/>
    <w:rsid w:val="0083563F"/>
    <w:rsid w:val="008505BD"/>
    <w:rsid w:val="00850C78"/>
    <w:rsid w:val="00876165"/>
    <w:rsid w:val="00884D12"/>
    <w:rsid w:val="008C17AD"/>
    <w:rsid w:val="008D02CD"/>
    <w:rsid w:val="008D5266"/>
    <w:rsid w:val="0091370C"/>
    <w:rsid w:val="009463B7"/>
    <w:rsid w:val="0095172A"/>
    <w:rsid w:val="009A0BA0"/>
    <w:rsid w:val="009D7700"/>
    <w:rsid w:val="00A1679B"/>
    <w:rsid w:val="00A27D2A"/>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F14380"/>
    <w:rsid w:val="00F6461F"/>
    <w:rsid w:val="00FC416A"/>
    <w:rsid w:val="00FD2B2D"/>
    <w:rsid w:val="00FE6C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2C77D"/>
  <w15:docId w15:val="{BFFC41AD-FE18-490A-8F97-44CFE5F1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link w:val="TabletextChar"/>
    <w:qFormat/>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463B7"/>
    <w:rPr>
      <w:color w:val="605E5C"/>
      <w:shd w:val="clear" w:color="auto" w:fill="E1DFDD"/>
    </w:rPr>
  </w:style>
  <w:style w:type="character" w:customStyle="1" w:styleId="TabletextChar">
    <w:name w:val="Table_text Char"/>
    <w:link w:val="Tabletext0"/>
    <w:qFormat/>
    <w:locked/>
    <w:rsid w:val="009463B7"/>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4/ipr/search.aspx?sector=ITU&amp;class=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workprog/wp_item.aspx?isn=209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item.aspx?isn=20957"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md/T22-TSB-CIR-022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itu-t/recommendation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9</TotalTime>
  <Pages>2</Pages>
  <Words>335</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2452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2025-04-10T09:55:00Z</cp:lastPrinted>
  <dcterms:created xsi:type="dcterms:W3CDTF">2025-04-03T07:56:00Z</dcterms:created>
  <dcterms:modified xsi:type="dcterms:W3CDTF">2025-04-10T09:56:00Z</dcterms:modified>
</cp:coreProperties>
</file>