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4CEB50B8" w14:textId="77777777" w:rsidTr="00D517B2">
        <w:trPr>
          <w:cantSplit/>
          <w:trHeight w:val="1134"/>
        </w:trPr>
        <w:tc>
          <w:tcPr>
            <w:tcW w:w="798" w:type="pct"/>
          </w:tcPr>
          <w:p w14:paraId="3482C737" w14:textId="781DE2DD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0C6F5856" wp14:editId="4D26ED4D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1821531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517D3F1E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5F778E30" w14:textId="77777777" w:rsidTr="001E2788">
        <w:trPr>
          <w:cantSplit/>
          <w:jc w:val="center"/>
        </w:trPr>
        <w:tc>
          <w:tcPr>
            <w:tcW w:w="810" w:type="pct"/>
          </w:tcPr>
          <w:p w14:paraId="7A846F1E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45A7CEA7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51AFC724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5E196896" w14:textId="77777777" w:rsidTr="001E2788">
        <w:trPr>
          <w:cantSplit/>
          <w:jc w:val="center"/>
        </w:trPr>
        <w:tc>
          <w:tcPr>
            <w:tcW w:w="810" w:type="pct"/>
          </w:tcPr>
          <w:p w14:paraId="0896A6AD" w14:textId="77777777" w:rsidR="00D517B2" w:rsidRPr="00D517B2" w:rsidRDefault="00D517B2" w:rsidP="006019C6">
            <w:pPr>
              <w:spacing w:before="80" w:after="12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1684E928" w14:textId="77777777" w:rsidR="00D517B2" w:rsidRPr="00D517B2" w:rsidRDefault="00D517B2" w:rsidP="006019C6">
            <w:pPr>
              <w:spacing w:before="80" w:after="12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03F160C0" w14:textId="6847165C" w:rsidR="00D517B2" w:rsidRPr="00D517B2" w:rsidRDefault="00873469" w:rsidP="006019C6">
            <w:pPr>
              <w:spacing w:before="80"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8E5057">
              <w:rPr>
                <w:position w:val="2"/>
              </w:rPr>
              <w:t>25</w:t>
            </w:r>
            <w:r w:rsidR="008E5057">
              <w:rPr>
                <w:rFonts w:hint="cs"/>
                <w:position w:val="2"/>
                <w:rtl/>
                <w:lang w:bidi="ar-EG"/>
              </w:rPr>
              <w:t xml:space="preserve"> مارس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1E2788" w:rsidRPr="00D517B2" w14:paraId="13768DB3" w14:textId="77777777" w:rsidTr="001E2788">
        <w:trPr>
          <w:cantSplit/>
          <w:jc w:val="center"/>
        </w:trPr>
        <w:tc>
          <w:tcPr>
            <w:tcW w:w="810" w:type="pct"/>
          </w:tcPr>
          <w:p w14:paraId="0FCE1D3C" w14:textId="77777777" w:rsidR="001E2788" w:rsidRPr="00703295" w:rsidRDefault="001E278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703295">
              <w:rPr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714438FF" w14:textId="6C990D0A" w:rsidR="001E2788" w:rsidRPr="00AC2447" w:rsidRDefault="00AC2447" w:rsidP="00AC2447">
            <w:pPr>
              <w:spacing w:before="80" w:after="60" w:line="300" w:lineRule="exact"/>
              <w:jc w:val="left"/>
              <w:rPr>
                <w:bCs/>
                <w:position w:val="2"/>
              </w:rPr>
            </w:pPr>
            <w:r w:rsidRPr="00EC1A0F">
              <w:rPr>
                <w:b/>
                <w:bCs/>
                <w:position w:val="2"/>
                <w:lang w:val="en-GB"/>
              </w:rPr>
              <w:t>TSB Circular 34</w:t>
            </w:r>
          </w:p>
        </w:tc>
        <w:tc>
          <w:tcPr>
            <w:tcW w:w="2206" w:type="pct"/>
            <w:vMerge w:val="restart"/>
          </w:tcPr>
          <w:p w14:paraId="614B834C" w14:textId="77777777" w:rsidR="001E2788" w:rsidRPr="00703295" w:rsidRDefault="001E2788" w:rsidP="009A5DE0">
            <w:pPr>
              <w:tabs>
                <w:tab w:val="clear" w:pos="794"/>
                <w:tab w:val="left" w:pos="284"/>
              </w:tabs>
              <w:spacing w:before="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703295">
              <w:rPr>
                <w:b/>
                <w:bCs/>
                <w:position w:val="2"/>
                <w:rtl/>
              </w:rPr>
              <w:t>إلى:</w:t>
            </w:r>
          </w:p>
          <w:p w14:paraId="28F8F3C5" w14:textId="4FC17B16" w:rsidR="001E2788" w:rsidRPr="00703295" w:rsidRDefault="001E2788" w:rsidP="009A5DE0">
            <w:pPr>
              <w:tabs>
                <w:tab w:val="clear" w:pos="794"/>
                <w:tab w:val="left" w:pos="284"/>
              </w:tabs>
              <w:spacing w:before="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703295">
              <w:rPr>
                <w:position w:val="2"/>
                <w:rtl/>
              </w:rPr>
              <w:t>-</w:t>
            </w:r>
            <w:r w:rsidRPr="00703295">
              <w:rPr>
                <w:position w:val="2"/>
                <w:rtl/>
              </w:rPr>
              <w:tab/>
              <w:t>إدارات الدول الأعضاء في الاتحاد؛</w:t>
            </w:r>
          </w:p>
          <w:p w14:paraId="4C9BEB9C" w14:textId="2F66EA51" w:rsidR="008E5057" w:rsidRPr="00703295" w:rsidRDefault="008E5057" w:rsidP="009A5DE0">
            <w:pPr>
              <w:tabs>
                <w:tab w:val="clear" w:pos="794"/>
                <w:tab w:val="left" w:pos="284"/>
              </w:tabs>
              <w:spacing w:before="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703295">
              <w:rPr>
                <w:position w:val="2"/>
                <w:rtl/>
              </w:rPr>
              <w:t>-</w:t>
            </w:r>
            <w:r w:rsidRPr="00703295">
              <w:rPr>
                <w:position w:val="2"/>
                <w:rtl/>
              </w:rPr>
              <w:tab/>
              <w:t>دولة فلسطين (القرار 99 (المراج</w:t>
            </w:r>
            <w:r w:rsidR="00703295">
              <w:rPr>
                <w:rFonts w:hint="cs"/>
                <w:position w:val="2"/>
                <w:rtl/>
              </w:rPr>
              <w:t>َ</w:t>
            </w:r>
            <w:r w:rsidRPr="00703295">
              <w:rPr>
                <w:position w:val="2"/>
                <w:rtl/>
              </w:rPr>
              <w:t>ع في دبي، 2018))؛</w:t>
            </w:r>
          </w:p>
          <w:p w14:paraId="71AC9B63" w14:textId="77777777" w:rsidR="001E2788" w:rsidRPr="00703295" w:rsidRDefault="001E2788" w:rsidP="009A5DE0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703295">
              <w:rPr>
                <w:position w:val="2"/>
                <w:rtl/>
              </w:rPr>
              <w:t>-</w:t>
            </w:r>
            <w:r w:rsidRPr="00703295">
              <w:rPr>
                <w:position w:val="2"/>
                <w:rtl/>
              </w:rPr>
              <w:tab/>
            </w:r>
            <w:r w:rsidRPr="00703295">
              <w:rPr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05D22878" w14:textId="7B82F8D2" w:rsidR="001E2788" w:rsidRPr="00703295" w:rsidRDefault="001E2788" w:rsidP="009A5DE0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703295">
              <w:rPr>
                <w:position w:val="2"/>
                <w:rtl/>
              </w:rPr>
              <w:t>-</w:t>
            </w:r>
            <w:r w:rsidRPr="00703295">
              <w:rPr>
                <w:position w:val="2"/>
                <w:rtl/>
              </w:rPr>
              <w:tab/>
              <w:t>المنتسبين إلى قطاع تقييس الاتصالات</w:t>
            </w:r>
            <w:r w:rsidR="00B63EE8">
              <w:rPr>
                <w:rFonts w:hint="cs"/>
                <w:position w:val="2"/>
                <w:rtl/>
              </w:rPr>
              <w:t xml:space="preserve"> </w:t>
            </w:r>
            <w:r w:rsidR="00B63EE8" w:rsidRPr="00B63EE8">
              <w:rPr>
                <w:position w:val="2"/>
                <w:rtl/>
              </w:rPr>
              <w:t xml:space="preserve">في لجنة </w:t>
            </w:r>
            <w:r w:rsidR="001E4B94">
              <w:rPr>
                <w:rFonts w:hint="cs"/>
                <w:position w:val="2"/>
                <w:rtl/>
              </w:rPr>
              <w:t>ال</w:t>
            </w:r>
            <w:r w:rsidR="00B63EE8" w:rsidRPr="00B63EE8">
              <w:rPr>
                <w:position w:val="2"/>
                <w:rtl/>
              </w:rPr>
              <w:t>دراسات 11</w:t>
            </w:r>
            <w:r w:rsidRPr="00703295">
              <w:rPr>
                <w:position w:val="2"/>
                <w:rtl/>
              </w:rPr>
              <w:t>؛</w:t>
            </w:r>
          </w:p>
          <w:p w14:paraId="6A672EAD" w14:textId="77777777" w:rsidR="001E2788" w:rsidRPr="00703295" w:rsidRDefault="001E2788" w:rsidP="009A5DE0">
            <w:pPr>
              <w:tabs>
                <w:tab w:val="clear" w:pos="794"/>
                <w:tab w:val="left" w:pos="284"/>
              </w:tabs>
              <w:spacing w:before="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703295">
              <w:rPr>
                <w:position w:val="2"/>
                <w:rtl/>
              </w:rPr>
              <w:t>-</w:t>
            </w:r>
            <w:r w:rsidRPr="00703295">
              <w:rPr>
                <w:position w:val="2"/>
                <w:rtl/>
              </w:rPr>
              <w:tab/>
              <w:t>الهيئات الأكاديمية المنضمة إلى</w:t>
            </w:r>
            <w:r w:rsidRPr="00703295">
              <w:rPr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1E2788" w:rsidRPr="00D517B2" w14:paraId="7ED9E325" w14:textId="77777777" w:rsidTr="001E2788">
        <w:trPr>
          <w:cantSplit/>
          <w:jc w:val="center"/>
        </w:trPr>
        <w:tc>
          <w:tcPr>
            <w:tcW w:w="810" w:type="pct"/>
          </w:tcPr>
          <w:p w14:paraId="4626C041" w14:textId="77777777" w:rsidR="001E2788" w:rsidRPr="009A5DE0" w:rsidRDefault="001E2788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9A5DE0">
              <w:rPr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984" w:type="pct"/>
          </w:tcPr>
          <w:p w14:paraId="57AA483E" w14:textId="3AE6DAF5" w:rsidR="001E2788" w:rsidRPr="00703295" w:rsidRDefault="006D17DC" w:rsidP="001E2788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703295">
              <w:t>+41 22 730 5780</w:t>
            </w:r>
          </w:p>
        </w:tc>
        <w:tc>
          <w:tcPr>
            <w:tcW w:w="2206" w:type="pct"/>
            <w:vMerge/>
          </w:tcPr>
          <w:p w14:paraId="3AA24911" w14:textId="77777777" w:rsidR="001E2788" w:rsidRPr="00703295" w:rsidRDefault="001E2788" w:rsidP="009A5DE0">
            <w:pPr>
              <w:spacing w:before="0" w:line="300" w:lineRule="exact"/>
              <w:jc w:val="left"/>
              <w:rPr>
                <w:position w:val="2"/>
                <w:rtl/>
              </w:rPr>
            </w:pPr>
          </w:p>
        </w:tc>
      </w:tr>
      <w:tr w:rsidR="001E2788" w:rsidRPr="00D517B2" w14:paraId="5699DD1C" w14:textId="77777777" w:rsidTr="001E2788">
        <w:trPr>
          <w:cantSplit/>
          <w:jc w:val="center"/>
        </w:trPr>
        <w:tc>
          <w:tcPr>
            <w:tcW w:w="810" w:type="pct"/>
          </w:tcPr>
          <w:p w14:paraId="07EBF7B5" w14:textId="4C06AC6B" w:rsidR="001E2788" w:rsidRPr="009A5DE0" w:rsidRDefault="001E2788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9A5DE0">
              <w:rPr>
                <w:position w:val="2"/>
                <w:rtl/>
                <w:lang w:bidi="ar-EG"/>
              </w:rPr>
              <w:t>ال</w:t>
            </w:r>
            <w:r w:rsidRPr="009A5DE0">
              <w:rPr>
                <w:position w:val="2"/>
                <w:rtl/>
                <w:lang w:bidi="ar-SY"/>
              </w:rPr>
              <w:t>هاتف</w:t>
            </w:r>
            <w:r w:rsidRPr="009A5DE0">
              <w:rPr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028A9893" w14:textId="07E23227" w:rsidR="001E2788" w:rsidRPr="00703295" w:rsidRDefault="006D17DC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703295">
              <w:t>+41 22 730 5853</w:t>
            </w:r>
          </w:p>
        </w:tc>
        <w:tc>
          <w:tcPr>
            <w:tcW w:w="2206" w:type="pct"/>
            <w:vMerge/>
          </w:tcPr>
          <w:p w14:paraId="1A0BED43" w14:textId="77777777" w:rsidR="001E2788" w:rsidRPr="00703295" w:rsidRDefault="001E2788" w:rsidP="009A5DE0">
            <w:pPr>
              <w:spacing w:before="0" w:line="300" w:lineRule="exact"/>
              <w:jc w:val="left"/>
              <w:rPr>
                <w:position w:val="2"/>
                <w:rtl/>
              </w:rPr>
            </w:pPr>
          </w:p>
        </w:tc>
      </w:tr>
      <w:tr w:rsidR="001E2788" w:rsidRPr="00D517B2" w14:paraId="35459FA6" w14:textId="77777777" w:rsidTr="001E2788">
        <w:trPr>
          <w:cantSplit/>
          <w:jc w:val="center"/>
        </w:trPr>
        <w:tc>
          <w:tcPr>
            <w:tcW w:w="810" w:type="pct"/>
          </w:tcPr>
          <w:p w14:paraId="67C46DBC" w14:textId="6EBC3220" w:rsidR="001E2788" w:rsidRPr="009A5DE0" w:rsidRDefault="006D17DC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9A5DE0">
              <w:rPr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75B2BB15" w14:textId="40BE073D" w:rsidR="001E2788" w:rsidRPr="00703295" w:rsidRDefault="006D17DC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703295">
                <w:rPr>
                  <w:rStyle w:val="Hyperlink"/>
                </w:rPr>
                <w:t>tsbsg11@itu.int</w:t>
              </w:r>
            </w:hyperlink>
          </w:p>
        </w:tc>
        <w:tc>
          <w:tcPr>
            <w:tcW w:w="2206" w:type="pct"/>
            <w:vMerge/>
          </w:tcPr>
          <w:p w14:paraId="64C00325" w14:textId="77777777" w:rsidR="001E2788" w:rsidRPr="00703295" w:rsidRDefault="001E2788" w:rsidP="009A5DE0">
            <w:pPr>
              <w:spacing w:before="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3AE46B18" w14:textId="77777777" w:rsidTr="001E2788">
        <w:trPr>
          <w:cantSplit/>
          <w:jc w:val="center"/>
        </w:trPr>
        <w:tc>
          <w:tcPr>
            <w:tcW w:w="810" w:type="pct"/>
          </w:tcPr>
          <w:p w14:paraId="4B0A6AC9" w14:textId="57EFF5EF" w:rsidR="00CE1C08" w:rsidRPr="00703295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984" w:type="pct"/>
          </w:tcPr>
          <w:p w14:paraId="69AF85CC" w14:textId="29586F99" w:rsidR="00CE1C08" w:rsidRPr="00703295" w:rsidRDefault="00CE1C08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</w:p>
        </w:tc>
        <w:tc>
          <w:tcPr>
            <w:tcW w:w="2206" w:type="pct"/>
          </w:tcPr>
          <w:p w14:paraId="0DACC8B7" w14:textId="77777777" w:rsidR="00CE1C08" w:rsidRPr="00703295" w:rsidRDefault="00CE1C08" w:rsidP="009A5DE0">
            <w:pPr>
              <w:tabs>
                <w:tab w:val="clear" w:pos="794"/>
                <w:tab w:val="left" w:pos="284"/>
              </w:tabs>
              <w:spacing w:before="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703295">
              <w:rPr>
                <w:b/>
                <w:bCs/>
                <w:position w:val="2"/>
                <w:rtl/>
              </w:rPr>
              <w:t>نسخة إلى:</w:t>
            </w:r>
          </w:p>
          <w:p w14:paraId="389CD3A5" w14:textId="7FA6CC93" w:rsidR="00CE1C08" w:rsidRPr="00EC1A0F" w:rsidRDefault="00CE1C08" w:rsidP="009A5DE0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spacing w:val="-2"/>
                <w:position w:val="2"/>
                <w:rtl/>
                <w:lang w:eastAsia="en-US"/>
              </w:rPr>
            </w:pPr>
            <w:r w:rsidRPr="00EC1A0F">
              <w:rPr>
                <w:spacing w:val="-2"/>
                <w:position w:val="2"/>
                <w:rtl/>
              </w:rPr>
              <w:t>-</w:t>
            </w:r>
            <w:r w:rsidRPr="00EC1A0F">
              <w:rPr>
                <w:spacing w:val="-2"/>
                <w:position w:val="2"/>
                <w:rtl/>
              </w:rPr>
              <w:tab/>
            </w:r>
            <w:r w:rsidR="00703295" w:rsidRPr="00EC1A0F">
              <w:rPr>
                <w:rFonts w:eastAsia="Times New Roman"/>
                <w:spacing w:val="-2"/>
                <w:position w:val="2"/>
                <w:rtl/>
                <w:lang w:eastAsia="en-US"/>
              </w:rPr>
              <w:t>رؤساء ونواب رؤساء لجنة دراسات 11 بقطاع تقييس الاتصالات؛</w:t>
            </w:r>
          </w:p>
          <w:p w14:paraId="73703F80" w14:textId="77777777" w:rsidR="00CE1C08" w:rsidRPr="00703295" w:rsidRDefault="00CE1C08" w:rsidP="009A5DE0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703295">
              <w:rPr>
                <w:rFonts w:eastAsia="Times New Roman"/>
                <w:position w:val="2"/>
                <w:rtl/>
                <w:lang w:eastAsia="en-US"/>
              </w:rPr>
              <w:t>-</w:t>
            </w:r>
            <w:r w:rsidRPr="00703295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الاتصالات؛</w:t>
            </w:r>
          </w:p>
          <w:p w14:paraId="3440F42E" w14:textId="77777777" w:rsidR="00CE1C08" w:rsidRPr="00703295" w:rsidRDefault="00CE1C08" w:rsidP="009A5DE0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703295">
              <w:rPr>
                <w:rFonts w:eastAsia="Times New Roman"/>
                <w:position w:val="2"/>
                <w:rtl/>
                <w:lang w:eastAsia="en-US"/>
              </w:rPr>
              <w:t>-</w:t>
            </w:r>
            <w:r w:rsidRPr="00703295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CE1C08" w:rsidRPr="00D517B2" w14:paraId="7190C734" w14:textId="77777777" w:rsidTr="001E2788">
        <w:trPr>
          <w:cantSplit/>
          <w:jc w:val="center"/>
        </w:trPr>
        <w:tc>
          <w:tcPr>
            <w:tcW w:w="810" w:type="pct"/>
          </w:tcPr>
          <w:p w14:paraId="218A88E0" w14:textId="1511695B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5AB1C99F" w14:textId="46087FB1" w:rsidR="00CE1C08" w:rsidRPr="00EC1A0F" w:rsidRDefault="006D17DC" w:rsidP="00EC1A0F">
            <w:pPr>
              <w:spacing w:before="80" w:after="60" w:line="300" w:lineRule="exact"/>
              <w:rPr>
                <w:spacing w:val="-4"/>
                <w:position w:val="2"/>
                <w:rtl/>
              </w:rPr>
            </w:pPr>
            <w:r w:rsidRPr="00EC1A0F">
              <w:rPr>
                <w:b/>
                <w:bCs/>
                <w:spacing w:val="-4"/>
                <w:position w:val="2"/>
                <w:rtl/>
              </w:rPr>
              <w:t xml:space="preserve">حالة التوصيتين </w:t>
            </w:r>
            <w:r w:rsidRPr="00EC1A0F">
              <w:rPr>
                <w:b/>
                <w:bCs/>
                <w:spacing w:val="-4"/>
                <w:position w:val="2"/>
              </w:rPr>
              <w:t>ITU-T Q.5054</w:t>
            </w:r>
            <w:r w:rsidRPr="00EC1A0F">
              <w:rPr>
                <w:b/>
                <w:bCs/>
                <w:spacing w:val="-4"/>
                <w:position w:val="2"/>
                <w:rtl/>
              </w:rPr>
              <w:t xml:space="preserve"> و</w:t>
            </w:r>
            <w:r w:rsidRPr="00EC1A0F">
              <w:rPr>
                <w:b/>
                <w:bCs/>
                <w:spacing w:val="-4"/>
                <w:position w:val="2"/>
              </w:rPr>
              <w:t>ITU-T Q.5010</w:t>
            </w:r>
            <w:r w:rsidRPr="00EC1A0F">
              <w:rPr>
                <w:b/>
                <w:bCs/>
                <w:spacing w:val="-4"/>
                <w:position w:val="2"/>
                <w:rtl/>
              </w:rPr>
              <w:t xml:space="preserve"> بعد اجتماع لجنة دراسات 11 بقطاع تقييس الاتصالات (جنيف، </w:t>
            </w:r>
            <w:r w:rsidRPr="00EC1A0F">
              <w:rPr>
                <w:b/>
                <w:bCs/>
                <w:spacing w:val="-4"/>
                <w:position w:val="2"/>
              </w:rPr>
              <w:t>19</w:t>
            </w:r>
            <w:r w:rsidRPr="00EC1A0F">
              <w:rPr>
                <w:b/>
                <w:bCs/>
                <w:spacing w:val="-4"/>
                <w:position w:val="2"/>
                <w:rtl/>
              </w:rPr>
              <w:t>-</w:t>
            </w:r>
            <w:r w:rsidRPr="00EC1A0F">
              <w:rPr>
                <w:b/>
                <w:bCs/>
                <w:spacing w:val="-4"/>
                <w:position w:val="2"/>
              </w:rPr>
              <w:t>28</w:t>
            </w:r>
            <w:r w:rsidRPr="00EC1A0F">
              <w:rPr>
                <w:b/>
                <w:bCs/>
                <w:spacing w:val="-4"/>
                <w:position w:val="2"/>
                <w:rtl/>
              </w:rPr>
              <w:t xml:space="preserve"> فبراير 2025)</w:t>
            </w:r>
          </w:p>
        </w:tc>
      </w:tr>
    </w:tbl>
    <w:p w14:paraId="5A370C0D" w14:textId="1A78318B" w:rsidR="00D517B2" w:rsidRPr="00D517B2" w:rsidRDefault="00D517B2" w:rsidP="009A5DE0">
      <w:pPr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0CD639CC" w14:textId="77777777" w:rsidR="00D517B2" w:rsidRPr="006D17DC" w:rsidRDefault="00D517B2" w:rsidP="006D17DC">
      <w:pPr>
        <w:rPr>
          <w:rtl/>
        </w:rPr>
      </w:pPr>
      <w:r w:rsidRPr="006D17DC">
        <w:rPr>
          <w:rFonts w:hint="cs"/>
          <w:rtl/>
        </w:rPr>
        <w:t>تحية طيبة وبعد،</w:t>
      </w:r>
    </w:p>
    <w:p w14:paraId="0E5795A5" w14:textId="6BFD28C2" w:rsidR="006D17DC" w:rsidRPr="00096619" w:rsidRDefault="006D17DC" w:rsidP="006D17DC">
      <w:pPr>
        <w:spacing w:after="120"/>
      </w:pPr>
      <w:r w:rsidRPr="006D17DC">
        <w:rPr>
          <w:rtl/>
        </w:rPr>
        <w:t>1</w:t>
      </w:r>
      <w:r w:rsidRPr="006D17DC">
        <w:rPr>
          <w:rtl/>
        </w:rPr>
        <w:tab/>
      </w:r>
      <w:r w:rsidRPr="006D17DC">
        <w:rPr>
          <w:rFonts w:hint="cs"/>
          <w:rtl/>
        </w:rPr>
        <w:t>عطفاً</w:t>
      </w:r>
      <w:r w:rsidRPr="006D17DC">
        <w:rPr>
          <w:rtl/>
        </w:rPr>
        <w:t xml:space="preserve"> </w:t>
      </w:r>
      <w:r w:rsidRPr="006D17DC">
        <w:rPr>
          <w:rFonts w:hint="cs"/>
          <w:rtl/>
        </w:rPr>
        <w:t>ع</w:t>
      </w:r>
      <w:r w:rsidRPr="006D17DC">
        <w:rPr>
          <w:rtl/>
        </w:rPr>
        <w:t xml:space="preserve">لى </w:t>
      </w:r>
      <w:hyperlink r:id="rId10" w:history="1">
        <w:r w:rsidRPr="006D17DC">
          <w:rPr>
            <w:rStyle w:val="Hyperlink"/>
            <w:rtl/>
          </w:rPr>
          <w:t>الرسالة المعممة 223 لمكتب تقييس الاتصالات</w:t>
        </w:r>
      </w:hyperlink>
      <w:r w:rsidRPr="006D17DC">
        <w:rPr>
          <w:rFonts w:hint="cs"/>
          <w:rtl/>
        </w:rPr>
        <w:t xml:space="preserve"> </w:t>
      </w:r>
      <w:r w:rsidRPr="006D17DC">
        <w:rPr>
          <w:rtl/>
        </w:rPr>
        <w:t>المؤرخ</w:t>
      </w:r>
      <w:r w:rsidRPr="006D17DC">
        <w:rPr>
          <w:rFonts w:hint="cs"/>
          <w:rtl/>
        </w:rPr>
        <w:t>ة</w:t>
      </w:r>
      <w:r w:rsidRPr="006D17DC">
        <w:rPr>
          <w:rtl/>
        </w:rPr>
        <w:t xml:space="preserve"> 25 يوليو 2024، وعملا</w:t>
      </w:r>
      <w:r>
        <w:rPr>
          <w:rFonts w:hint="cs"/>
          <w:rtl/>
        </w:rPr>
        <w:t>ً</w:t>
      </w:r>
      <w:r w:rsidRPr="006D17DC">
        <w:rPr>
          <w:rtl/>
        </w:rPr>
        <w:t xml:space="preserve"> بالفقرة</w:t>
      </w:r>
      <w:r>
        <w:rPr>
          <w:rFonts w:hint="cs"/>
          <w:rtl/>
        </w:rPr>
        <w:t> </w:t>
      </w:r>
      <w:r w:rsidRPr="006D17DC">
        <w:rPr>
          <w:rtl/>
        </w:rPr>
        <w:t>5.9 من القرار</w:t>
      </w:r>
      <w:r>
        <w:rPr>
          <w:rFonts w:hint="cs"/>
          <w:rtl/>
        </w:rPr>
        <w:t> </w:t>
      </w:r>
      <w:r w:rsidRPr="006D17DC">
        <w:rPr>
          <w:rtl/>
        </w:rPr>
        <w:t>1 (المراج</w:t>
      </w:r>
      <w:r>
        <w:rPr>
          <w:rFonts w:hint="cs"/>
          <w:rtl/>
        </w:rPr>
        <w:t>َ</w:t>
      </w:r>
      <w:r w:rsidRPr="006D17DC">
        <w:rPr>
          <w:rtl/>
        </w:rPr>
        <w:t xml:space="preserve">ع في جنيف، 2022)، أبلغكم </w:t>
      </w:r>
      <w:r w:rsidRPr="006D17DC">
        <w:rPr>
          <w:rFonts w:hint="cs"/>
          <w:rtl/>
        </w:rPr>
        <w:t xml:space="preserve">فيما يلي </w:t>
      </w:r>
      <w:r w:rsidRPr="006D17DC">
        <w:rPr>
          <w:rtl/>
        </w:rPr>
        <w:t>بأن لجنة دراسات</w:t>
      </w:r>
      <w:r>
        <w:rPr>
          <w:rFonts w:hint="cs"/>
          <w:rtl/>
        </w:rPr>
        <w:t> </w:t>
      </w:r>
      <w:r w:rsidRPr="006D17DC">
        <w:rPr>
          <w:rtl/>
        </w:rPr>
        <w:t xml:space="preserve">11 توصلت إلى القرارات التالية خلال جلستها العامة التي عقدت في جنيف في 28 فبراير 2025، بشأن </w:t>
      </w:r>
      <w:r w:rsidRPr="006D17DC">
        <w:rPr>
          <w:rFonts w:hint="cs"/>
          <w:rtl/>
        </w:rPr>
        <w:t>مشروعي</w:t>
      </w:r>
      <w:r>
        <w:rPr>
          <w:rFonts w:hint="cs"/>
          <w:rtl/>
        </w:rPr>
        <w:t>ّ</w:t>
      </w:r>
      <w:r w:rsidRPr="006D17DC">
        <w:rPr>
          <w:rtl/>
        </w:rPr>
        <w:t xml:space="preserve"> نصوص قطاع تقييس الاتصالات التالي</w:t>
      </w:r>
      <w:r w:rsidRPr="006D17DC">
        <w:rPr>
          <w:rFonts w:hint="cs"/>
          <w:rtl/>
        </w:rPr>
        <w:t>ين</w:t>
      </w:r>
      <w:r w:rsidRPr="006D17DC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92"/>
        <w:gridCol w:w="5098"/>
        <w:gridCol w:w="3039"/>
      </w:tblGrid>
      <w:tr w:rsidR="006D17DC" w:rsidRPr="006D17DC" w14:paraId="7B6B1D4F" w14:textId="77777777" w:rsidTr="00EC1A0F">
        <w:tc>
          <w:tcPr>
            <w:tcW w:w="775" w:type="pct"/>
            <w:hideMark/>
          </w:tcPr>
          <w:p w14:paraId="51148F04" w14:textId="708F996F" w:rsidR="006D17DC" w:rsidRPr="006D17DC" w:rsidRDefault="006D17DC" w:rsidP="006D17DC">
            <w:pPr>
              <w:pStyle w:val="TableHead"/>
            </w:pPr>
            <w:r w:rsidRPr="006D17DC">
              <w:rPr>
                <w:rFonts w:hint="cs"/>
                <w:rtl/>
              </w:rPr>
              <w:t>ال</w:t>
            </w:r>
            <w:r w:rsidRPr="006D17DC">
              <w:rPr>
                <w:rtl/>
              </w:rPr>
              <w:t>رقم</w:t>
            </w:r>
          </w:p>
        </w:tc>
        <w:tc>
          <w:tcPr>
            <w:tcW w:w="2647" w:type="pct"/>
            <w:hideMark/>
          </w:tcPr>
          <w:p w14:paraId="1CBF6F83" w14:textId="77777777" w:rsidR="006D17DC" w:rsidRPr="006D17DC" w:rsidRDefault="006D17DC" w:rsidP="006D17DC">
            <w:pPr>
              <w:pStyle w:val="TableHead"/>
            </w:pPr>
            <w:r w:rsidRPr="006D17DC">
              <w:rPr>
                <w:rFonts w:hint="cs"/>
                <w:rtl/>
              </w:rPr>
              <w:t>ال</w:t>
            </w:r>
            <w:r w:rsidRPr="006D17DC">
              <w:rPr>
                <w:rtl/>
              </w:rPr>
              <w:t>عنوان</w:t>
            </w:r>
          </w:p>
        </w:tc>
        <w:tc>
          <w:tcPr>
            <w:tcW w:w="1578" w:type="pct"/>
            <w:hideMark/>
          </w:tcPr>
          <w:p w14:paraId="7725AD02" w14:textId="77777777" w:rsidR="006D17DC" w:rsidRPr="006D17DC" w:rsidRDefault="006D17DC" w:rsidP="006D17DC">
            <w:pPr>
              <w:pStyle w:val="TableHead"/>
            </w:pPr>
            <w:r w:rsidRPr="006D17DC">
              <w:rPr>
                <w:rFonts w:hint="cs"/>
                <w:rtl/>
              </w:rPr>
              <w:t>القرار</w:t>
            </w:r>
          </w:p>
        </w:tc>
      </w:tr>
      <w:tr w:rsidR="006D17DC" w:rsidRPr="006D17DC" w14:paraId="77D6B275" w14:textId="77777777" w:rsidTr="00EC1A0F">
        <w:tc>
          <w:tcPr>
            <w:tcW w:w="775" w:type="pct"/>
            <w:vAlign w:val="center"/>
          </w:tcPr>
          <w:p w14:paraId="57505C01" w14:textId="77CDEC64" w:rsidR="006D17DC" w:rsidRPr="006D17DC" w:rsidRDefault="006D17DC" w:rsidP="00EC1A0F">
            <w:pPr>
              <w:pStyle w:val="Tabletexte"/>
            </w:pPr>
            <w:hyperlink r:id="rId11" w:history="1">
              <w:r w:rsidRPr="006D17DC">
                <w:rPr>
                  <w:rStyle w:val="Hyperlink"/>
                  <w:rtl/>
                </w:rPr>
                <w:t>ITU-T Q.5054</w:t>
              </w:r>
            </w:hyperlink>
          </w:p>
        </w:tc>
        <w:tc>
          <w:tcPr>
            <w:tcW w:w="2647" w:type="pct"/>
            <w:vAlign w:val="center"/>
          </w:tcPr>
          <w:p w14:paraId="40E67964" w14:textId="77777777" w:rsidR="006D17DC" w:rsidRPr="006D17DC" w:rsidRDefault="006D17DC" w:rsidP="00EC1A0F">
            <w:pPr>
              <w:pStyle w:val="Tabletexte"/>
              <w:jc w:val="center"/>
            </w:pPr>
            <w:r w:rsidRPr="006D17DC">
              <w:rPr>
                <w:rtl/>
              </w:rPr>
              <w:t xml:space="preserve">إطار </w:t>
            </w:r>
            <w:r w:rsidRPr="006D17DC">
              <w:rPr>
                <w:rFonts w:hint="cs"/>
                <w:rtl/>
              </w:rPr>
              <w:t>متمحور حول</w:t>
            </w:r>
            <w:r w:rsidRPr="006D17DC">
              <w:rPr>
                <w:rtl/>
              </w:rPr>
              <w:t xml:space="preserve"> المستهلك لمكافحة أجهزة تكنولوجيا المعلومات والاتصالات المتنقلة المزيفة والمسروقة</w:t>
            </w:r>
          </w:p>
        </w:tc>
        <w:tc>
          <w:tcPr>
            <w:tcW w:w="1578" w:type="pct"/>
            <w:vAlign w:val="center"/>
          </w:tcPr>
          <w:p w14:paraId="64CBC1CD" w14:textId="77777777" w:rsidR="006D17DC" w:rsidRPr="006D17DC" w:rsidRDefault="006D17DC" w:rsidP="00EC1A0F">
            <w:pPr>
              <w:pStyle w:val="Tabletexte"/>
              <w:jc w:val="center"/>
            </w:pPr>
            <w:r w:rsidRPr="006D17DC">
              <w:rPr>
                <w:rFonts w:hint="cs"/>
                <w:rtl/>
              </w:rPr>
              <w:t>تمت الموافقة عليه</w:t>
            </w:r>
          </w:p>
        </w:tc>
      </w:tr>
      <w:tr w:rsidR="006D17DC" w:rsidRPr="006D17DC" w14:paraId="7F860B82" w14:textId="77777777" w:rsidTr="00EC1A0F">
        <w:tc>
          <w:tcPr>
            <w:tcW w:w="775" w:type="pct"/>
            <w:vAlign w:val="center"/>
          </w:tcPr>
          <w:p w14:paraId="02891C4F" w14:textId="4696177E" w:rsidR="006D17DC" w:rsidRPr="006D17DC" w:rsidRDefault="006D17DC" w:rsidP="00EC1A0F">
            <w:pPr>
              <w:pStyle w:val="Tabletexte"/>
            </w:pPr>
            <w:hyperlink r:id="rId12" w:history="1">
              <w:r w:rsidRPr="006D17DC">
                <w:rPr>
                  <w:rStyle w:val="Hyperlink"/>
                  <w:rtl/>
                </w:rPr>
                <w:t>ITU-T Q.5010</w:t>
              </w:r>
            </w:hyperlink>
          </w:p>
        </w:tc>
        <w:tc>
          <w:tcPr>
            <w:tcW w:w="2647" w:type="pct"/>
            <w:vAlign w:val="center"/>
          </w:tcPr>
          <w:p w14:paraId="610FA218" w14:textId="77777777" w:rsidR="006D17DC" w:rsidRPr="006D17DC" w:rsidRDefault="006D17DC" w:rsidP="00EC1A0F">
            <w:pPr>
              <w:pStyle w:val="Tabletexte"/>
              <w:jc w:val="center"/>
            </w:pPr>
            <w:r w:rsidRPr="006D17DC">
              <w:rPr>
                <w:rtl/>
              </w:rPr>
              <w:t>متطلبات ومعمارية التشوير لبيئة خدم</w:t>
            </w:r>
            <w:r w:rsidRPr="006D17DC">
              <w:rPr>
                <w:rFonts w:hint="cs"/>
                <w:rtl/>
              </w:rPr>
              <w:t>ة</w:t>
            </w:r>
            <w:r w:rsidRPr="006D17DC">
              <w:rPr>
                <w:rtl/>
              </w:rPr>
              <w:t xml:space="preserve"> التنقل الجوي في المناطق الحضرية</w:t>
            </w:r>
          </w:p>
        </w:tc>
        <w:tc>
          <w:tcPr>
            <w:tcW w:w="1578" w:type="pct"/>
            <w:vAlign w:val="center"/>
          </w:tcPr>
          <w:p w14:paraId="2FCA50AF" w14:textId="77777777" w:rsidR="006D17DC" w:rsidRPr="006D17DC" w:rsidRDefault="006D17DC" w:rsidP="00EC1A0F">
            <w:pPr>
              <w:pStyle w:val="Tabletexte"/>
              <w:jc w:val="center"/>
            </w:pPr>
            <w:r w:rsidRPr="006D17DC">
              <w:rPr>
                <w:rtl/>
              </w:rPr>
              <w:t xml:space="preserve">تأجيل الموافقة إلى الاجتماع المقبل للجنة الدراسات 11 (المقرر عقده في جنيف، </w:t>
            </w:r>
            <w:r w:rsidRPr="006D17DC">
              <w:rPr>
                <w:rFonts w:hint="cs"/>
                <w:rtl/>
              </w:rPr>
              <w:t>في الفترة 17</w:t>
            </w:r>
            <w:r w:rsidRPr="006D17DC">
              <w:rPr>
                <w:rtl/>
              </w:rPr>
              <w:t>-</w:t>
            </w:r>
            <w:r w:rsidRPr="006D17DC">
              <w:rPr>
                <w:rFonts w:hint="cs"/>
                <w:rtl/>
              </w:rPr>
              <w:t>26</w:t>
            </w:r>
            <w:r w:rsidRPr="006D17DC">
              <w:rPr>
                <w:rtl/>
              </w:rPr>
              <w:t xml:space="preserve"> نوفمبر 2025)</w:t>
            </w:r>
          </w:p>
        </w:tc>
      </w:tr>
    </w:tbl>
    <w:p w14:paraId="2D861BB4" w14:textId="77777777" w:rsidR="009A5DE0" w:rsidRDefault="006D17DC" w:rsidP="009A5DE0">
      <w:r w:rsidRPr="006D17DC">
        <w:rPr>
          <w:rtl/>
        </w:rPr>
        <w:t>2</w:t>
      </w:r>
      <w:r w:rsidRPr="006D17DC">
        <w:rPr>
          <w:rtl/>
        </w:rPr>
        <w:tab/>
        <w:t xml:space="preserve">ويمكن النفاذ إلى المعلومات المتاحة بشأن البراءات </w:t>
      </w:r>
      <w:r w:rsidRPr="006D17DC">
        <w:rPr>
          <w:rFonts w:hint="cs"/>
          <w:rtl/>
        </w:rPr>
        <w:t>عبر</w:t>
      </w:r>
      <w:r w:rsidRPr="006D17DC">
        <w:rPr>
          <w:rtl/>
        </w:rPr>
        <w:t xml:space="preserve"> الإنترنت من خلال </w:t>
      </w:r>
      <w:hyperlink r:id="rId13" w:history="1">
        <w:r w:rsidRPr="006D17DC">
          <w:rPr>
            <w:rStyle w:val="Hyperlink"/>
            <w:rtl/>
          </w:rPr>
          <w:t>الموقع الإلكتروني لقطاع تقييس الاتصالات</w:t>
        </w:r>
      </w:hyperlink>
      <w:r w:rsidRPr="006D17DC">
        <w:rPr>
          <w:rtl/>
        </w:rPr>
        <w:t>.</w:t>
      </w:r>
    </w:p>
    <w:p w14:paraId="49583F51" w14:textId="55BDD11D" w:rsidR="009A5DE0" w:rsidRDefault="009A5DE0" w:rsidP="009A5DE0">
      <w:r>
        <w:t>3</w:t>
      </w:r>
      <w:r w:rsidR="006D17DC" w:rsidRPr="006D17DC">
        <w:rPr>
          <w:rtl/>
        </w:rPr>
        <w:tab/>
        <w:t>وسي</w:t>
      </w:r>
      <w:r w:rsidR="00703295">
        <w:rPr>
          <w:rFonts w:hint="cs"/>
          <w:rtl/>
        </w:rPr>
        <w:t>ُ</w:t>
      </w:r>
      <w:r w:rsidR="006D17DC" w:rsidRPr="006D17DC">
        <w:rPr>
          <w:rtl/>
        </w:rPr>
        <w:t>تاح نص التوصية ITU-T Q.5054 المنشورة مسبقا</w:t>
      </w:r>
      <w:r w:rsidR="006D17DC">
        <w:rPr>
          <w:rFonts w:hint="cs"/>
          <w:rtl/>
        </w:rPr>
        <w:t>ً</w:t>
      </w:r>
      <w:r w:rsidR="006D17DC" w:rsidRPr="006D17DC">
        <w:rPr>
          <w:rtl/>
        </w:rPr>
        <w:t xml:space="preserve"> في الموقع الإلكتروني لقطاع تقييس الاتصالات </w:t>
      </w:r>
      <w:r w:rsidR="006D17DC" w:rsidRPr="006D17DC">
        <w:rPr>
          <w:rFonts w:hint="cs"/>
          <w:rtl/>
        </w:rPr>
        <w:t>عبر الرابط</w:t>
      </w:r>
      <w:r w:rsidR="006D17DC" w:rsidRPr="006D17DC">
        <w:rPr>
          <w:rtl/>
        </w:rPr>
        <w:t xml:space="preserve"> التالي:</w:t>
      </w:r>
      <w:r w:rsidR="00A04E28">
        <w:rPr>
          <w:rStyle w:val="Hyperlink"/>
          <w:rFonts w:hint="cs"/>
          <w:rtl/>
        </w:rPr>
        <w:t xml:space="preserve"> </w:t>
      </w:r>
      <w:hyperlink r:id="rId14" w:history="1">
        <w:r w:rsidR="00A04E28" w:rsidRPr="009F7BEA">
          <w:rPr>
            <w:rStyle w:val="Hyperlink"/>
            <w:rFonts w:asciiTheme="minorHAnsi" w:hAnsiTheme="minorHAnsi" w:cstheme="minorHAnsi"/>
          </w:rPr>
          <w:t>https://www.itu.int/itu-t/recommendations/</w:t>
        </w:r>
      </w:hyperlink>
      <w:r w:rsidR="006D17DC" w:rsidRPr="006D17DC">
        <w:rPr>
          <w:rtl/>
        </w:rPr>
        <w:t>.</w:t>
      </w:r>
    </w:p>
    <w:p w14:paraId="15517BDC" w14:textId="2BA344F9" w:rsidR="009A5DE0" w:rsidRDefault="009A5DE0" w:rsidP="009A5DE0">
      <w:r>
        <w:t>4</w:t>
      </w:r>
      <w:r w:rsidR="006D17DC" w:rsidRPr="006D17DC">
        <w:rPr>
          <w:rtl/>
        </w:rPr>
        <w:tab/>
        <w:t xml:space="preserve">وسينشر الاتحاد نص التوصية ITU-T Q.5054 </w:t>
      </w:r>
      <w:r w:rsidR="006D17DC" w:rsidRPr="006D17DC">
        <w:rPr>
          <w:rFonts w:hint="cs"/>
          <w:rtl/>
        </w:rPr>
        <w:t>الموافَق عليها</w:t>
      </w:r>
      <w:r w:rsidR="006D17DC" w:rsidRPr="006D17DC">
        <w:rPr>
          <w:rtl/>
        </w:rPr>
        <w:t xml:space="preserve"> في أقرب وقت ممكن.</w:t>
      </w:r>
    </w:p>
    <w:p w14:paraId="2C9FD8CA" w14:textId="7ECD6993" w:rsidR="00E84438" w:rsidRPr="00D517B2" w:rsidRDefault="00E84438" w:rsidP="009A5DE0">
      <w:pPr>
        <w:spacing w:before="240"/>
        <w:rPr>
          <w:rtl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207A3C7D" w14:textId="3199D54E" w:rsidR="00596808" w:rsidRPr="00D517B2" w:rsidRDefault="009A0BE9" w:rsidP="009A5DE0">
      <w:pPr>
        <w:spacing w:before="720"/>
        <w:jc w:val="left"/>
        <w:rPr>
          <w:rtl/>
        </w:rPr>
      </w:pPr>
      <w:r>
        <w:rPr>
          <w:rFonts w:hint="cs"/>
          <w:noProof/>
          <w:rtl/>
          <w:lang w:val="ar-SY" w:bidi="ar-SY"/>
        </w:rPr>
        <w:drawing>
          <wp:anchor distT="0" distB="0" distL="114300" distR="114300" simplePos="0" relativeHeight="251658240" behindDoc="0" locked="0" layoutInCell="1" allowOverlap="1" wp14:anchorId="06FAB0C5" wp14:editId="7598EACC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768389" cy="368319"/>
            <wp:effectExtent l="0" t="0" r="0" b="0"/>
            <wp:wrapNone/>
            <wp:docPr id="349984384" name="Picture 2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84384" name="Picture 2" descr="A black and white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031"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596808" w:rsidRPr="00D517B2" w:rsidSect="006C3242">
      <w:head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351E" w14:textId="77777777" w:rsidR="00232905" w:rsidRDefault="00232905" w:rsidP="006C3242">
      <w:pPr>
        <w:spacing w:before="0" w:line="240" w:lineRule="auto"/>
      </w:pPr>
      <w:r>
        <w:separator/>
      </w:r>
    </w:p>
  </w:endnote>
  <w:endnote w:type="continuationSeparator" w:id="0">
    <w:p w14:paraId="76361BBB" w14:textId="77777777" w:rsidR="00232905" w:rsidRDefault="0023290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F9E7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EF22" w14:textId="77777777" w:rsidR="00232905" w:rsidRDefault="00232905" w:rsidP="006C3242">
      <w:pPr>
        <w:spacing w:before="0" w:line="240" w:lineRule="auto"/>
      </w:pPr>
      <w:r>
        <w:separator/>
      </w:r>
    </w:p>
  </w:footnote>
  <w:footnote w:type="continuationSeparator" w:id="0">
    <w:p w14:paraId="4A9F5709" w14:textId="77777777" w:rsidR="00232905" w:rsidRDefault="0023290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8E6D" w14:textId="760CC209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6D17DC">
      <w:rPr>
        <w:sz w:val="20"/>
        <w:szCs w:val="20"/>
        <w:lang w:bidi="ar-EG"/>
      </w:rPr>
      <w:t>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05"/>
    <w:rsid w:val="00002A63"/>
    <w:rsid w:val="000231A3"/>
    <w:rsid w:val="0006468A"/>
    <w:rsid w:val="00070A5B"/>
    <w:rsid w:val="00090574"/>
    <w:rsid w:val="000C1C0E"/>
    <w:rsid w:val="000C548A"/>
    <w:rsid w:val="000E327F"/>
    <w:rsid w:val="00146FE2"/>
    <w:rsid w:val="00166E4F"/>
    <w:rsid w:val="001C0169"/>
    <w:rsid w:val="001D1D50"/>
    <w:rsid w:val="001D6745"/>
    <w:rsid w:val="001E2788"/>
    <w:rsid w:val="001E446E"/>
    <w:rsid w:val="001E4B94"/>
    <w:rsid w:val="00207B28"/>
    <w:rsid w:val="002154EE"/>
    <w:rsid w:val="002276D2"/>
    <w:rsid w:val="0023283D"/>
    <w:rsid w:val="00232905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DCE"/>
    <w:rsid w:val="00592EA5"/>
    <w:rsid w:val="00595B52"/>
    <w:rsid w:val="00596808"/>
    <w:rsid w:val="005A3170"/>
    <w:rsid w:val="006019C6"/>
    <w:rsid w:val="006635B2"/>
    <w:rsid w:val="00677396"/>
    <w:rsid w:val="0069200F"/>
    <w:rsid w:val="006A65CB"/>
    <w:rsid w:val="006C1530"/>
    <w:rsid w:val="006C3242"/>
    <w:rsid w:val="006C7CC0"/>
    <w:rsid w:val="006D17DC"/>
    <w:rsid w:val="006E1BAD"/>
    <w:rsid w:val="006E6264"/>
    <w:rsid w:val="006F63F7"/>
    <w:rsid w:val="007025C7"/>
    <w:rsid w:val="00703295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8E5057"/>
    <w:rsid w:val="0091702E"/>
    <w:rsid w:val="00923B0C"/>
    <w:rsid w:val="00926F44"/>
    <w:rsid w:val="0094021C"/>
    <w:rsid w:val="0094432F"/>
    <w:rsid w:val="00952F86"/>
    <w:rsid w:val="00982B28"/>
    <w:rsid w:val="009A0BE9"/>
    <w:rsid w:val="009A5DE0"/>
    <w:rsid w:val="009D313F"/>
    <w:rsid w:val="00A04E28"/>
    <w:rsid w:val="00A47A5A"/>
    <w:rsid w:val="00A6683B"/>
    <w:rsid w:val="00A77C90"/>
    <w:rsid w:val="00A9156F"/>
    <w:rsid w:val="00A97F94"/>
    <w:rsid w:val="00AA7EA2"/>
    <w:rsid w:val="00AB0BC9"/>
    <w:rsid w:val="00AC2447"/>
    <w:rsid w:val="00AF3336"/>
    <w:rsid w:val="00AF6B5C"/>
    <w:rsid w:val="00B03099"/>
    <w:rsid w:val="00B05BC8"/>
    <w:rsid w:val="00B63EE8"/>
    <w:rsid w:val="00B64B47"/>
    <w:rsid w:val="00B916A7"/>
    <w:rsid w:val="00BB0F08"/>
    <w:rsid w:val="00C002DE"/>
    <w:rsid w:val="00C22E40"/>
    <w:rsid w:val="00C53BF8"/>
    <w:rsid w:val="00C66157"/>
    <w:rsid w:val="00C674FE"/>
    <w:rsid w:val="00C67501"/>
    <w:rsid w:val="00C75633"/>
    <w:rsid w:val="00CE084F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4F4B"/>
    <w:rsid w:val="00DC5FB0"/>
    <w:rsid w:val="00DD1EBB"/>
    <w:rsid w:val="00DF16DC"/>
    <w:rsid w:val="00E45211"/>
    <w:rsid w:val="00E473C5"/>
    <w:rsid w:val="00E84438"/>
    <w:rsid w:val="00E92863"/>
    <w:rsid w:val="00EB796D"/>
    <w:rsid w:val="00EC1A0F"/>
    <w:rsid w:val="00F058DC"/>
    <w:rsid w:val="00F24FC4"/>
    <w:rsid w:val="00F2676C"/>
    <w:rsid w:val="00F52941"/>
    <w:rsid w:val="00F84366"/>
    <w:rsid w:val="00F85089"/>
    <w:rsid w:val="00F974C5"/>
    <w:rsid w:val="00FA4C4A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09665"/>
  <w15:chartTrackingRefBased/>
  <w15:docId w15:val="{D416E417-2BC8-44E8-8E6F-936D852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2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2447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092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2095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md/T22-TSB-CIR-0223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Braud, Olivia</cp:lastModifiedBy>
  <cp:revision>5</cp:revision>
  <cp:lastPrinted>2025-04-10T09:50:00Z</cp:lastPrinted>
  <dcterms:created xsi:type="dcterms:W3CDTF">2025-04-08T08:54:00Z</dcterms:created>
  <dcterms:modified xsi:type="dcterms:W3CDTF">2025-04-10T09:51:00Z</dcterms:modified>
</cp:coreProperties>
</file>