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420"/>
        <w:gridCol w:w="5030"/>
      </w:tblGrid>
      <w:tr w:rsidR="00EF6A23" w:rsidRPr="00B60868" w14:paraId="3FDAE1F3" w14:textId="77777777" w:rsidTr="003F083D">
        <w:trPr>
          <w:cantSplit/>
        </w:trPr>
        <w:tc>
          <w:tcPr>
            <w:tcW w:w="0" w:type="auto"/>
            <w:vAlign w:val="center"/>
          </w:tcPr>
          <w:p w14:paraId="3DE42CAA" w14:textId="77777777" w:rsidR="00EF6A23" w:rsidRPr="00B60868" w:rsidRDefault="00EF6A23" w:rsidP="00D14F31">
            <w:pPr>
              <w:tabs>
                <w:tab w:val="right" w:pos="8732"/>
              </w:tabs>
              <w:spacing w:before="0"/>
              <w:rPr>
                <w:b/>
                <w:bCs/>
                <w:iCs/>
                <w:color w:val="FFFFFF"/>
                <w:sz w:val="30"/>
                <w:szCs w:val="30"/>
              </w:rPr>
            </w:pPr>
            <w:r w:rsidRPr="00B60868">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B60868" w:rsidRDefault="00EF6A23" w:rsidP="00EF6A23">
            <w:pPr>
              <w:spacing w:before="0"/>
              <w:rPr>
                <w:rFonts w:cs="Times New Roman Bold"/>
                <w:b/>
                <w:bCs/>
                <w:iCs/>
                <w:smallCaps/>
                <w:sz w:val="34"/>
                <w:szCs w:val="34"/>
              </w:rPr>
            </w:pPr>
            <w:r w:rsidRPr="00B60868">
              <w:rPr>
                <w:rFonts w:cs="Times New Roman Bold"/>
                <w:b/>
                <w:bCs/>
                <w:iCs/>
                <w:smallCaps/>
                <w:sz w:val="34"/>
                <w:szCs w:val="34"/>
              </w:rPr>
              <w:t>Union internationale des télécommunications</w:t>
            </w:r>
          </w:p>
          <w:p w14:paraId="089E66D0" w14:textId="77777777" w:rsidR="00EF6A23" w:rsidRPr="00B60868" w:rsidRDefault="00EF6A23" w:rsidP="00EF6A23">
            <w:pPr>
              <w:spacing w:before="0"/>
              <w:rPr>
                <w:color w:val="FFFFFF"/>
                <w:sz w:val="26"/>
                <w:szCs w:val="26"/>
              </w:rPr>
            </w:pPr>
            <w:r w:rsidRPr="00B60868">
              <w:rPr>
                <w:rFonts w:cs="Times New Roman Bold"/>
                <w:b/>
                <w:bCs/>
                <w:iCs/>
                <w:smallCaps/>
                <w:sz w:val="28"/>
                <w:szCs w:val="28"/>
              </w:rPr>
              <w:t>B</w:t>
            </w:r>
            <w:r w:rsidRPr="00B60868">
              <w:rPr>
                <w:b/>
                <w:bCs/>
                <w:iCs/>
                <w:smallCaps/>
                <w:sz w:val="28"/>
                <w:szCs w:val="28"/>
              </w:rPr>
              <w:t>ureau de la Normalisation des Télécommunications</w:t>
            </w:r>
          </w:p>
        </w:tc>
      </w:tr>
      <w:tr w:rsidR="00036F4F" w:rsidRPr="001A2990" w14:paraId="18B25741" w14:textId="77777777" w:rsidTr="00307FB4">
        <w:trPr>
          <w:cantSplit/>
        </w:trPr>
        <w:tc>
          <w:tcPr>
            <w:tcW w:w="0" w:type="auto"/>
          </w:tcPr>
          <w:p w14:paraId="4B1AFD72" w14:textId="77777777" w:rsidR="00036F4F" w:rsidRPr="001A2990" w:rsidRDefault="00036F4F" w:rsidP="00A5280F">
            <w:pPr>
              <w:tabs>
                <w:tab w:val="left" w:pos="4111"/>
              </w:tabs>
              <w:spacing w:before="10"/>
              <w:ind w:left="57"/>
              <w:rPr>
                <w:sz w:val="22"/>
                <w:szCs w:val="22"/>
              </w:rPr>
            </w:pPr>
          </w:p>
        </w:tc>
        <w:tc>
          <w:tcPr>
            <w:tcW w:w="3399" w:type="dxa"/>
          </w:tcPr>
          <w:p w14:paraId="6579D3E8" w14:textId="77777777" w:rsidR="00036F4F" w:rsidRPr="001A2990" w:rsidRDefault="00036F4F" w:rsidP="00A5280F">
            <w:pPr>
              <w:tabs>
                <w:tab w:val="left" w:pos="4111"/>
              </w:tabs>
              <w:spacing w:before="10"/>
              <w:ind w:left="57"/>
              <w:rPr>
                <w:b/>
                <w:sz w:val="22"/>
                <w:szCs w:val="22"/>
              </w:rPr>
            </w:pPr>
          </w:p>
        </w:tc>
        <w:tc>
          <w:tcPr>
            <w:tcW w:w="5051" w:type="dxa"/>
          </w:tcPr>
          <w:p w14:paraId="0DC34ECA" w14:textId="091EC8E3" w:rsidR="00036F4F" w:rsidRPr="001A2990" w:rsidRDefault="00036F4F" w:rsidP="00A5645A">
            <w:pPr>
              <w:tabs>
                <w:tab w:val="clear" w:pos="794"/>
                <w:tab w:val="clear" w:pos="1191"/>
                <w:tab w:val="clear" w:pos="1588"/>
                <w:tab w:val="clear" w:pos="1985"/>
                <w:tab w:val="left" w:pos="284"/>
              </w:tabs>
              <w:spacing w:after="120"/>
              <w:ind w:left="284" w:hanging="227"/>
              <w:rPr>
                <w:sz w:val="22"/>
                <w:szCs w:val="22"/>
              </w:rPr>
            </w:pPr>
            <w:r w:rsidRPr="001A2990">
              <w:rPr>
                <w:sz w:val="22"/>
                <w:szCs w:val="22"/>
              </w:rPr>
              <w:t>Genève, le</w:t>
            </w:r>
            <w:r w:rsidR="004419E9" w:rsidRPr="001A2990">
              <w:rPr>
                <w:sz w:val="22"/>
                <w:szCs w:val="22"/>
              </w:rPr>
              <w:t xml:space="preserve"> </w:t>
            </w:r>
            <w:r w:rsidR="0013093F" w:rsidRPr="001A2990">
              <w:rPr>
                <w:sz w:val="22"/>
                <w:szCs w:val="22"/>
              </w:rPr>
              <w:t>10 mars 2025</w:t>
            </w:r>
          </w:p>
        </w:tc>
      </w:tr>
      <w:tr w:rsidR="0013093F" w:rsidRPr="001A2990" w14:paraId="16CDDFEF" w14:textId="77777777" w:rsidTr="00307FB4">
        <w:trPr>
          <w:cantSplit/>
          <w:trHeight w:val="340"/>
        </w:trPr>
        <w:tc>
          <w:tcPr>
            <w:tcW w:w="0" w:type="auto"/>
          </w:tcPr>
          <w:p w14:paraId="3EFF375D" w14:textId="58556577" w:rsidR="0013093F" w:rsidRPr="001A2990" w:rsidRDefault="0013093F" w:rsidP="000E5ADC">
            <w:pPr>
              <w:tabs>
                <w:tab w:val="left" w:pos="4111"/>
              </w:tabs>
              <w:spacing w:before="10"/>
              <w:rPr>
                <w:b/>
                <w:bCs/>
                <w:sz w:val="22"/>
                <w:szCs w:val="22"/>
              </w:rPr>
            </w:pPr>
            <w:proofErr w:type="gramStart"/>
            <w:r w:rsidRPr="001A2990">
              <w:rPr>
                <w:b/>
                <w:bCs/>
                <w:sz w:val="22"/>
                <w:szCs w:val="22"/>
              </w:rPr>
              <w:t>Réf.:</w:t>
            </w:r>
            <w:proofErr w:type="gramEnd"/>
          </w:p>
        </w:tc>
        <w:tc>
          <w:tcPr>
            <w:tcW w:w="3399" w:type="dxa"/>
          </w:tcPr>
          <w:p w14:paraId="5FFBBC9B" w14:textId="7D0550CF" w:rsidR="0013093F" w:rsidRPr="001A2990" w:rsidRDefault="0013093F" w:rsidP="00A5280F">
            <w:pPr>
              <w:tabs>
                <w:tab w:val="left" w:pos="4111"/>
              </w:tabs>
              <w:spacing w:before="10"/>
              <w:ind w:left="57"/>
              <w:rPr>
                <w:b/>
                <w:sz w:val="22"/>
                <w:szCs w:val="22"/>
              </w:rPr>
            </w:pPr>
            <w:r w:rsidRPr="001A2990">
              <w:rPr>
                <w:b/>
                <w:sz w:val="22"/>
                <w:szCs w:val="22"/>
              </w:rPr>
              <w:t>Circulaire TSB 31</w:t>
            </w:r>
          </w:p>
          <w:p w14:paraId="577F6DA2" w14:textId="75299E5C" w:rsidR="0013093F" w:rsidRPr="001A2990" w:rsidRDefault="0013093F" w:rsidP="00307FB4">
            <w:pPr>
              <w:tabs>
                <w:tab w:val="left" w:pos="4111"/>
              </w:tabs>
              <w:spacing w:before="10"/>
              <w:ind w:left="57"/>
              <w:rPr>
                <w:sz w:val="22"/>
                <w:szCs w:val="22"/>
              </w:rPr>
            </w:pPr>
            <w:r w:rsidRPr="001A2990">
              <w:rPr>
                <w:sz w:val="22"/>
                <w:szCs w:val="22"/>
              </w:rPr>
              <w:t>Manifestations du TSB/VM</w:t>
            </w:r>
          </w:p>
        </w:tc>
        <w:tc>
          <w:tcPr>
            <w:tcW w:w="5051" w:type="dxa"/>
            <w:vMerge w:val="restart"/>
          </w:tcPr>
          <w:p w14:paraId="35271D8E" w14:textId="6265DE5A" w:rsidR="0013093F" w:rsidRPr="001A2990" w:rsidRDefault="0013093F" w:rsidP="00307FB4">
            <w:pPr>
              <w:tabs>
                <w:tab w:val="left" w:pos="4111"/>
              </w:tabs>
              <w:spacing w:before="0"/>
              <w:ind w:left="426" w:hanging="426"/>
              <w:rPr>
                <w:sz w:val="22"/>
                <w:szCs w:val="22"/>
              </w:rPr>
            </w:pPr>
            <w:bookmarkStart w:id="0" w:name="Addressee_F"/>
            <w:bookmarkEnd w:id="0"/>
            <w:r w:rsidRPr="001A2990">
              <w:rPr>
                <w:sz w:val="22"/>
                <w:szCs w:val="22"/>
              </w:rPr>
              <w:t>–</w:t>
            </w:r>
            <w:r w:rsidRPr="001A2990">
              <w:rPr>
                <w:sz w:val="22"/>
                <w:szCs w:val="22"/>
              </w:rPr>
              <w:tab/>
              <w:t>Aux Administrations des États Membres de l'Union;</w:t>
            </w:r>
          </w:p>
          <w:p w14:paraId="4079415D" w14:textId="6F1F8C5B" w:rsidR="0013093F" w:rsidRPr="001A2990" w:rsidRDefault="0013093F" w:rsidP="00307FB4">
            <w:pPr>
              <w:tabs>
                <w:tab w:val="left" w:pos="4111"/>
              </w:tabs>
              <w:spacing w:before="0"/>
              <w:ind w:left="426" w:hanging="426"/>
              <w:rPr>
                <w:sz w:val="22"/>
                <w:szCs w:val="22"/>
              </w:rPr>
            </w:pPr>
            <w:r w:rsidRPr="001A2990">
              <w:rPr>
                <w:sz w:val="22"/>
                <w:szCs w:val="22"/>
              </w:rPr>
              <w:t>–</w:t>
            </w:r>
            <w:r w:rsidRPr="001A2990">
              <w:rPr>
                <w:sz w:val="22"/>
                <w:szCs w:val="22"/>
              </w:rPr>
              <w:tab/>
              <w:t>À l'État de Palestine (Résolution 99 (Rév. Dubaï, 2018));</w:t>
            </w:r>
          </w:p>
          <w:p w14:paraId="38A5A6AE" w14:textId="6C9624DB" w:rsidR="0013093F" w:rsidRPr="001A2990" w:rsidRDefault="0013093F" w:rsidP="00307FB4">
            <w:pPr>
              <w:tabs>
                <w:tab w:val="left" w:pos="4111"/>
              </w:tabs>
              <w:spacing w:before="0"/>
              <w:ind w:left="426" w:hanging="426"/>
              <w:rPr>
                <w:sz w:val="22"/>
                <w:szCs w:val="22"/>
              </w:rPr>
            </w:pPr>
            <w:r w:rsidRPr="001A2990">
              <w:rPr>
                <w:sz w:val="22"/>
                <w:szCs w:val="22"/>
              </w:rPr>
              <w:t>–</w:t>
            </w:r>
            <w:r w:rsidRPr="001A2990">
              <w:rPr>
                <w:sz w:val="22"/>
                <w:szCs w:val="22"/>
              </w:rPr>
              <w:tab/>
              <w:t>Aux Membres du Secteur de l'UIT-T;</w:t>
            </w:r>
          </w:p>
          <w:p w14:paraId="45F82FBC" w14:textId="680DE1B3" w:rsidR="0013093F" w:rsidRPr="001A2990" w:rsidRDefault="0013093F" w:rsidP="00307FB4">
            <w:pPr>
              <w:tabs>
                <w:tab w:val="left" w:pos="4111"/>
              </w:tabs>
              <w:spacing w:before="0"/>
              <w:ind w:left="426" w:hanging="426"/>
              <w:rPr>
                <w:sz w:val="22"/>
                <w:szCs w:val="22"/>
              </w:rPr>
            </w:pPr>
            <w:r w:rsidRPr="001A2990">
              <w:rPr>
                <w:sz w:val="22"/>
                <w:szCs w:val="22"/>
              </w:rPr>
              <w:t>–</w:t>
            </w:r>
            <w:r w:rsidRPr="001A2990">
              <w:rPr>
                <w:sz w:val="22"/>
                <w:szCs w:val="22"/>
              </w:rPr>
              <w:tab/>
              <w:t>Aux Associés de l'UIT-T;</w:t>
            </w:r>
          </w:p>
          <w:p w14:paraId="66D10512" w14:textId="77777777" w:rsidR="0013093F" w:rsidRPr="001A2990" w:rsidRDefault="0013093F" w:rsidP="00307FB4">
            <w:pPr>
              <w:tabs>
                <w:tab w:val="left" w:pos="4111"/>
              </w:tabs>
              <w:spacing w:before="0"/>
              <w:ind w:left="426" w:hanging="426"/>
              <w:rPr>
                <w:sz w:val="22"/>
                <w:szCs w:val="22"/>
              </w:rPr>
            </w:pPr>
            <w:r w:rsidRPr="001A2990">
              <w:rPr>
                <w:sz w:val="22"/>
                <w:szCs w:val="22"/>
              </w:rPr>
              <w:t>–</w:t>
            </w:r>
            <w:r w:rsidRPr="001A2990">
              <w:rPr>
                <w:sz w:val="22"/>
                <w:szCs w:val="22"/>
              </w:rPr>
              <w:tab/>
              <w:t>Aux Établissements universitaires participant aux travaux de l'UIT</w:t>
            </w:r>
          </w:p>
          <w:p w14:paraId="7BBC7294" w14:textId="77777777" w:rsidR="0013093F" w:rsidRPr="001A2990" w:rsidRDefault="0013093F" w:rsidP="00307FB4">
            <w:pPr>
              <w:tabs>
                <w:tab w:val="clear" w:pos="794"/>
                <w:tab w:val="left" w:pos="226"/>
                <w:tab w:val="left" w:pos="4111"/>
              </w:tabs>
              <w:spacing w:before="0"/>
              <w:ind w:left="226" w:hanging="226"/>
              <w:rPr>
                <w:b/>
                <w:bCs/>
                <w:sz w:val="22"/>
                <w:szCs w:val="22"/>
              </w:rPr>
            </w:pPr>
            <w:r w:rsidRPr="001A2990">
              <w:rPr>
                <w:b/>
                <w:bCs/>
                <w:sz w:val="22"/>
                <w:szCs w:val="22"/>
              </w:rPr>
              <w:t>Copie:</w:t>
            </w:r>
          </w:p>
          <w:p w14:paraId="07849F51" w14:textId="77777777" w:rsidR="0013093F" w:rsidRPr="001A2990" w:rsidRDefault="0013093F" w:rsidP="00307FB4">
            <w:pPr>
              <w:tabs>
                <w:tab w:val="clear" w:pos="794"/>
                <w:tab w:val="left" w:pos="4111"/>
              </w:tabs>
              <w:spacing w:before="0"/>
              <w:ind w:left="426" w:hanging="426"/>
              <w:rPr>
                <w:sz w:val="22"/>
                <w:szCs w:val="22"/>
              </w:rPr>
            </w:pPr>
            <w:r w:rsidRPr="001A2990">
              <w:rPr>
                <w:sz w:val="22"/>
                <w:szCs w:val="22"/>
              </w:rPr>
              <w:t>–</w:t>
            </w:r>
            <w:r w:rsidRPr="001A2990">
              <w:rPr>
                <w:sz w:val="22"/>
                <w:szCs w:val="22"/>
              </w:rPr>
              <w:tab/>
              <w:t>Aux Présidents et Vice-Présidents des Commissions d'études;</w:t>
            </w:r>
          </w:p>
          <w:p w14:paraId="05E08A2C" w14:textId="77777777" w:rsidR="0013093F" w:rsidRPr="001A2990" w:rsidRDefault="0013093F" w:rsidP="00307FB4">
            <w:pPr>
              <w:tabs>
                <w:tab w:val="clear" w:pos="794"/>
                <w:tab w:val="left" w:pos="4111"/>
              </w:tabs>
              <w:spacing w:before="0"/>
              <w:ind w:left="426" w:hanging="426"/>
              <w:rPr>
                <w:sz w:val="22"/>
                <w:szCs w:val="22"/>
              </w:rPr>
            </w:pPr>
            <w:r w:rsidRPr="001A2990">
              <w:rPr>
                <w:sz w:val="22"/>
                <w:szCs w:val="22"/>
              </w:rPr>
              <w:t>–</w:t>
            </w:r>
            <w:r w:rsidRPr="001A2990">
              <w:rPr>
                <w:sz w:val="22"/>
                <w:szCs w:val="22"/>
              </w:rPr>
              <w:tab/>
              <w:t>Au Directeur du Bureau de développement des télécommunications;</w:t>
            </w:r>
          </w:p>
          <w:p w14:paraId="461460AE" w14:textId="12215FC0" w:rsidR="0013093F" w:rsidRPr="001A2990" w:rsidRDefault="0013093F" w:rsidP="00307FB4">
            <w:pPr>
              <w:tabs>
                <w:tab w:val="left" w:pos="4111"/>
              </w:tabs>
              <w:spacing w:before="0"/>
              <w:ind w:left="426" w:hanging="426"/>
              <w:rPr>
                <w:sz w:val="22"/>
                <w:szCs w:val="22"/>
              </w:rPr>
            </w:pPr>
            <w:r w:rsidRPr="001A2990">
              <w:rPr>
                <w:sz w:val="22"/>
                <w:szCs w:val="22"/>
              </w:rPr>
              <w:t>–</w:t>
            </w:r>
            <w:r w:rsidRPr="001A2990">
              <w:rPr>
                <w:sz w:val="22"/>
                <w:szCs w:val="22"/>
              </w:rPr>
              <w:tab/>
              <w:t>Au Directeur du Bureau des radiocommunications</w:t>
            </w:r>
          </w:p>
        </w:tc>
      </w:tr>
      <w:tr w:rsidR="0013093F" w:rsidRPr="001A2990" w14:paraId="724FD23E" w14:textId="77777777" w:rsidTr="00307FB4">
        <w:trPr>
          <w:cantSplit/>
        </w:trPr>
        <w:tc>
          <w:tcPr>
            <w:tcW w:w="0" w:type="auto"/>
          </w:tcPr>
          <w:p w14:paraId="73149CCD" w14:textId="77777777" w:rsidR="0013093F" w:rsidRPr="000E5ADC" w:rsidRDefault="0013093F" w:rsidP="000E5ADC">
            <w:pPr>
              <w:tabs>
                <w:tab w:val="left" w:pos="4111"/>
              </w:tabs>
              <w:spacing w:before="10"/>
              <w:rPr>
                <w:sz w:val="22"/>
                <w:szCs w:val="22"/>
              </w:rPr>
            </w:pPr>
            <w:proofErr w:type="gramStart"/>
            <w:r w:rsidRPr="000E5ADC">
              <w:rPr>
                <w:sz w:val="22"/>
                <w:szCs w:val="22"/>
              </w:rPr>
              <w:t>Tél.:</w:t>
            </w:r>
            <w:proofErr w:type="gramEnd"/>
          </w:p>
        </w:tc>
        <w:tc>
          <w:tcPr>
            <w:tcW w:w="3399" w:type="dxa"/>
          </w:tcPr>
          <w:p w14:paraId="78D06186" w14:textId="471AED74" w:rsidR="0013093F" w:rsidRPr="001A2990" w:rsidRDefault="0013093F" w:rsidP="00A5280F">
            <w:pPr>
              <w:tabs>
                <w:tab w:val="left" w:pos="4111"/>
              </w:tabs>
              <w:spacing w:before="0"/>
              <w:ind w:left="57"/>
              <w:rPr>
                <w:sz w:val="22"/>
                <w:szCs w:val="22"/>
              </w:rPr>
            </w:pPr>
            <w:r w:rsidRPr="001A2990">
              <w:rPr>
                <w:sz w:val="22"/>
                <w:szCs w:val="22"/>
              </w:rPr>
              <w:t>+41 22 730 6356</w:t>
            </w:r>
          </w:p>
        </w:tc>
        <w:tc>
          <w:tcPr>
            <w:tcW w:w="5051" w:type="dxa"/>
            <w:vMerge/>
          </w:tcPr>
          <w:p w14:paraId="6D3A5806" w14:textId="41DF0719" w:rsidR="0013093F" w:rsidRPr="001A2990" w:rsidRDefault="0013093F" w:rsidP="00307FB4">
            <w:pPr>
              <w:tabs>
                <w:tab w:val="left" w:pos="4111"/>
              </w:tabs>
              <w:spacing w:before="0"/>
              <w:ind w:left="426" w:hanging="426"/>
              <w:rPr>
                <w:b/>
                <w:sz w:val="22"/>
                <w:szCs w:val="22"/>
              </w:rPr>
            </w:pPr>
          </w:p>
        </w:tc>
      </w:tr>
      <w:tr w:rsidR="0013093F" w:rsidRPr="001A2990" w14:paraId="030F9AE5" w14:textId="77777777" w:rsidTr="005A64A9">
        <w:trPr>
          <w:cantSplit/>
          <w:trHeight w:val="263"/>
        </w:trPr>
        <w:tc>
          <w:tcPr>
            <w:tcW w:w="0" w:type="auto"/>
          </w:tcPr>
          <w:p w14:paraId="7B417C4C" w14:textId="77777777" w:rsidR="0013093F" w:rsidRPr="000E5ADC" w:rsidRDefault="0013093F" w:rsidP="000E5ADC">
            <w:pPr>
              <w:tabs>
                <w:tab w:val="left" w:pos="4111"/>
              </w:tabs>
              <w:spacing w:before="10"/>
              <w:rPr>
                <w:sz w:val="22"/>
                <w:szCs w:val="22"/>
              </w:rPr>
            </w:pPr>
            <w:proofErr w:type="gramStart"/>
            <w:r w:rsidRPr="000E5ADC">
              <w:rPr>
                <w:sz w:val="22"/>
                <w:szCs w:val="22"/>
              </w:rPr>
              <w:t>Télécopie:</w:t>
            </w:r>
            <w:proofErr w:type="gramEnd"/>
          </w:p>
        </w:tc>
        <w:tc>
          <w:tcPr>
            <w:tcW w:w="3399" w:type="dxa"/>
          </w:tcPr>
          <w:p w14:paraId="1A4A5F7B" w14:textId="77777777" w:rsidR="0013093F" w:rsidRPr="001A2990" w:rsidRDefault="0013093F" w:rsidP="00A5280F">
            <w:pPr>
              <w:tabs>
                <w:tab w:val="left" w:pos="4111"/>
              </w:tabs>
              <w:spacing w:before="0"/>
              <w:ind w:left="57"/>
              <w:rPr>
                <w:sz w:val="22"/>
                <w:szCs w:val="22"/>
              </w:rPr>
            </w:pPr>
            <w:r w:rsidRPr="001A2990">
              <w:rPr>
                <w:sz w:val="22"/>
                <w:szCs w:val="22"/>
              </w:rPr>
              <w:t>+41 22 730 5853</w:t>
            </w:r>
          </w:p>
        </w:tc>
        <w:tc>
          <w:tcPr>
            <w:tcW w:w="5051" w:type="dxa"/>
            <w:vMerge/>
          </w:tcPr>
          <w:p w14:paraId="323DAC81" w14:textId="6250CC99" w:rsidR="0013093F" w:rsidRPr="001A2990" w:rsidRDefault="0013093F" w:rsidP="00307FB4">
            <w:pPr>
              <w:tabs>
                <w:tab w:val="left" w:pos="4111"/>
              </w:tabs>
              <w:spacing w:before="0"/>
              <w:ind w:left="426" w:hanging="426"/>
              <w:rPr>
                <w:b/>
                <w:sz w:val="22"/>
                <w:szCs w:val="22"/>
              </w:rPr>
            </w:pPr>
          </w:p>
        </w:tc>
      </w:tr>
      <w:tr w:rsidR="0013093F" w:rsidRPr="001A2990" w14:paraId="640FB6B9" w14:textId="77777777" w:rsidTr="00307FB4">
        <w:trPr>
          <w:cantSplit/>
        </w:trPr>
        <w:tc>
          <w:tcPr>
            <w:tcW w:w="0" w:type="auto"/>
          </w:tcPr>
          <w:p w14:paraId="15527369" w14:textId="0865F49A" w:rsidR="0013093F" w:rsidRPr="000E5ADC" w:rsidRDefault="0013093F" w:rsidP="000E5ADC">
            <w:pPr>
              <w:tabs>
                <w:tab w:val="left" w:pos="4111"/>
              </w:tabs>
              <w:spacing w:before="10"/>
              <w:rPr>
                <w:sz w:val="22"/>
                <w:szCs w:val="22"/>
              </w:rPr>
            </w:pPr>
            <w:proofErr w:type="gramStart"/>
            <w:r w:rsidRPr="000E5ADC">
              <w:rPr>
                <w:sz w:val="22"/>
                <w:szCs w:val="22"/>
              </w:rPr>
              <w:t>Courriel:</w:t>
            </w:r>
            <w:proofErr w:type="gramEnd"/>
          </w:p>
        </w:tc>
        <w:tc>
          <w:tcPr>
            <w:tcW w:w="3399" w:type="dxa"/>
          </w:tcPr>
          <w:p w14:paraId="172249CE" w14:textId="5A8B9D98" w:rsidR="0013093F" w:rsidRPr="001A2990" w:rsidRDefault="0013093F" w:rsidP="00A5280F">
            <w:pPr>
              <w:tabs>
                <w:tab w:val="left" w:pos="4111"/>
              </w:tabs>
              <w:spacing w:before="0"/>
              <w:ind w:left="57"/>
              <w:rPr>
                <w:sz w:val="22"/>
                <w:szCs w:val="22"/>
              </w:rPr>
            </w:pPr>
            <w:hyperlink r:id="rId9" w:history="1">
              <w:r w:rsidRPr="001A2990">
                <w:rPr>
                  <w:rStyle w:val="Hyperlink"/>
                  <w:sz w:val="22"/>
                  <w:szCs w:val="22"/>
                </w:rPr>
                <w:t>tsbevents@itu.int</w:t>
              </w:r>
            </w:hyperlink>
          </w:p>
        </w:tc>
        <w:tc>
          <w:tcPr>
            <w:tcW w:w="5051" w:type="dxa"/>
            <w:vMerge/>
          </w:tcPr>
          <w:p w14:paraId="19762254" w14:textId="3EDCFD96" w:rsidR="0013093F" w:rsidRPr="001A2990" w:rsidRDefault="0013093F" w:rsidP="00307FB4">
            <w:pPr>
              <w:tabs>
                <w:tab w:val="clear" w:pos="794"/>
                <w:tab w:val="left" w:pos="4111"/>
              </w:tabs>
              <w:spacing w:before="0"/>
              <w:ind w:left="426" w:hanging="426"/>
              <w:rPr>
                <w:sz w:val="22"/>
                <w:szCs w:val="22"/>
              </w:rPr>
            </w:pPr>
          </w:p>
        </w:tc>
      </w:tr>
      <w:tr w:rsidR="00517A03" w:rsidRPr="001A2990" w14:paraId="5435C04A" w14:textId="77777777" w:rsidTr="00C41B89">
        <w:trPr>
          <w:cantSplit/>
          <w:trHeight w:val="397"/>
        </w:trPr>
        <w:tc>
          <w:tcPr>
            <w:tcW w:w="0" w:type="auto"/>
          </w:tcPr>
          <w:p w14:paraId="2A0B9B4F" w14:textId="77777777" w:rsidR="00517A03" w:rsidRPr="001A2990" w:rsidRDefault="00517A03" w:rsidP="000E5ADC">
            <w:pPr>
              <w:tabs>
                <w:tab w:val="left" w:pos="4111"/>
              </w:tabs>
              <w:rPr>
                <w:b/>
                <w:bCs/>
                <w:sz w:val="22"/>
                <w:szCs w:val="22"/>
              </w:rPr>
            </w:pPr>
            <w:r w:rsidRPr="001A2990">
              <w:rPr>
                <w:b/>
                <w:bCs/>
                <w:sz w:val="22"/>
                <w:szCs w:val="22"/>
              </w:rPr>
              <w:t>Objet:</w:t>
            </w:r>
          </w:p>
        </w:tc>
        <w:tc>
          <w:tcPr>
            <w:tcW w:w="0" w:type="auto"/>
            <w:gridSpan w:val="2"/>
          </w:tcPr>
          <w:p w14:paraId="1A51EE75" w14:textId="4E5A1748" w:rsidR="00517A03" w:rsidRPr="001A2990" w:rsidRDefault="0013093F" w:rsidP="0048088B">
            <w:pPr>
              <w:tabs>
                <w:tab w:val="left" w:pos="4111"/>
              </w:tabs>
              <w:spacing w:after="120"/>
              <w:ind w:left="57"/>
              <w:rPr>
                <w:b/>
                <w:bCs/>
                <w:sz w:val="22"/>
                <w:szCs w:val="22"/>
              </w:rPr>
            </w:pPr>
            <w:r w:rsidRPr="001A2990">
              <w:rPr>
                <w:b/>
                <w:bCs/>
                <w:sz w:val="22"/>
                <w:szCs w:val="22"/>
              </w:rPr>
              <w:t>Webinaire sur les services financiers numériques, épisode 2 – "</w:t>
            </w:r>
            <w:r w:rsidRPr="001A2990">
              <w:rPr>
                <w:b/>
                <w:bCs/>
                <w:i/>
                <w:iCs/>
                <w:sz w:val="22"/>
                <w:szCs w:val="22"/>
              </w:rPr>
              <w:t>Sécuriser les applications de paiement sur mobile</w:t>
            </w:r>
            <w:r w:rsidR="00F13871" w:rsidRPr="001A2990">
              <w:rPr>
                <w:b/>
                <w:bCs/>
                <w:i/>
                <w:iCs/>
                <w:sz w:val="22"/>
                <w:szCs w:val="22"/>
              </w:rPr>
              <w:t xml:space="preserve"> –</w:t>
            </w:r>
            <w:r w:rsidRPr="001A2990">
              <w:rPr>
                <w:b/>
                <w:bCs/>
                <w:i/>
                <w:iCs/>
                <w:sz w:val="22"/>
                <w:szCs w:val="22"/>
              </w:rPr>
              <w:t xml:space="preserve"> Partie 1</w:t>
            </w:r>
            <w:r w:rsidRPr="001A2990">
              <w:rPr>
                <w:b/>
                <w:bCs/>
                <w:sz w:val="22"/>
                <w:szCs w:val="22"/>
              </w:rPr>
              <w:t>" (entièrement virtuel, 26 mars 2025)</w:t>
            </w:r>
          </w:p>
        </w:tc>
      </w:tr>
    </w:tbl>
    <w:p w14:paraId="2D1EC328" w14:textId="77777777" w:rsidR="00517A03" w:rsidRPr="001A2990" w:rsidRDefault="00517A03" w:rsidP="000E5ADC">
      <w:pPr>
        <w:rPr>
          <w:sz w:val="22"/>
          <w:szCs w:val="22"/>
        </w:rPr>
      </w:pPr>
      <w:bookmarkStart w:id="1" w:name="StartTyping_F"/>
      <w:bookmarkEnd w:id="1"/>
      <w:r w:rsidRPr="001A2990">
        <w:rPr>
          <w:sz w:val="22"/>
          <w:szCs w:val="22"/>
        </w:rPr>
        <w:t>Madame, Monsieur,</w:t>
      </w:r>
    </w:p>
    <w:p w14:paraId="193BA952" w14:textId="2936FBBD" w:rsidR="00F13871" w:rsidRPr="001A2990" w:rsidRDefault="00F13871" w:rsidP="00F13871">
      <w:pPr>
        <w:rPr>
          <w:bCs/>
          <w:sz w:val="22"/>
          <w:szCs w:val="22"/>
        </w:rPr>
      </w:pPr>
      <w:r w:rsidRPr="001A2990">
        <w:rPr>
          <w:bCs/>
          <w:sz w:val="22"/>
          <w:szCs w:val="22"/>
        </w:rPr>
        <w:t>1</w:t>
      </w:r>
      <w:r w:rsidRPr="001A2990">
        <w:rPr>
          <w:bCs/>
          <w:sz w:val="22"/>
          <w:szCs w:val="22"/>
        </w:rPr>
        <w:tab/>
        <w:t>J'ai l'honneur de vous inviter au webinaire en direct sur le thème "</w:t>
      </w:r>
      <w:r w:rsidRPr="001A2990">
        <w:rPr>
          <w:b/>
          <w:i/>
          <w:iCs/>
          <w:sz w:val="22"/>
          <w:szCs w:val="22"/>
        </w:rPr>
        <w:t>Sécuriser les applications de paiement sur mobile – Partie 1</w:t>
      </w:r>
      <w:r w:rsidRPr="001A2990">
        <w:rPr>
          <w:bCs/>
          <w:sz w:val="22"/>
          <w:szCs w:val="22"/>
        </w:rPr>
        <w:t xml:space="preserve">", qui se déroulera </w:t>
      </w:r>
      <w:r w:rsidRPr="001A2990">
        <w:rPr>
          <w:b/>
          <w:sz w:val="22"/>
          <w:szCs w:val="22"/>
        </w:rPr>
        <w:t>en ligne</w:t>
      </w:r>
      <w:r w:rsidRPr="001A2990">
        <w:rPr>
          <w:bCs/>
          <w:sz w:val="22"/>
          <w:szCs w:val="22"/>
        </w:rPr>
        <w:t xml:space="preserve"> le </w:t>
      </w:r>
      <w:r w:rsidRPr="001A2990">
        <w:rPr>
          <w:b/>
          <w:sz w:val="22"/>
          <w:szCs w:val="22"/>
        </w:rPr>
        <w:t>26 mars 2025 de 14 h 00 à 15 h 00 CET</w:t>
      </w:r>
      <w:r w:rsidRPr="001A2990">
        <w:rPr>
          <w:bCs/>
          <w:sz w:val="22"/>
          <w:szCs w:val="22"/>
        </w:rPr>
        <w:t xml:space="preserve">. Ce webinaire, le deuxième d'une série consacrée à la sécurité des services financiers numériques, est organisé dans le cadre des activités du </w:t>
      </w:r>
      <w:hyperlink r:id="rId10" w:anchor="/fr" w:history="1">
        <w:r w:rsidRPr="001A2990">
          <w:rPr>
            <w:rStyle w:val="Hyperlink"/>
            <w:bCs/>
            <w:sz w:val="22"/>
            <w:szCs w:val="22"/>
          </w:rPr>
          <w:t>laboratoire de sécurité des services financiers numériques (DFS) de l'UIT</w:t>
        </w:r>
      </w:hyperlink>
      <w:r w:rsidRPr="001A2990">
        <w:rPr>
          <w:bCs/>
          <w:sz w:val="22"/>
          <w:szCs w:val="22"/>
        </w:rPr>
        <w:t>.</w:t>
      </w:r>
    </w:p>
    <w:p w14:paraId="20DB7333" w14:textId="20F65064" w:rsidR="00F13871" w:rsidRPr="001A2990" w:rsidRDefault="00F13871" w:rsidP="00F13871">
      <w:pPr>
        <w:rPr>
          <w:bCs/>
          <w:sz w:val="22"/>
          <w:szCs w:val="22"/>
        </w:rPr>
      </w:pPr>
      <w:r w:rsidRPr="001A2990">
        <w:rPr>
          <w:bCs/>
          <w:sz w:val="22"/>
          <w:szCs w:val="22"/>
        </w:rPr>
        <w:t>2</w:t>
      </w:r>
      <w:r w:rsidRPr="001A2990">
        <w:rPr>
          <w:bCs/>
          <w:sz w:val="22"/>
          <w:szCs w:val="22"/>
        </w:rPr>
        <w:tab/>
        <w:t>La croissance rapide des services financiers numériques (DFS) a fait des applications de paiement sur mobile une cible de choix pour les cyberattaques. Les applications DFS sur mobile, qui fonctionnent sur diverses plate</w:t>
      </w:r>
      <w:r w:rsidR="00D854C0" w:rsidRPr="001A2990">
        <w:rPr>
          <w:bCs/>
          <w:sz w:val="22"/>
          <w:szCs w:val="22"/>
        </w:rPr>
        <w:t>s-</w:t>
      </w:r>
      <w:r w:rsidRPr="001A2990">
        <w:rPr>
          <w:bCs/>
          <w:sz w:val="22"/>
          <w:szCs w:val="22"/>
        </w:rPr>
        <w:t>formes, sont confrontées à des problèmes particuliers en matière de sécurité, tels que l'authentification non sécurisée, les fuites de données et les attaques de logiciels malveillants. Il est essentiel de remédier à ces risques potentiels pour maintenir la confiance des utilisateurs et assurer la sécurité globale de l'écosystème des services DFS.</w:t>
      </w:r>
    </w:p>
    <w:p w14:paraId="1DDF3F26" w14:textId="7D6C33B1" w:rsidR="00F13871" w:rsidRPr="001A2990" w:rsidRDefault="00F13871" w:rsidP="00F13871">
      <w:pPr>
        <w:rPr>
          <w:bCs/>
          <w:sz w:val="22"/>
          <w:szCs w:val="22"/>
        </w:rPr>
      </w:pPr>
      <w:r w:rsidRPr="001A2990">
        <w:rPr>
          <w:bCs/>
          <w:sz w:val="22"/>
          <w:szCs w:val="22"/>
        </w:rPr>
        <w:t>3</w:t>
      </w:r>
      <w:r w:rsidRPr="001A2990">
        <w:rPr>
          <w:bCs/>
          <w:sz w:val="22"/>
          <w:szCs w:val="22"/>
        </w:rPr>
        <w:tab/>
        <w:t>La première partie de ce webinaire en deux parties porte sur des conseils techniques et sur les bonnes pratiques en matière d'exigences minimales de sécurité pour les applications DFS sous</w:t>
      </w:r>
      <w:r w:rsidR="00D854C0" w:rsidRPr="001A2990">
        <w:rPr>
          <w:bCs/>
          <w:sz w:val="22"/>
          <w:szCs w:val="22"/>
        </w:rPr>
        <w:t> </w:t>
      </w:r>
      <w:r w:rsidRPr="001A2990">
        <w:rPr>
          <w:bCs/>
          <w:sz w:val="22"/>
          <w:szCs w:val="22"/>
        </w:rPr>
        <w:t xml:space="preserve">Android. Les participants découvriront un modèle de bonnes pratiques en matière de sécurité des applications, issu de la Recommandation </w:t>
      </w:r>
      <w:hyperlink r:id="rId11" w:history="1">
        <w:r w:rsidRPr="001A2990">
          <w:rPr>
            <w:rStyle w:val="Hyperlink"/>
            <w:bCs/>
            <w:sz w:val="22"/>
            <w:szCs w:val="22"/>
          </w:rPr>
          <w:t>UIT-T X.1150</w:t>
        </w:r>
      </w:hyperlink>
      <w:r w:rsidRPr="001A2990">
        <w:rPr>
          <w:bCs/>
          <w:sz w:val="22"/>
          <w:szCs w:val="22"/>
        </w:rPr>
        <w:t xml:space="preserve"> intitulée "</w:t>
      </w:r>
      <w:r w:rsidRPr="001A2990">
        <w:rPr>
          <w:bCs/>
          <w:i/>
          <w:iCs/>
          <w:sz w:val="22"/>
          <w:szCs w:val="22"/>
        </w:rPr>
        <w:t>Cadre d'assurance de la sécurité pour les services financiers numériques</w:t>
      </w:r>
      <w:r w:rsidRPr="001A2990">
        <w:rPr>
          <w:bCs/>
          <w:sz w:val="22"/>
          <w:szCs w:val="22"/>
        </w:rPr>
        <w:t>", et conçu pour être intégré par les régulateurs des services DFS dans leurs politiques de sécurité relatives aux applications. Cette approche permet également de donner des orientations utiles aux fournisseurs de services DFS dans le cadre de leurs processus de développement. Au cours de cette session, les participants se familiariseront avec les bonnes pratiques en matière d'exigences minimales de sécurité des applications sur mobile et recevront des conseils techniques en vue d'améliorer la résilience des applications de paiement sur mobile et de protéger les utilisateurs contre les nouvelles menaces.</w:t>
      </w:r>
    </w:p>
    <w:p w14:paraId="1886638F" w14:textId="41660807" w:rsidR="00F13871" w:rsidRPr="001A2990" w:rsidRDefault="00F13871" w:rsidP="00F13871">
      <w:pPr>
        <w:rPr>
          <w:bCs/>
          <w:sz w:val="22"/>
          <w:szCs w:val="22"/>
        </w:rPr>
      </w:pPr>
      <w:r w:rsidRPr="001A2990">
        <w:rPr>
          <w:bCs/>
          <w:sz w:val="22"/>
          <w:szCs w:val="22"/>
        </w:rPr>
        <w:t xml:space="preserve">À partir de ces connaissances de base, la première partie de cet atelier sera consacrée à la présentation de la méthodologie du </w:t>
      </w:r>
      <w:hyperlink r:id="rId12" w:anchor="/fr" w:history="1">
        <w:r w:rsidRPr="001A2990">
          <w:rPr>
            <w:rStyle w:val="Hyperlink"/>
            <w:bCs/>
            <w:sz w:val="22"/>
            <w:szCs w:val="22"/>
          </w:rPr>
          <w:t>laboratoire de sécurité des services DFS de l'UIT</w:t>
        </w:r>
      </w:hyperlink>
      <w:r w:rsidRPr="001A2990">
        <w:rPr>
          <w:bCs/>
          <w:sz w:val="22"/>
          <w:szCs w:val="22"/>
        </w:rPr>
        <w:t>, fondée sur le projet ouvert concernant la sécurité des applications web (OWASP) 2024, en particulier pour valider la conformité des applications DFS sur mobile sous Android aux bonnes pratiques établies en matière d'exigences minimales de sécurité pour les applications DFS. La méthodologie comprend des tests en laboratoire et des stratégies d'atténuation pour garantir une sécurité robuste. Les principales normes et bonnes pratiques du secteur seront présentées tout au long de la session, ce qui donnera aux participants un aperçu complet des tests de sécurité pour les applications DFS sous Android.</w:t>
      </w:r>
    </w:p>
    <w:p w14:paraId="76A614C0" w14:textId="77777777" w:rsidR="00F13871" w:rsidRPr="001A2990" w:rsidRDefault="00F13871" w:rsidP="00F13871">
      <w:pPr>
        <w:rPr>
          <w:bCs/>
          <w:sz w:val="22"/>
          <w:szCs w:val="22"/>
        </w:rPr>
      </w:pPr>
      <w:r w:rsidRPr="001A2990">
        <w:rPr>
          <w:bCs/>
          <w:sz w:val="22"/>
          <w:szCs w:val="22"/>
        </w:rPr>
        <w:lastRenderedPageBreak/>
        <w:t>4</w:t>
      </w:r>
      <w:r w:rsidRPr="001A2990">
        <w:rPr>
          <w:bCs/>
          <w:sz w:val="22"/>
          <w:szCs w:val="22"/>
        </w:rPr>
        <w:tab/>
        <w:t>Les participants approfondiront leurs connaissances sur les points suivants:</w:t>
      </w:r>
    </w:p>
    <w:p w14:paraId="5C77059B" w14:textId="7394B725" w:rsidR="00F13871" w:rsidRPr="001A2990" w:rsidRDefault="00F13871" w:rsidP="00F13871">
      <w:pPr>
        <w:pStyle w:val="enumlev1"/>
        <w:rPr>
          <w:sz w:val="22"/>
          <w:szCs w:val="22"/>
        </w:rPr>
      </w:pPr>
      <w:r w:rsidRPr="001A2990">
        <w:rPr>
          <w:sz w:val="22"/>
          <w:szCs w:val="22"/>
        </w:rPr>
        <w:t>–</w:t>
      </w:r>
      <w:r w:rsidRPr="001A2990">
        <w:rPr>
          <w:sz w:val="22"/>
          <w:szCs w:val="22"/>
        </w:rPr>
        <w:tab/>
        <w:t>Risques de sécurité pouvant menacer les applications de paiement sur mobile sous</w:t>
      </w:r>
      <w:r w:rsidR="006C1B2F" w:rsidRPr="001A2990">
        <w:rPr>
          <w:sz w:val="22"/>
          <w:szCs w:val="22"/>
        </w:rPr>
        <w:t> </w:t>
      </w:r>
      <w:r w:rsidRPr="001A2990">
        <w:rPr>
          <w:sz w:val="22"/>
          <w:szCs w:val="22"/>
        </w:rPr>
        <w:t>Android.</w:t>
      </w:r>
    </w:p>
    <w:p w14:paraId="5D1EEEE3" w14:textId="62005E8E" w:rsidR="00F13871" w:rsidRPr="001A2990" w:rsidRDefault="00F13871" w:rsidP="00F13871">
      <w:pPr>
        <w:pStyle w:val="enumlev1"/>
        <w:rPr>
          <w:sz w:val="22"/>
          <w:szCs w:val="22"/>
        </w:rPr>
      </w:pPr>
      <w:r w:rsidRPr="001A2990">
        <w:rPr>
          <w:sz w:val="22"/>
          <w:szCs w:val="22"/>
        </w:rPr>
        <w:t>–</w:t>
      </w:r>
      <w:r w:rsidRPr="001A2990">
        <w:rPr>
          <w:sz w:val="22"/>
          <w:szCs w:val="22"/>
        </w:rPr>
        <w:tab/>
        <w:t xml:space="preserve">Bonnes pratiques en matière d'exigences minimales de sécurité pour les applications DFS adaptées de la Recommandation </w:t>
      </w:r>
      <w:hyperlink r:id="rId13" w:history="1">
        <w:r w:rsidRPr="001A2990">
          <w:rPr>
            <w:rStyle w:val="Hyperlink"/>
            <w:sz w:val="22"/>
            <w:szCs w:val="22"/>
          </w:rPr>
          <w:t>UIT-T X.1150</w:t>
        </w:r>
      </w:hyperlink>
      <w:r w:rsidRPr="001A2990">
        <w:rPr>
          <w:sz w:val="22"/>
          <w:szCs w:val="22"/>
        </w:rPr>
        <w:t>.</w:t>
      </w:r>
    </w:p>
    <w:p w14:paraId="06BF63AB" w14:textId="69BC33B4" w:rsidR="00F13871" w:rsidRPr="001A2990" w:rsidRDefault="00F13871" w:rsidP="00F13871">
      <w:pPr>
        <w:pStyle w:val="enumlev1"/>
        <w:rPr>
          <w:sz w:val="22"/>
          <w:szCs w:val="22"/>
        </w:rPr>
      </w:pPr>
      <w:r w:rsidRPr="001A2990">
        <w:rPr>
          <w:sz w:val="22"/>
          <w:szCs w:val="22"/>
        </w:rPr>
        <w:t>–</w:t>
      </w:r>
      <w:r w:rsidRPr="001A2990">
        <w:rPr>
          <w:sz w:val="22"/>
          <w:szCs w:val="22"/>
        </w:rPr>
        <w:tab/>
        <w:t>Méthode du laboratoire de sécurité des services DFS de l'UIT visant à valider la conformité des applications DFS sous Android aux bonnes pratiques en matière d'exigences minimales de sécurité pour les applications DFS.</w:t>
      </w:r>
    </w:p>
    <w:p w14:paraId="775F4B7E" w14:textId="77777777" w:rsidR="00F13871" w:rsidRPr="001A2990" w:rsidRDefault="00F13871" w:rsidP="00F13871">
      <w:pPr>
        <w:rPr>
          <w:bCs/>
          <w:sz w:val="22"/>
          <w:szCs w:val="22"/>
        </w:rPr>
      </w:pPr>
      <w:r w:rsidRPr="001A2990">
        <w:rPr>
          <w:bCs/>
          <w:sz w:val="22"/>
          <w:szCs w:val="22"/>
        </w:rPr>
        <w:t>5</w:t>
      </w:r>
      <w:r w:rsidRPr="001A2990">
        <w:rPr>
          <w:bCs/>
          <w:sz w:val="22"/>
          <w:szCs w:val="22"/>
        </w:rPr>
        <w:tab/>
        <w:t>Le webinaire s'adresse aux spécialistes des télécommunications, des services financiers, des technologies financières, de la cybersécurité et des organismes de réglementation qui sont directement concernés ou touchés par la sécurité des services DFS.</w:t>
      </w:r>
    </w:p>
    <w:p w14:paraId="1DE01FB4" w14:textId="418BA5EB" w:rsidR="00F13871" w:rsidRPr="001A2990" w:rsidRDefault="00F13871" w:rsidP="00F13871">
      <w:pPr>
        <w:rPr>
          <w:bCs/>
          <w:sz w:val="22"/>
          <w:szCs w:val="22"/>
        </w:rPr>
      </w:pPr>
      <w:r w:rsidRPr="001A2990">
        <w:rPr>
          <w:bCs/>
          <w:sz w:val="22"/>
          <w:szCs w:val="22"/>
        </w:rPr>
        <w:t>6</w:t>
      </w:r>
      <w:r w:rsidRPr="001A2990">
        <w:rPr>
          <w:bCs/>
          <w:sz w:val="22"/>
          <w:szCs w:val="22"/>
        </w:rPr>
        <w:tab/>
        <w:t xml:space="preserve">Afin de faciliter les discussions collaboratives avec les régulateurs, les fournisseurs de services DFS et les fournisseurs de télécommunications, et de contribuer à la poursuite de l'élaboration des bonnes pratiques en matière de sécurité des services DFS avant et après le webinaire, les participants sont invités à rejoindre les </w:t>
      </w:r>
      <w:hyperlink r:id="rId14" w:history="1">
        <w:r w:rsidRPr="001A2990">
          <w:rPr>
            <w:rStyle w:val="Hyperlink"/>
            <w:bCs/>
            <w:sz w:val="22"/>
            <w:szCs w:val="22"/>
          </w:rPr>
          <w:t>plate</w:t>
        </w:r>
        <w:r w:rsidR="006C1B2F" w:rsidRPr="001A2990">
          <w:rPr>
            <w:rStyle w:val="Hyperlink"/>
            <w:bCs/>
            <w:sz w:val="22"/>
            <w:szCs w:val="22"/>
          </w:rPr>
          <w:t>s-</w:t>
        </w:r>
        <w:r w:rsidRPr="001A2990">
          <w:rPr>
            <w:rStyle w:val="Hyperlink"/>
            <w:bCs/>
            <w:sz w:val="22"/>
            <w:szCs w:val="22"/>
          </w:rPr>
          <w:t>formes d'échange des connaissances de l'UIT en matière de sécurité des services DFS</w:t>
        </w:r>
      </w:hyperlink>
      <w:r w:rsidRPr="001A2990">
        <w:rPr>
          <w:bCs/>
          <w:sz w:val="22"/>
          <w:szCs w:val="22"/>
        </w:rPr>
        <w:t xml:space="preserve"> sur Slack et GitBook.</w:t>
      </w:r>
    </w:p>
    <w:p w14:paraId="3A2D0AD7" w14:textId="50AA4A4B" w:rsidR="00F13871" w:rsidRPr="001A2990" w:rsidRDefault="00F13871" w:rsidP="00F13871">
      <w:pPr>
        <w:rPr>
          <w:bCs/>
          <w:sz w:val="22"/>
          <w:szCs w:val="22"/>
        </w:rPr>
      </w:pPr>
      <w:r w:rsidRPr="001A2990">
        <w:rPr>
          <w:bCs/>
          <w:sz w:val="22"/>
          <w:szCs w:val="22"/>
        </w:rPr>
        <w:t>7</w:t>
      </w:r>
      <w:r w:rsidRPr="001A2990">
        <w:rPr>
          <w:bCs/>
          <w:sz w:val="22"/>
          <w:szCs w:val="22"/>
        </w:rPr>
        <w:tab/>
        <w:t xml:space="preserve">Vous trouverez des informations détaillées sur le webinaire à l'adresse suivante: </w:t>
      </w:r>
      <w:hyperlink r:id="rId15" w:anchor="/fr" w:history="1">
        <w:r w:rsidRPr="001A2990">
          <w:rPr>
            <w:rStyle w:val="Hyperlink"/>
            <w:bCs/>
            <w:sz w:val="22"/>
            <w:szCs w:val="22"/>
          </w:rPr>
          <w:t>https://itu.int/en/ITU-T/webinars/dfs/20250326</w:t>
        </w:r>
      </w:hyperlink>
      <w:r w:rsidRPr="001A2990">
        <w:rPr>
          <w:bCs/>
          <w:sz w:val="22"/>
          <w:szCs w:val="22"/>
        </w:rPr>
        <w:t>.</w:t>
      </w:r>
    </w:p>
    <w:p w14:paraId="46F2C3C2" w14:textId="3DE8F2AB" w:rsidR="00307FB4" w:rsidRPr="001A2990" w:rsidRDefault="00F13871" w:rsidP="00F13871">
      <w:pPr>
        <w:rPr>
          <w:bCs/>
          <w:sz w:val="22"/>
          <w:szCs w:val="22"/>
        </w:rPr>
      </w:pPr>
      <w:r w:rsidRPr="001A2990">
        <w:rPr>
          <w:bCs/>
          <w:sz w:val="22"/>
          <w:szCs w:val="22"/>
        </w:rPr>
        <w:t>8</w:t>
      </w:r>
      <w:r w:rsidRPr="001A2990">
        <w:rPr>
          <w:bCs/>
          <w:sz w:val="22"/>
          <w:szCs w:val="22"/>
        </w:rPr>
        <w:tab/>
        <w:t xml:space="preserve">Afin de permettre aux organisateurs de prendre les dispositions nécessaires concernant l'organisation de l'atelier, je vous saurais gré de bien vouloir vous inscrire dès que possible à l'adresse suivante: </w:t>
      </w:r>
      <w:hyperlink r:id="rId16" w:anchor="/registration" w:history="1">
        <w:r w:rsidRPr="001A2990">
          <w:rPr>
            <w:rStyle w:val="Hyperlink"/>
            <w:bCs/>
            <w:sz w:val="22"/>
            <w:szCs w:val="22"/>
          </w:rPr>
          <w:t>https://itu.zoom.us/webinar/register/WN_UIov8n3hRNC9A5X1j9Hw4w#/registration</w:t>
        </w:r>
      </w:hyperlink>
      <w:r w:rsidRPr="001A2990">
        <w:rPr>
          <w:bCs/>
          <w:sz w:val="22"/>
          <w:szCs w:val="22"/>
        </w:rPr>
        <w:t>.</w:t>
      </w:r>
    </w:p>
    <w:p w14:paraId="6A4CD67F" w14:textId="4FB2CF38" w:rsidR="00307FB4" w:rsidRPr="001A2990" w:rsidRDefault="00307FB4" w:rsidP="00307FB4">
      <w:pPr>
        <w:rPr>
          <w:bCs/>
          <w:sz w:val="22"/>
          <w:szCs w:val="22"/>
        </w:rPr>
      </w:pPr>
      <w:r w:rsidRPr="001A2990">
        <w:rPr>
          <w:bCs/>
          <w:sz w:val="22"/>
          <w:szCs w:val="22"/>
        </w:rPr>
        <w:t>Veuillez agréer, Madame, Monsieur, l'assurance de ma considération distinguée.</w:t>
      </w:r>
    </w:p>
    <w:p w14:paraId="601A1E45" w14:textId="19C46978" w:rsidR="002937DB" w:rsidRPr="001A2990" w:rsidRDefault="00534431" w:rsidP="000E5ADC">
      <w:pPr>
        <w:spacing w:before="720"/>
        <w:rPr>
          <w:bCs/>
          <w:sz w:val="22"/>
          <w:szCs w:val="22"/>
        </w:rPr>
      </w:pPr>
      <w:r>
        <w:rPr>
          <w:bCs/>
          <w:noProof/>
          <w:sz w:val="22"/>
          <w:szCs w:val="22"/>
        </w:rPr>
        <w:drawing>
          <wp:anchor distT="0" distB="0" distL="114300" distR="114300" simplePos="0" relativeHeight="251658240" behindDoc="1" locked="0" layoutInCell="1" allowOverlap="1" wp14:anchorId="14F8029E" wp14:editId="1F0C25CF">
            <wp:simplePos x="0" y="0"/>
            <wp:positionH relativeFrom="column">
              <wp:posOffset>13335</wp:posOffset>
            </wp:positionH>
            <wp:positionV relativeFrom="paragraph">
              <wp:posOffset>29210</wp:posOffset>
            </wp:positionV>
            <wp:extent cx="692186" cy="330217"/>
            <wp:effectExtent l="0" t="0" r="0" b="0"/>
            <wp:wrapNone/>
            <wp:docPr id="205792626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26266" name="Picture 1"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1A2990">
        <w:rPr>
          <w:bCs/>
          <w:sz w:val="22"/>
          <w:szCs w:val="22"/>
        </w:rPr>
        <w:t>Seizo Onoe</w:t>
      </w:r>
      <w:r w:rsidR="00B60868" w:rsidRPr="001A2990">
        <w:rPr>
          <w:bCs/>
          <w:sz w:val="22"/>
          <w:szCs w:val="22"/>
        </w:rPr>
        <w:br/>
      </w:r>
      <w:r w:rsidR="00307FB4" w:rsidRPr="001A2990">
        <w:rPr>
          <w:bCs/>
          <w:sz w:val="22"/>
          <w:szCs w:val="22"/>
        </w:rPr>
        <w:t>Directeur du Bureau de la normalisation</w:t>
      </w:r>
      <w:r w:rsidR="00B60868" w:rsidRPr="001A2990">
        <w:rPr>
          <w:bCs/>
          <w:sz w:val="22"/>
          <w:szCs w:val="22"/>
        </w:rPr>
        <w:br/>
      </w:r>
      <w:r w:rsidR="00307FB4" w:rsidRPr="001A2990">
        <w:rPr>
          <w:bCs/>
          <w:sz w:val="22"/>
          <w:szCs w:val="22"/>
        </w:rPr>
        <w:t>des télécommunications</w:t>
      </w:r>
    </w:p>
    <w:sectPr w:rsidR="002937DB" w:rsidRPr="001A2990" w:rsidSect="00A15179">
      <w:headerReference w:type="even" r:id="rId18"/>
      <w:headerReference w:type="default" r:id="rId19"/>
      <w:footerReference w:type="even" r:id="rId20"/>
      <w:footerReference w:type="default" r:id="rId21"/>
      <w:headerReference w:type="firs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ABB5A" w14:textId="77777777" w:rsidR="007E44DF" w:rsidRDefault="007E44DF">
      <w:r>
        <w:separator/>
      </w:r>
    </w:p>
  </w:endnote>
  <w:endnote w:type="continuationSeparator" w:id="0">
    <w:p w14:paraId="6919440C" w14:textId="77777777" w:rsidR="007E44DF" w:rsidRDefault="007E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44D5" w14:textId="77777777" w:rsidR="001A2990" w:rsidRDefault="001A2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EBD9" w14:textId="77777777" w:rsidR="001A2990" w:rsidRDefault="001A2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0D67" w14:textId="77777777" w:rsidR="007E44DF" w:rsidRDefault="007E44DF">
      <w:r>
        <w:t>____________________</w:t>
      </w:r>
    </w:p>
  </w:footnote>
  <w:footnote w:type="continuationSeparator" w:id="0">
    <w:p w14:paraId="537FACCD" w14:textId="77777777" w:rsidR="007E44DF" w:rsidRDefault="007E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A1B3" w14:textId="77777777" w:rsidR="001A2990" w:rsidRDefault="001A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5EC7120E" w:rsidR="00697BC1" w:rsidRPr="00697BC1" w:rsidRDefault="001A2990" w:rsidP="00697BC1">
    <w:pPr>
      <w:pStyle w:val="Header"/>
      <w:rPr>
        <w:sz w:val="18"/>
        <w:szCs w:val="16"/>
      </w:rPr>
    </w:pPr>
    <w:r>
      <w:rPr>
        <w:rFonts w:hint="eastAsia"/>
        <w:sz w:val="18"/>
        <w:szCs w:val="16"/>
        <w:lang w:eastAsia="zh-CN"/>
      </w:rPr>
      <w:t xml:space="preserve">- </w:t>
    </w:r>
    <w:sdt>
      <w:sdtPr>
        <w:rPr>
          <w:rFonts w:hint="eastAsia"/>
          <w:sz w:val="18"/>
          <w:szCs w:val="16"/>
          <w:lang w:eastAsia="zh-CN"/>
        </w:rPr>
        <w:id w:val="526448189"/>
        <w:docPartObj>
          <w:docPartGallery w:val="Page Numbers (Top of Page)"/>
          <w:docPartUnique/>
        </w:docPartObj>
      </w:sdtPr>
      <w:sdtEndPr>
        <w:rPr>
          <w:rFonts w:hint="default"/>
          <w:noProof/>
          <w:lang w:eastAsia="en-US"/>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Pr>
            <w:rFonts w:hint="eastAsia"/>
            <w:noProof/>
            <w:sz w:val="18"/>
            <w:szCs w:val="16"/>
            <w:lang w:eastAsia="zh-CN"/>
          </w:rPr>
          <w:t xml:space="preserve"> -</w:t>
        </w:r>
      </w:sdtContent>
    </w:sdt>
    <w:r w:rsidR="00AF0D7D">
      <w:rPr>
        <w:noProof/>
        <w:sz w:val="18"/>
        <w:szCs w:val="16"/>
      </w:rPr>
      <w:br/>
      <w:t xml:space="preserve">Circulaire TSB </w:t>
    </w:r>
    <w:r w:rsidR="00F13871">
      <w:rPr>
        <w:noProof/>
        <w:sz w:val="18"/>
        <w:szCs w:val="16"/>
      </w:rPr>
      <w:t>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DA8F" w14:textId="77777777" w:rsidR="001A2990" w:rsidRDefault="001A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E5ADC"/>
    <w:rsid w:val="001026FD"/>
    <w:rsid w:val="001077FD"/>
    <w:rsid w:val="00115DD7"/>
    <w:rsid w:val="0013093F"/>
    <w:rsid w:val="00167472"/>
    <w:rsid w:val="00167F92"/>
    <w:rsid w:val="00173738"/>
    <w:rsid w:val="001A2990"/>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34431"/>
    <w:rsid w:val="005A3DD9"/>
    <w:rsid w:val="005A64A9"/>
    <w:rsid w:val="005B1DFC"/>
    <w:rsid w:val="00601682"/>
    <w:rsid w:val="00603470"/>
    <w:rsid w:val="00625E79"/>
    <w:rsid w:val="006333F7"/>
    <w:rsid w:val="006427A1"/>
    <w:rsid w:val="00644741"/>
    <w:rsid w:val="00697BC1"/>
    <w:rsid w:val="006A6FFE"/>
    <w:rsid w:val="006C1B2F"/>
    <w:rsid w:val="006C5A91"/>
    <w:rsid w:val="006F0C55"/>
    <w:rsid w:val="006F52F7"/>
    <w:rsid w:val="00716BBC"/>
    <w:rsid w:val="007321BC"/>
    <w:rsid w:val="00760063"/>
    <w:rsid w:val="00775E4B"/>
    <w:rsid w:val="0079553B"/>
    <w:rsid w:val="00795679"/>
    <w:rsid w:val="007A40FE"/>
    <w:rsid w:val="007E44DF"/>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94CE8"/>
    <w:rsid w:val="00BB24C0"/>
    <w:rsid w:val="00BD6ECF"/>
    <w:rsid w:val="00C26F2E"/>
    <w:rsid w:val="00C302E3"/>
    <w:rsid w:val="00C41B89"/>
    <w:rsid w:val="00C45376"/>
    <w:rsid w:val="00C9028F"/>
    <w:rsid w:val="00CA0416"/>
    <w:rsid w:val="00CB1125"/>
    <w:rsid w:val="00CB4E80"/>
    <w:rsid w:val="00CD042E"/>
    <w:rsid w:val="00CD37DD"/>
    <w:rsid w:val="00CF2560"/>
    <w:rsid w:val="00CF5B46"/>
    <w:rsid w:val="00D441BE"/>
    <w:rsid w:val="00D46B68"/>
    <w:rsid w:val="00D542A5"/>
    <w:rsid w:val="00D854C0"/>
    <w:rsid w:val="00DC3D47"/>
    <w:rsid w:val="00DD77DA"/>
    <w:rsid w:val="00E06C61"/>
    <w:rsid w:val="00E13DB3"/>
    <w:rsid w:val="00E2408B"/>
    <w:rsid w:val="00E62CEA"/>
    <w:rsid w:val="00E72AE1"/>
    <w:rsid w:val="00EC3A15"/>
    <w:rsid w:val="00ED6A7A"/>
    <w:rsid w:val="00EE4C36"/>
    <w:rsid w:val="00EF6A23"/>
    <w:rsid w:val="00F13871"/>
    <w:rsid w:val="00F346CE"/>
    <w:rsid w:val="00F34F98"/>
    <w:rsid w:val="00F40540"/>
    <w:rsid w:val="00F67402"/>
    <w:rsid w:val="00F766A2"/>
    <w:rsid w:val="00F9451D"/>
    <w:rsid w:val="00FF384C"/>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rec/T-REC-X.1150-202403-I/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T/dfs/seclab/Pages/default.aspx"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u.zoom.us/webinar/register/WN_UIov8n3hRNC9A5X1j9Hw4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rec/T-REC-X.1150-202403-I/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webinars/dfs/20250326/Pages/default.aspx" TargetMode="External"/><Relationship Id="rId23" Type="http://schemas.openxmlformats.org/officeDocument/2006/relationships/footer" Target="footer3.xml"/><Relationship Id="rId10" Type="http://schemas.openxmlformats.org/officeDocument/2006/relationships/hyperlink" Target="https://www.itu.int/en/ITU-T/dfs/seclab/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dfs/Pages/share-platform.aspx"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79</TotalTime>
  <Pages>2</Pages>
  <Words>781</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6061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2025-06-20T12:29:00Z</cp:lastPrinted>
  <dcterms:created xsi:type="dcterms:W3CDTF">2025-03-13T08:14:00Z</dcterms:created>
  <dcterms:modified xsi:type="dcterms:W3CDTF">2025-06-20T12:30:00Z</dcterms:modified>
</cp:coreProperties>
</file>