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275"/>
        <w:gridCol w:w="3599"/>
        <w:gridCol w:w="3064"/>
        <w:gridCol w:w="1985"/>
      </w:tblGrid>
      <w:tr w:rsidR="00B301D4" w:rsidRPr="003D69B8" w14:paraId="0E8C71DF" w14:textId="77777777" w:rsidTr="00B301D4">
        <w:trPr>
          <w:cantSplit/>
          <w:trHeight w:val="15"/>
        </w:trPr>
        <w:tc>
          <w:tcPr>
            <w:tcW w:w="1275" w:type="dxa"/>
            <w:vAlign w:val="center"/>
          </w:tcPr>
          <w:p w14:paraId="3A5475AA" w14:textId="77777777" w:rsidR="00B301D4" w:rsidRPr="003D69B8" w:rsidRDefault="00B301D4" w:rsidP="00D402C7">
            <w:pPr>
              <w:spacing w:before="0"/>
              <w:rPr>
                <w:rFonts w:cs="Times New Roman Bold"/>
                <w:b/>
                <w:bCs/>
                <w:smallCaps/>
                <w:sz w:val="26"/>
                <w:szCs w:val="26"/>
              </w:rPr>
            </w:pPr>
            <w:r w:rsidRPr="003D69B8">
              <w:rPr>
                <w:noProof/>
              </w:rPr>
              <w:drawing>
                <wp:inline distT="0" distB="0" distL="0" distR="0" wp14:anchorId="3CF941BE" wp14:editId="5B0A1BE4">
                  <wp:extent cx="833965" cy="842003"/>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875" cy="859076"/>
                          </a:xfrm>
                          <a:prstGeom prst="rect">
                            <a:avLst/>
                          </a:prstGeom>
                          <a:noFill/>
                          <a:ln>
                            <a:noFill/>
                          </a:ln>
                        </pic:spPr>
                      </pic:pic>
                    </a:graphicData>
                  </a:graphic>
                </wp:inline>
              </w:drawing>
            </w:r>
          </w:p>
        </w:tc>
        <w:tc>
          <w:tcPr>
            <w:tcW w:w="6663" w:type="dxa"/>
            <w:gridSpan w:val="2"/>
            <w:vAlign w:val="center"/>
          </w:tcPr>
          <w:p w14:paraId="5532D160" w14:textId="77777777" w:rsidR="00B301D4" w:rsidRPr="003D69B8" w:rsidRDefault="00B301D4" w:rsidP="00B301D4">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99728D1" w14:textId="77777777" w:rsidR="00B301D4" w:rsidRPr="003D69B8" w:rsidRDefault="00B301D4" w:rsidP="00B301D4">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5" w:type="dxa"/>
            <w:vAlign w:val="center"/>
          </w:tcPr>
          <w:p w14:paraId="5705A4B4" w14:textId="77777777" w:rsidR="00B301D4" w:rsidRPr="003D69B8" w:rsidRDefault="00B301D4" w:rsidP="00B301D4">
            <w:pPr>
              <w:spacing w:before="0"/>
              <w:jc w:val="center"/>
              <w:rPr>
                <w:rFonts w:ascii="Verdana" w:hAnsi="Verdana"/>
                <w:color w:val="FFFFFF"/>
                <w:sz w:val="26"/>
                <w:szCs w:val="26"/>
                <w:lang w:eastAsia="zh-CN"/>
              </w:rPr>
            </w:pPr>
          </w:p>
        </w:tc>
      </w:tr>
      <w:tr w:rsidR="00AC3F9D" w:rsidRPr="00F20D70" w14:paraId="13DA6A52" w14:textId="77777777" w:rsidTr="00B301D4">
        <w:tblPrEx>
          <w:tblCellMar>
            <w:left w:w="108" w:type="dxa"/>
            <w:right w:w="108" w:type="dxa"/>
          </w:tblCellMar>
        </w:tblPrEx>
        <w:trPr>
          <w:cantSplit/>
          <w:trHeight w:val="80"/>
        </w:trPr>
        <w:tc>
          <w:tcPr>
            <w:tcW w:w="4874" w:type="dxa"/>
            <w:gridSpan w:val="2"/>
            <w:vAlign w:val="center"/>
          </w:tcPr>
          <w:p w14:paraId="5CF1F0E2" w14:textId="77777777" w:rsidR="00AC3F9D" w:rsidRPr="00F20D70" w:rsidRDefault="00AC3F9D" w:rsidP="00D735DD">
            <w:pPr>
              <w:pStyle w:val="Tabletext"/>
              <w:jc w:val="right"/>
              <w:rPr>
                <w:rFonts w:asciiTheme="minorHAnsi" w:hAnsiTheme="minorHAnsi" w:cstheme="minorHAnsi"/>
                <w:sz w:val="22"/>
                <w:szCs w:val="22"/>
                <w:lang w:val="en-GB"/>
              </w:rPr>
            </w:pPr>
          </w:p>
        </w:tc>
        <w:tc>
          <w:tcPr>
            <w:tcW w:w="5049" w:type="dxa"/>
            <w:gridSpan w:val="2"/>
            <w:vAlign w:val="center"/>
          </w:tcPr>
          <w:p w14:paraId="48B2F128" w14:textId="51A907FA" w:rsidR="00AC3F9D" w:rsidRPr="00F20D70" w:rsidRDefault="00B301D4" w:rsidP="00D735DD">
            <w:pPr>
              <w:pStyle w:val="Tabletext"/>
              <w:spacing w:before="240" w:after="240"/>
              <w:ind w:left="-108"/>
              <w:rPr>
                <w:rFonts w:asciiTheme="minorHAnsi" w:hAnsiTheme="minorHAnsi" w:cstheme="minorHAnsi"/>
                <w:sz w:val="22"/>
                <w:szCs w:val="22"/>
              </w:rPr>
            </w:pPr>
            <w:r w:rsidRPr="00F20D70">
              <w:rPr>
                <w:sz w:val="22"/>
                <w:szCs w:val="22"/>
                <w:lang w:val="zh-CN"/>
              </w:rPr>
              <w:t>2025</w:t>
            </w:r>
            <w:r w:rsidRPr="00F20D70">
              <w:rPr>
                <w:sz w:val="22"/>
                <w:szCs w:val="22"/>
                <w:lang w:val="zh-CN"/>
              </w:rPr>
              <w:t>年</w:t>
            </w:r>
            <w:r w:rsidR="00F20D70" w:rsidRPr="00F20D70">
              <w:rPr>
                <w:rFonts w:hint="eastAsia"/>
                <w:sz w:val="22"/>
                <w:szCs w:val="22"/>
                <w:lang w:val="zh-CN"/>
              </w:rPr>
              <w:t>2</w:t>
            </w:r>
            <w:r w:rsidRPr="00F20D70">
              <w:rPr>
                <w:sz w:val="22"/>
                <w:szCs w:val="22"/>
                <w:lang w:val="zh-CN"/>
              </w:rPr>
              <w:t>月</w:t>
            </w:r>
            <w:r w:rsidR="006C4EB5">
              <w:rPr>
                <w:sz w:val="22"/>
                <w:szCs w:val="22"/>
              </w:rPr>
              <w:t>2</w:t>
            </w:r>
            <w:r w:rsidR="00F20D70" w:rsidRPr="00F20D70">
              <w:rPr>
                <w:rFonts w:hint="eastAsia"/>
                <w:sz w:val="22"/>
                <w:szCs w:val="22"/>
                <w:lang w:val="zh-CN"/>
              </w:rPr>
              <w:t>0</w:t>
            </w:r>
            <w:r w:rsidRPr="00F20D70">
              <w:rPr>
                <w:sz w:val="22"/>
                <w:szCs w:val="22"/>
                <w:lang w:val="zh-CN"/>
              </w:rPr>
              <w:t>日</w:t>
            </w:r>
            <w:r w:rsidRPr="00F20D70">
              <w:rPr>
                <w:rFonts w:hint="eastAsia"/>
                <w:sz w:val="22"/>
                <w:szCs w:val="22"/>
              </w:rPr>
              <w:t>，日内瓦</w:t>
            </w:r>
          </w:p>
        </w:tc>
      </w:tr>
      <w:tr w:rsidR="00B301D4" w:rsidRPr="00F20D70" w14:paraId="212478C2" w14:textId="77777777" w:rsidTr="0034721F">
        <w:tblPrEx>
          <w:tblCellMar>
            <w:left w:w="108" w:type="dxa"/>
            <w:right w:w="108" w:type="dxa"/>
          </w:tblCellMar>
        </w:tblPrEx>
        <w:trPr>
          <w:cantSplit/>
          <w:trHeight w:val="324"/>
        </w:trPr>
        <w:tc>
          <w:tcPr>
            <w:tcW w:w="1275" w:type="dxa"/>
          </w:tcPr>
          <w:p w14:paraId="3D2D76A6" w14:textId="072DE409" w:rsidR="00B301D4" w:rsidRPr="00F20D70" w:rsidRDefault="00B301D4" w:rsidP="00B301D4">
            <w:pPr>
              <w:pStyle w:val="Tabletext"/>
              <w:jc w:val="left"/>
              <w:rPr>
                <w:rFonts w:asciiTheme="minorHAnsi" w:hAnsiTheme="minorHAnsi" w:cstheme="minorHAnsi"/>
                <w:sz w:val="22"/>
                <w:szCs w:val="22"/>
              </w:rPr>
            </w:pPr>
            <w:r w:rsidRPr="006C4EB5">
              <w:rPr>
                <w:rFonts w:asciiTheme="minorHAnsi" w:hAnsiTheme="minorHAnsi" w:cstheme="minorHAnsi" w:hint="eastAsia"/>
                <w:b/>
                <w:sz w:val="22"/>
                <w:szCs w:val="22"/>
              </w:rPr>
              <w:t>文号</w:t>
            </w:r>
            <w:r w:rsidRPr="00F20D70">
              <w:rPr>
                <w:rFonts w:asciiTheme="minorHAnsi" w:hAnsiTheme="minorHAnsi" w:cstheme="minorHAnsi" w:hint="eastAsia"/>
                <w:b/>
                <w:sz w:val="22"/>
                <w:szCs w:val="22"/>
              </w:rPr>
              <w:t>：</w:t>
            </w:r>
          </w:p>
        </w:tc>
        <w:tc>
          <w:tcPr>
            <w:tcW w:w="3599" w:type="dxa"/>
          </w:tcPr>
          <w:p w14:paraId="422BC719" w14:textId="77777777" w:rsidR="00F20D70" w:rsidRDefault="001F25CE" w:rsidP="0034721F">
            <w:pPr>
              <w:pStyle w:val="Tabletext"/>
              <w:rPr>
                <w:b/>
                <w:bCs/>
                <w:sz w:val="22"/>
                <w:szCs w:val="22"/>
              </w:rPr>
            </w:pPr>
            <w:r w:rsidRPr="00F20D70">
              <w:rPr>
                <w:b/>
                <w:bCs/>
                <w:sz w:val="22"/>
                <w:szCs w:val="22"/>
                <w:lang w:val="zh-CN"/>
              </w:rPr>
              <w:t>电信标准化局第</w:t>
            </w:r>
            <w:r w:rsidR="006C4EB5">
              <w:rPr>
                <w:b/>
                <w:bCs/>
                <w:sz w:val="22"/>
                <w:szCs w:val="22"/>
              </w:rPr>
              <w:t>30</w:t>
            </w:r>
            <w:r w:rsidRPr="00F20D70">
              <w:rPr>
                <w:b/>
                <w:bCs/>
                <w:sz w:val="22"/>
                <w:szCs w:val="22"/>
                <w:lang w:val="zh-CN"/>
              </w:rPr>
              <w:t>号通函</w:t>
            </w:r>
          </w:p>
          <w:p w14:paraId="339D1BD7" w14:textId="0E8F5EE3" w:rsidR="006C4EB5" w:rsidRPr="006C4EB5" w:rsidRDefault="006C4EB5" w:rsidP="0034721F">
            <w:pPr>
              <w:pStyle w:val="Tabletext"/>
              <w:rPr>
                <w:rFonts w:asciiTheme="minorHAnsi" w:hAnsiTheme="minorHAnsi" w:cstheme="minorHAnsi"/>
                <w:b/>
                <w:bCs/>
                <w:sz w:val="22"/>
                <w:szCs w:val="22"/>
              </w:rPr>
            </w:pPr>
            <w:r>
              <w:rPr>
                <w:rFonts w:cs="Calibri"/>
                <w:b/>
                <w:bCs/>
                <w:sz w:val="22"/>
                <w:szCs w:val="22"/>
              </w:rPr>
              <w:t>Events/MM</w:t>
            </w:r>
          </w:p>
        </w:tc>
        <w:tc>
          <w:tcPr>
            <w:tcW w:w="5049" w:type="dxa"/>
            <w:gridSpan w:val="2"/>
            <w:vMerge w:val="restart"/>
          </w:tcPr>
          <w:p w14:paraId="7B07AD59" w14:textId="77777777" w:rsidR="00B301D4" w:rsidRPr="00F20D70" w:rsidRDefault="00B301D4" w:rsidP="00B301D4">
            <w:pPr>
              <w:tabs>
                <w:tab w:val="clear" w:pos="794"/>
                <w:tab w:val="clear" w:pos="1191"/>
                <w:tab w:val="clear" w:pos="1588"/>
                <w:tab w:val="clear" w:pos="1985"/>
                <w:tab w:val="left" w:pos="662"/>
              </w:tabs>
              <w:spacing w:before="0"/>
              <w:ind w:left="283" w:hanging="271"/>
              <w:rPr>
                <w:rFonts w:cstheme="minorHAnsi"/>
                <w:sz w:val="22"/>
                <w:szCs w:val="22"/>
              </w:rPr>
            </w:pPr>
            <w:r w:rsidRPr="00F20D70">
              <w:rPr>
                <w:b/>
                <w:bCs/>
                <w:sz w:val="22"/>
                <w:szCs w:val="22"/>
                <w:lang w:val="zh-CN"/>
              </w:rPr>
              <w:t>致：</w:t>
            </w:r>
          </w:p>
          <w:p w14:paraId="7092202C" w14:textId="77777777" w:rsidR="00B301D4" w:rsidRPr="00F20D70" w:rsidRDefault="00B301D4"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sidRPr="00F20D70">
              <w:rPr>
                <w:rFonts w:hint="eastAsia"/>
                <w:sz w:val="22"/>
                <w:szCs w:val="22"/>
                <w:lang w:val="zh-CN"/>
              </w:rPr>
              <w:t>国际电联各成员国主管部门</w:t>
            </w:r>
            <w:r w:rsidRPr="00F20D70">
              <w:rPr>
                <w:sz w:val="22"/>
                <w:szCs w:val="22"/>
                <w:lang w:val="zh-CN"/>
              </w:rPr>
              <w:t>；</w:t>
            </w:r>
          </w:p>
          <w:p w14:paraId="7B8DF8AB" w14:textId="74598245" w:rsidR="00B301D4" w:rsidRPr="00F20D70" w:rsidRDefault="00B301D4" w:rsidP="00B301D4">
            <w:pPr>
              <w:pStyle w:val="Tabletext"/>
              <w:tabs>
                <w:tab w:val="clear" w:pos="284"/>
                <w:tab w:val="left" w:pos="520"/>
              </w:tabs>
              <w:spacing w:before="0" w:after="0"/>
              <w:ind w:left="473" w:hanging="419"/>
              <w:rPr>
                <w:rFonts w:asciiTheme="minorHAnsi" w:hAnsiTheme="minorHAnsi" w:cstheme="minorHAnsi"/>
                <w:sz w:val="22"/>
                <w:szCs w:val="22"/>
              </w:rPr>
            </w:pPr>
            <w:r w:rsidRPr="00F20D70">
              <w:rPr>
                <w:rFonts w:asciiTheme="minorHAnsi" w:hAnsiTheme="minorHAnsi" w:cstheme="minorHAnsi"/>
                <w:sz w:val="22"/>
                <w:szCs w:val="22"/>
              </w:rPr>
              <w:t>-</w:t>
            </w:r>
            <w:r w:rsidRPr="00F20D70">
              <w:rPr>
                <w:rFonts w:asciiTheme="minorHAnsi" w:hAnsiTheme="minorHAnsi" w:cstheme="minorHAnsi"/>
                <w:sz w:val="22"/>
                <w:szCs w:val="22"/>
              </w:rPr>
              <w:tab/>
            </w:r>
            <w:r w:rsidR="006C4EB5" w:rsidRPr="00AB77C7">
              <w:rPr>
                <w:rFonts w:asciiTheme="minorHAnsi" w:hAnsiTheme="minorHAnsi" w:cstheme="minorHAnsi" w:hint="eastAsia"/>
                <w:sz w:val="22"/>
                <w:szCs w:val="22"/>
              </w:rPr>
              <w:t>巴勒斯坦国（第</w:t>
            </w:r>
            <w:r w:rsidR="006C4EB5" w:rsidRPr="00AB77C7">
              <w:rPr>
                <w:rFonts w:asciiTheme="minorHAnsi" w:hAnsiTheme="minorHAnsi" w:cstheme="minorHAnsi" w:hint="eastAsia"/>
                <w:sz w:val="22"/>
                <w:szCs w:val="22"/>
              </w:rPr>
              <w:t>99</w:t>
            </w:r>
            <w:r w:rsidR="006C4EB5" w:rsidRPr="00AB77C7">
              <w:rPr>
                <w:rFonts w:asciiTheme="minorHAnsi" w:hAnsiTheme="minorHAnsi" w:cstheme="minorHAnsi" w:hint="eastAsia"/>
                <w:sz w:val="22"/>
                <w:szCs w:val="22"/>
              </w:rPr>
              <w:t>号决议（</w:t>
            </w:r>
            <w:r w:rsidR="006C4EB5" w:rsidRPr="00AB77C7">
              <w:rPr>
                <w:rFonts w:asciiTheme="minorHAnsi" w:hAnsiTheme="minorHAnsi" w:cstheme="minorHAnsi" w:hint="eastAsia"/>
                <w:sz w:val="22"/>
                <w:szCs w:val="22"/>
              </w:rPr>
              <w:t>2018</w:t>
            </w:r>
            <w:r w:rsidR="006C4EB5" w:rsidRPr="00AB77C7">
              <w:rPr>
                <w:rFonts w:asciiTheme="minorHAnsi" w:hAnsiTheme="minorHAnsi" w:cstheme="minorHAnsi" w:hint="eastAsia"/>
                <w:sz w:val="22"/>
                <w:szCs w:val="22"/>
              </w:rPr>
              <w:t>年，迪拜，修订版）</w:t>
            </w:r>
            <w:proofErr w:type="gramStart"/>
            <w:r w:rsidR="006C4EB5" w:rsidRPr="00AB77C7">
              <w:rPr>
                <w:rFonts w:asciiTheme="minorHAnsi" w:hAnsiTheme="minorHAnsi" w:cstheme="minorHAnsi" w:hint="eastAsia"/>
                <w:sz w:val="22"/>
                <w:szCs w:val="22"/>
              </w:rPr>
              <w:t>）</w:t>
            </w:r>
            <w:r w:rsidR="006C4EB5">
              <w:rPr>
                <w:rFonts w:asciiTheme="minorHAnsi" w:hAnsiTheme="minorHAnsi" w:cstheme="minorHAnsi" w:hint="eastAsia"/>
                <w:sz w:val="22"/>
                <w:szCs w:val="22"/>
              </w:rPr>
              <w:t>；</w:t>
            </w:r>
            <w:proofErr w:type="gramEnd"/>
          </w:p>
          <w:p w14:paraId="0C7FD05A" w14:textId="66CD4AD8" w:rsidR="00B301D4" w:rsidRPr="00F20D70" w:rsidRDefault="00B301D4" w:rsidP="00B301D4">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F20D70">
              <w:rPr>
                <w:rFonts w:asciiTheme="minorHAnsi" w:hAnsiTheme="minorHAnsi" w:cstheme="minorHAnsi"/>
                <w:sz w:val="22"/>
                <w:szCs w:val="22"/>
              </w:rPr>
              <w:t>-</w:t>
            </w:r>
            <w:r w:rsidRPr="00F20D70">
              <w:rPr>
                <w:rFonts w:asciiTheme="minorHAnsi" w:hAnsiTheme="minorHAnsi" w:cstheme="minorHAnsi"/>
                <w:sz w:val="22"/>
                <w:szCs w:val="22"/>
              </w:rPr>
              <w:tab/>
            </w:r>
            <w:r w:rsidR="006C4EB5" w:rsidRPr="00B6399C">
              <w:rPr>
                <w:sz w:val="22"/>
                <w:szCs w:val="22"/>
                <w:lang w:val="zh-CN"/>
              </w:rPr>
              <w:t>ITU-</w:t>
            </w:r>
            <w:proofErr w:type="gramStart"/>
            <w:r w:rsidR="006C4EB5" w:rsidRPr="00B6399C">
              <w:rPr>
                <w:sz w:val="22"/>
                <w:szCs w:val="22"/>
                <w:lang w:val="zh-CN"/>
              </w:rPr>
              <w:t>T</w:t>
            </w:r>
            <w:r w:rsidR="006C4EB5" w:rsidRPr="00B6399C">
              <w:rPr>
                <w:sz w:val="22"/>
                <w:szCs w:val="22"/>
                <w:lang w:val="zh-CN"/>
              </w:rPr>
              <w:t>部门成员</w:t>
            </w:r>
            <w:r w:rsidR="006C4EB5">
              <w:rPr>
                <w:rFonts w:hint="eastAsia"/>
                <w:sz w:val="22"/>
                <w:szCs w:val="22"/>
                <w:lang w:val="zh-CN"/>
              </w:rPr>
              <w:t>；</w:t>
            </w:r>
            <w:proofErr w:type="gramEnd"/>
          </w:p>
          <w:p w14:paraId="1E68BDB3" w14:textId="7A9A685D" w:rsidR="00B301D4" w:rsidRPr="00F20D70" w:rsidRDefault="00B301D4" w:rsidP="00B301D4">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F20D70">
              <w:rPr>
                <w:rFonts w:asciiTheme="minorHAnsi" w:hAnsiTheme="minorHAnsi" w:cstheme="minorHAnsi"/>
                <w:sz w:val="22"/>
                <w:szCs w:val="22"/>
              </w:rPr>
              <w:t>-</w:t>
            </w:r>
            <w:r w:rsidRPr="00F20D70">
              <w:rPr>
                <w:rFonts w:asciiTheme="minorHAnsi" w:hAnsiTheme="minorHAnsi" w:cstheme="minorHAnsi"/>
                <w:sz w:val="22"/>
                <w:szCs w:val="22"/>
              </w:rPr>
              <w:tab/>
            </w:r>
            <w:r w:rsidR="006C4EB5" w:rsidRPr="00B6399C">
              <w:rPr>
                <w:sz w:val="22"/>
                <w:szCs w:val="22"/>
                <w:lang w:val="zh-CN"/>
              </w:rPr>
              <w:t>ITU-</w:t>
            </w:r>
            <w:proofErr w:type="gramStart"/>
            <w:r w:rsidR="006C4EB5" w:rsidRPr="00B6399C">
              <w:rPr>
                <w:sz w:val="22"/>
                <w:szCs w:val="22"/>
                <w:lang w:val="zh-CN"/>
              </w:rPr>
              <w:t>T</w:t>
            </w:r>
            <w:r w:rsidR="006C4EB5" w:rsidRPr="00B6399C">
              <w:rPr>
                <w:sz w:val="22"/>
                <w:szCs w:val="22"/>
                <w:lang w:val="zh-CN"/>
              </w:rPr>
              <w:t>部门</w:t>
            </w:r>
            <w:r w:rsidR="006C4EB5">
              <w:rPr>
                <w:rFonts w:hint="eastAsia"/>
                <w:sz w:val="22"/>
                <w:szCs w:val="22"/>
              </w:rPr>
              <w:t>准</w:t>
            </w:r>
            <w:r w:rsidR="006C4EB5" w:rsidRPr="00B6399C">
              <w:rPr>
                <w:sz w:val="22"/>
                <w:szCs w:val="22"/>
                <w:lang w:val="zh-CN"/>
              </w:rPr>
              <w:t>成员</w:t>
            </w:r>
            <w:r w:rsidRPr="00F20D70">
              <w:rPr>
                <w:sz w:val="22"/>
                <w:szCs w:val="22"/>
                <w:lang w:val="zh-CN"/>
              </w:rPr>
              <w:t>；</w:t>
            </w:r>
            <w:proofErr w:type="gramEnd"/>
          </w:p>
          <w:p w14:paraId="33424DED" w14:textId="04CF0817" w:rsidR="00B301D4" w:rsidRDefault="00B301D4" w:rsidP="00B301D4">
            <w:pPr>
              <w:pStyle w:val="Tabletext"/>
              <w:tabs>
                <w:tab w:val="clear" w:pos="284"/>
                <w:tab w:val="clear" w:pos="567"/>
                <w:tab w:val="left" w:pos="501"/>
                <w:tab w:val="left" w:pos="627"/>
              </w:tabs>
              <w:spacing w:after="0"/>
              <w:ind w:left="473" w:hanging="433"/>
              <w:rPr>
                <w:sz w:val="22"/>
                <w:szCs w:val="22"/>
              </w:rPr>
            </w:pPr>
            <w:r w:rsidRPr="00F20D70">
              <w:rPr>
                <w:rFonts w:asciiTheme="minorHAnsi" w:hAnsiTheme="minorHAnsi" w:cstheme="minorHAnsi"/>
                <w:sz w:val="22"/>
                <w:szCs w:val="22"/>
              </w:rPr>
              <w:t>-</w:t>
            </w:r>
            <w:r w:rsidRPr="00F20D70">
              <w:rPr>
                <w:rFonts w:asciiTheme="minorHAnsi" w:hAnsiTheme="minorHAnsi" w:cstheme="minorHAnsi"/>
                <w:sz w:val="22"/>
                <w:szCs w:val="22"/>
              </w:rPr>
              <w:tab/>
            </w:r>
            <w:r w:rsidR="006C4EB5" w:rsidRPr="00B6399C">
              <w:rPr>
                <w:sz w:val="22"/>
                <w:szCs w:val="22"/>
                <w:lang w:val="zh-CN"/>
              </w:rPr>
              <w:t>ITU-</w:t>
            </w:r>
            <w:proofErr w:type="gramStart"/>
            <w:r w:rsidR="006C4EB5" w:rsidRPr="00B6399C">
              <w:rPr>
                <w:sz w:val="22"/>
                <w:szCs w:val="22"/>
                <w:lang w:val="zh-CN"/>
              </w:rPr>
              <w:t>T</w:t>
            </w:r>
            <w:r w:rsidR="006C4EB5" w:rsidRPr="00B6399C">
              <w:rPr>
                <w:sz w:val="22"/>
                <w:szCs w:val="22"/>
                <w:lang w:val="zh-CN"/>
              </w:rPr>
              <w:t>学术成员；</w:t>
            </w:r>
            <w:proofErr w:type="gramEnd"/>
          </w:p>
          <w:p w14:paraId="7C0C7BBA" w14:textId="77777777" w:rsidR="006C4EB5" w:rsidRPr="00B6399C" w:rsidRDefault="006C4EB5" w:rsidP="006C4EB5">
            <w:pPr>
              <w:pStyle w:val="Tabletext"/>
              <w:ind w:left="283" w:hanging="271"/>
              <w:rPr>
                <w:rFonts w:asciiTheme="minorHAnsi" w:hAnsiTheme="minorHAnsi" w:cstheme="minorHAnsi"/>
                <w:sz w:val="22"/>
                <w:szCs w:val="22"/>
              </w:rPr>
            </w:pPr>
            <w:r w:rsidRPr="00B6399C">
              <w:rPr>
                <w:b/>
                <w:bCs/>
                <w:sz w:val="22"/>
                <w:szCs w:val="22"/>
                <w:lang w:val="zh-CN"/>
              </w:rPr>
              <w:t>抄送：</w:t>
            </w:r>
          </w:p>
          <w:p w14:paraId="5AA74E3D" w14:textId="77777777" w:rsidR="006C4EB5" w:rsidRPr="00B6399C" w:rsidRDefault="00B301D4" w:rsidP="006C4EB5">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F20D70">
              <w:rPr>
                <w:rFonts w:asciiTheme="minorHAnsi" w:hAnsiTheme="minorHAnsi" w:cstheme="minorHAnsi"/>
                <w:sz w:val="22"/>
                <w:szCs w:val="22"/>
              </w:rPr>
              <w:t>-</w:t>
            </w:r>
            <w:r w:rsidRPr="00F20D70">
              <w:rPr>
                <w:rFonts w:asciiTheme="minorHAnsi" w:hAnsiTheme="minorHAnsi" w:cstheme="minorHAnsi"/>
                <w:sz w:val="22"/>
                <w:szCs w:val="22"/>
              </w:rPr>
              <w:tab/>
            </w:r>
            <w:proofErr w:type="gramStart"/>
            <w:r w:rsidR="006C4EB5">
              <w:rPr>
                <w:rFonts w:asciiTheme="minorHAnsi" w:hAnsiTheme="minorHAnsi" w:cstheme="minorHAnsi" w:hint="eastAsia"/>
                <w:sz w:val="22"/>
                <w:szCs w:val="22"/>
              </w:rPr>
              <w:t>各研究组</w:t>
            </w:r>
            <w:r w:rsidR="006C4EB5" w:rsidRPr="00B6399C">
              <w:rPr>
                <w:sz w:val="22"/>
                <w:szCs w:val="22"/>
                <w:lang w:val="zh-CN"/>
              </w:rPr>
              <w:t>正副主席；</w:t>
            </w:r>
            <w:proofErr w:type="gramEnd"/>
          </w:p>
          <w:p w14:paraId="5F715545" w14:textId="77777777" w:rsidR="006C4EB5" w:rsidRPr="00B6399C" w:rsidRDefault="006C4EB5" w:rsidP="006C4EB5">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B6399C">
              <w:rPr>
                <w:rFonts w:asciiTheme="minorHAnsi" w:hAnsiTheme="minorHAnsi" w:cstheme="minorHAnsi"/>
                <w:sz w:val="22"/>
                <w:szCs w:val="22"/>
              </w:rPr>
              <w:t>-</w:t>
            </w:r>
            <w:r w:rsidRPr="00B6399C">
              <w:rPr>
                <w:rFonts w:asciiTheme="minorHAnsi" w:hAnsiTheme="minorHAnsi" w:cstheme="minorHAnsi"/>
                <w:sz w:val="22"/>
                <w:szCs w:val="22"/>
              </w:rPr>
              <w:tab/>
            </w:r>
            <w:proofErr w:type="gramStart"/>
            <w:r w:rsidRPr="00B6399C">
              <w:rPr>
                <w:sz w:val="22"/>
                <w:szCs w:val="22"/>
                <w:lang w:val="zh-CN"/>
              </w:rPr>
              <w:t>电信</w:t>
            </w:r>
            <w:r w:rsidRPr="00B6399C">
              <w:rPr>
                <w:rFonts w:asciiTheme="minorHAnsi" w:hAnsiTheme="minorHAnsi" w:cstheme="minorHAnsi"/>
                <w:sz w:val="22"/>
                <w:szCs w:val="22"/>
              </w:rPr>
              <w:t>发展</w:t>
            </w:r>
            <w:r w:rsidRPr="00B6399C">
              <w:rPr>
                <w:sz w:val="22"/>
                <w:szCs w:val="22"/>
                <w:lang w:val="zh-CN"/>
              </w:rPr>
              <w:t>局主任；</w:t>
            </w:r>
            <w:proofErr w:type="gramEnd"/>
          </w:p>
          <w:p w14:paraId="1D92BB34" w14:textId="4077C532" w:rsidR="00B301D4" w:rsidRPr="006C4EB5" w:rsidRDefault="006C4EB5" w:rsidP="00570C7F">
            <w:pPr>
              <w:pStyle w:val="Tabletext"/>
              <w:tabs>
                <w:tab w:val="clear" w:pos="284"/>
                <w:tab w:val="clear" w:pos="567"/>
                <w:tab w:val="left" w:pos="501"/>
                <w:tab w:val="left" w:pos="627"/>
              </w:tabs>
              <w:spacing w:before="0" w:after="120" w:line="240" w:lineRule="auto"/>
              <w:ind w:left="471" w:hanging="431"/>
              <w:rPr>
                <w:sz w:val="22"/>
                <w:szCs w:val="22"/>
              </w:rPr>
            </w:pPr>
            <w:r w:rsidRPr="00B6399C">
              <w:rPr>
                <w:rFonts w:asciiTheme="minorHAnsi" w:hAnsiTheme="minorHAnsi" w:cstheme="minorHAnsi"/>
                <w:sz w:val="22"/>
                <w:szCs w:val="22"/>
              </w:rPr>
              <w:t>-</w:t>
            </w:r>
            <w:r w:rsidRPr="00B6399C">
              <w:rPr>
                <w:rFonts w:asciiTheme="minorHAnsi" w:hAnsiTheme="minorHAnsi" w:cstheme="minorHAnsi"/>
                <w:sz w:val="22"/>
                <w:szCs w:val="22"/>
              </w:rPr>
              <w:tab/>
            </w:r>
            <w:r w:rsidRPr="00B6399C">
              <w:rPr>
                <w:rFonts w:asciiTheme="minorHAnsi" w:hAnsiTheme="minorHAnsi" w:cstheme="minorHAnsi"/>
                <w:sz w:val="22"/>
                <w:szCs w:val="22"/>
              </w:rPr>
              <w:t>无线电通信</w:t>
            </w:r>
            <w:r w:rsidRPr="00B6399C">
              <w:rPr>
                <w:sz w:val="22"/>
                <w:szCs w:val="22"/>
                <w:lang w:val="zh-CN"/>
              </w:rPr>
              <w:t>局主任</w:t>
            </w:r>
          </w:p>
        </w:tc>
      </w:tr>
      <w:tr w:rsidR="00B301D4" w:rsidRPr="00F20D70" w14:paraId="71524A86" w14:textId="77777777" w:rsidTr="00B301D4">
        <w:tblPrEx>
          <w:tblCellMar>
            <w:left w:w="108" w:type="dxa"/>
            <w:right w:w="108" w:type="dxa"/>
          </w:tblCellMar>
        </w:tblPrEx>
        <w:trPr>
          <w:cantSplit/>
          <w:trHeight w:val="221"/>
        </w:trPr>
        <w:tc>
          <w:tcPr>
            <w:tcW w:w="1275" w:type="dxa"/>
          </w:tcPr>
          <w:p w14:paraId="0F396D2B" w14:textId="1D8FFA99" w:rsidR="00B301D4" w:rsidRPr="00F20D70" w:rsidRDefault="00B301D4" w:rsidP="00B301D4">
            <w:pPr>
              <w:pStyle w:val="Tabletext"/>
              <w:jc w:val="left"/>
              <w:rPr>
                <w:rFonts w:asciiTheme="minorHAnsi" w:hAnsiTheme="minorHAnsi" w:cstheme="minorHAnsi"/>
                <w:sz w:val="22"/>
                <w:szCs w:val="22"/>
              </w:rPr>
            </w:pPr>
            <w:r w:rsidRPr="006C4EB5">
              <w:rPr>
                <w:rFonts w:asciiTheme="minorHAnsi" w:hAnsiTheme="minorHAnsi" w:cstheme="minorHAnsi" w:hint="eastAsia"/>
                <w:bCs/>
                <w:sz w:val="22"/>
                <w:szCs w:val="22"/>
              </w:rPr>
              <w:t>电话</w:t>
            </w:r>
            <w:r w:rsidRPr="00F20D70">
              <w:rPr>
                <w:rFonts w:asciiTheme="minorHAnsi" w:hAnsiTheme="minorHAnsi" w:cstheme="minorHAnsi" w:hint="eastAsia"/>
                <w:b/>
                <w:sz w:val="22"/>
                <w:szCs w:val="22"/>
              </w:rPr>
              <w:t>：</w:t>
            </w:r>
          </w:p>
        </w:tc>
        <w:tc>
          <w:tcPr>
            <w:tcW w:w="3599" w:type="dxa"/>
          </w:tcPr>
          <w:p w14:paraId="291DB110" w14:textId="3EFE7AEB" w:rsidR="00B301D4" w:rsidRPr="00F20D70" w:rsidRDefault="006C4EB5" w:rsidP="00B301D4">
            <w:pPr>
              <w:pStyle w:val="Tabletext"/>
              <w:rPr>
                <w:rFonts w:asciiTheme="minorHAnsi" w:hAnsiTheme="minorHAnsi" w:cstheme="minorHAnsi"/>
                <w:b/>
                <w:sz w:val="22"/>
                <w:szCs w:val="22"/>
              </w:rPr>
            </w:pPr>
            <w:r>
              <w:rPr>
                <w:color w:val="000000"/>
                <w:lang w:val="zh-CN"/>
              </w:rPr>
              <w:t>+41 22 730 5697</w:t>
            </w:r>
          </w:p>
        </w:tc>
        <w:tc>
          <w:tcPr>
            <w:tcW w:w="5049" w:type="dxa"/>
            <w:gridSpan w:val="2"/>
            <w:vMerge/>
          </w:tcPr>
          <w:p w14:paraId="731E6D41" w14:textId="77777777" w:rsidR="00B301D4" w:rsidRPr="00F20D70" w:rsidRDefault="00B301D4" w:rsidP="00B301D4">
            <w:pPr>
              <w:pStyle w:val="Tabletext"/>
              <w:ind w:left="142" w:hanging="391"/>
              <w:rPr>
                <w:rFonts w:asciiTheme="minorHAnsi" w:hAnsiTheme="minorHAnsi" w:cstheme="minorHAnsi"/>
                <w:sz w:val="22"/>
                <w:szCs w:val="22"/>
              </w:rPr>
            </w:pPr>
          </w:p>
        </w:tc>
      </w:tr>
      <w:tr w:rsidR="00B301D4" w:rsidRPr="00F20D70" w14:paraId="4304A3CE" w14:textId="77777777" w:rsidTr="00B301D4">
        <w:tblPrEx>
          <w:tblCellMar>
            <w:left w:w="108" w:type="dxa"/>
            <w:right w:w="108" w:type="dxa"/>
          </w:tblCellMar>
        </w:tblPrEx>
        <w:trPr>
          <w:cantSplit/>
          <w:trHeight w:val="282"/>
        </w:trPr>
        <w:tc>
          <w:tcPr>
            <w:tcW w:w="1275" w:type="dxa"/>
          </w:tcPr>
          <w:p w14:paraId="7D01F6E1" w14:textId="0D2D0B35" w:rsidR="00B301D4" w:rsidRPr="00F20D70" w:rsidRDefault="00B301D4" w:rsidP="00B301D4">
            <w:pPr>
              <w:pStyle w:val="Tabletext"/>
              <w:jc w:val="left"/>
              <w:rPr>
                <w:rFonts w:asciiTheme="minorHAnsi" w:hAnsiTheme="minorHAnsi" w:cstheme="minorHAnsi"/>
                <w:b/>
                <w:sz w:val="22"/>
                <w:szCs w:val="22"/>
              </w:rPr>
            </w:pPr>
            <w:r w:rsidRPr="006C4EB5">
              <w:rPr>
                <w:rFonts w:asciiTheme="minorHAnsi" w:hAnsiTheme="minorHAnsi" w:cstheme="minorHAnsi" w:hint="eastAsia"/>
                <w:bCs/>
                <w:sz w:val="22"/>
                <w:szCs w:val="22"/>
              </w:rPr>
              <w:t>传真</w:t>
            </w:r>
            <w:r w:rsidRPr="00F20D70">
              <w:rPr>
                <w:rFonts w:asciiTheme="minorHAnsi" w:hAnsiTheme="minorHAnsi" w:cstheme="minorHAnsi" w:hint="eastAsia"/>
                <w:b/>
                <w:sz w:val="22"/>
                <w:szCs w:val="22"/>
              </w:rPr>
              <w:t>：</w:t>
            </w:r>
          </w:p>
          <w:p w14:paraId="4F690DD9" w14:textId="03CDE6DB" w:rsidR="00B301D4" w:rsidRPr="00F20D70" w:rsidRDefault="00B301D4" w:rsidP="00B301D4">
            <w:pPr>
              <w:pStyle w:val="Tabletext"/>
              <w:jc w:val="left"/>
              <w:rPr>
                <w:rFonts w:asciiTheme="minorHAnsi" w:hAnsiTheme="minorHAnsi" w:cstheme="minorHAnsi"/>
                <w:spacing w:val="-16"/>
                <w:sz w:val="22"/>
                <w:szCs w:val="22"/>
              </w:rPr>
            </w:pPr>
            <w:r w:rsidRPr="006C4EB5">
              <w:rPr>
                <w:rFonts w:asciiTheme="minorHAnsi" w:hAnsiTheme="minorHAnsi" w:cstheme="minorHAnsi" w:hint="eastAsia"/>
                <w:bCs/>
                <w:spacing w:val="-16"/>
                <w:sz w:val="22"/>
                <w:szCs w:val="22"/>
              </w:rPr>
              <w:t>电子邮件</w:t>
            </w:r>
            <w:r w:rsidRPr="00F20D70">
              <w:rPr>
                <w:rFonts w:asciiTheme="minorHAnsi" w:hAnsiTheme="minorHAnsi" w:cstheme="minorHAnsi" w:hint="eastAsia"/>
                <w:b/>
                <w:spacing w:val="-16"/>
                <w:sz w:val="22"/>
                <w:szCs w:val="22"/>
              </w:rPr>
              <w:t>：</w:t>
            </w:r>
          </w:p>
        </w:tc>
        <w:tc>
          <w:tcPr>
            <w:tcW w:w="3599" w:type="dxa"/>
          </w:tcPr>
          <w:p w14:paraId="22DC44A2" w14:textId="77777777" w:rsidR="00F20D70" w:rsidRPr="00F20D70" w:rsidRDefault="00F20D70" w:rsidP="00F20D70">
            <w:pPr>
              <w:pStyle w:val="Tabletext"/>
              <w:rPr>
                <w:rFonts w:asciiTheme="minorHAnsi" w:hAnsiTheme="minorHAnsi" w:cstheme="minorHAnsi"/>
                <w:sz w:val="22"/>
                <w:szCs w:val="22"/>
              </w:rPr>
            </w:pPr>
            <w:r w:rsidRPr="00F20D70">
              <w:rPr>
                <w:rFonts w:asciiTheme="minorHAnsi" w:hAnsiTheme="minorHAnsi" w:cstheme="minorHAnsi"/>
                <w:sz w:val="22"/>
                <w:szCs w:val="22"/>
              </w:rPr>
              <w:t>+41 22 730 5853</w:t>
            </w:r>
          </w:p>
          <w:p w14:paraId="52A6E7C6" w14:textId="2249D173" w:rsidR="00B301D4" w:rsidRPr="00F20D70" w:rsidRDefault="006C4EB5" w:rsidP="00F20D70">
            <w:pPr>
              <w:pStyle w:val="Tabletext"/>
              <w:rPr>
                <w:rFonts w:asciiTheme="minorHAnsi" w:hAnsiTheme="minorHAnsi" w:cstheme="minorHAnsi"/>
                <w:b/>
                <w:sz w:val="22"/>
                <w:szCs w:val="22"/>
              </w:rPr>
            </w:pPr>
            <w:hyperlink r:id="rId8" w:history="1">
              <w:r w:rsidRPr="009A2711">
                <w:rPr>
                  <w:rStyle w:val="Hyperlink"/>
                  <w:sz w:val="22"/>
                  <w:szCs w:val="22"/>
                </w:rPr>
                <w:t>tsbfgai4ndm@itu.int</w:t>
              </w:r>
            </w:hyperlink>
          </w:p>
        </w:tc>
        <w:tc>
          <w:tcPr>
            <w:tcW w:w="5049" w:type="dxa"/>
            <w:gridSpan w:val="2"/>
            <w:vMerge/>
          </w:tcPr>
          <w:p w14:paraId="6816854C" w14:textId="77777777" w:rsidR="00B301D4" w:rsidRPr="00F20D70" w:rsidRDefault="00B301D4" w:rsidP="00B301D4">
            <w:pPr>
              <w:pStyle w:val="Tabletext"/>
              <w:ind w:left="142" w:hanging="391"/>
              <w:rPr>
                <w:rFonts w:asciiTheme="minorHAnsi" w:hAnsiTheme="minorHAnsi" w:cstheme="minorHAnsi"/>
                <w:sz w:val="22"/>
                <w:szCs w:val="22"/>
              </w:rPr>
            </w:pPr>
          </w:p>
        </w:tc>
      </w:tr>
      <w:tr w:rsidR="00B301D4" w:rsidRPr="00F20D70" w14:paraId="2D4C25A3" w14:textId="77777777" w:rsidTr="00B301D4">
        <w:tblPrEx>
          <w:tblCellMar>
            <w:left w:w="108" w:type="dxa"/>
            <w:right w:w="108" w:type="dxa"/>
          </w:tblCellMar>
        </w:tblPrEx>
        <w:trPr>
          <w:cantSplit/>
          <w:trHeight w:val="618"/>
        </w:trPr>
        <w:tc>
          <w:tcPr>
            <w:tcW w:w="1275" w:type="dxa"/>
          </w:tcPr>
          <w:p w14:paraId="240CDE98" w14:textId="788AD6A0" w:rsidR="00B301D4" w:rsidRPr="00F20D70" w:rsidRDefault="00B301D4" w:rsidP="00B301D4">
            <w:pPr>
              <w:pStyle w:val="Tabletext"/>
              <w:rPr>
                <w:rFonts w:asciiTheme="minorHAnsi" w:hAnsiTheme="minorHAnsi" w:cstheme="minorHAnsi"/>
                <w:sz w:val="22"/>
                <w:szCs w:val="22"/>
              </w:rPr>
            </w:pPr>
            <w:r w:rsidRPr="00F20D70">
              <w:rPr>
                <w:rFonts w:asciiTheme="minorHAnsi" w:hAnsiTheme="minorHAnsi" w:cstheme="minorHAnsi" w:hint="eastAsia"/>
                <w:b/>
                <w:sz w:val="22"/>
                <w:szCs w:val="22"/>
              </w:rPr>
              <w:t>事由：</w:t>
            </w:r>
          </w:p>
        </w:tc>
        <w:tc>
          <w:tcPr>
            <w:tcW w:w="8648" w:type="dxa"/>
            <w:gridSpan w:val="3"/>
          </w:tcPr>
          <w:p w14:paraId="1CC42F02" w14:textId="48D438EA" w:rsidR="00B301D4" w:rsidRPr="00F20D70" w:rsidRDefault="006C4EB5" w:rsidP="00B301D4">
            <w:pPr>
              <w:pStyle w:val="Tabletext"/>
              <w:jc w:val="left"/>
              <w:rPr>
                <w:rFonts w:asciiTheme="minorHAnsi" w:hAnsiTheme="minorHAnsi" w:cstheme="minorHAnsi"/>
                <w:sz w:val="22"/>
                <w:szCs w:val="22"/>
              </w:rPr>
            </w:pPr>
            <w:r w:rsidRPr="00AB77C7">
              <w:rPr>
                <w:b/>
                <w:bCs/>
                <w:color w:val="000000"/>
                <w:lang w:val="zh-CN"/>
              </w:rPr>
              <w:t>国际电联</w:t>
            </w:r>
            <w:r>
              <w:rPr>
                <w:rFonts w:hint="eastAsia"/>
                <w:b/>
                <w:bCs/>
                <w:color w:val="000000"/>
                <w:lang w:val="zh-CN"/>
              </w:rPr>
              <w:t>“</w:t>
            </w:r>
            <w:r w:rsidRPr="00AB77C7">
              <w:rPr>
                <w:b/>
                <w:bCs/>
                <w:color w:val="000000"/>
                <w:lang w:val="zh-CN"/>
              </w:rPr>
              <w:t>通过人工智能解决方案</w:t>
            </w:r>
            <w:r>
              <w:rPr>
                <w:rFonts w:hint="eastAsia"/>
                <w:b/>
                <w:bCs/>
                <w:color w:val="000000"/>
                <w:lang w:val="zh-CN"/>
              </w:rPr>
              <w:t>以有韧性的方式</w:t>
            </w:r>
            <w:r w:rsidRPr="00AB77C7">
              <w:rPr>
                <w:b/>
                <w:bCs/>
                <w:color w:val="000000"/>
                <w:lang w:val="zh-CN"/>
              </w:rPr>
              <w:t>抵御自然灾害</w:t>
            </w:r>
            <w:r w:rsidRPr="00AB77C7">
              <w:rPr>
                <w:rFonts w:ascii="SimSun" w:hAnsi="SimSun"/>
                <w:b/>
                <w:bCs/>
                <w:color w:val="000000"/>
                <w:lang w:val="zh-CN"/>
              </w:rPr>
              <w:t>”</w:t>
            </w:r>
            <w:r w:rsidRPr="00AB77C7">
              <w:rPr>
                <w:b/>
                <w:bCs/>
                <w:color w:val="000000"/>
                <w:lang w:val="zh-CN"/>
              </w:rPr>
              <w:t>讲习班</w:t>
            </w:r>
            <w:r>
              <w:rPr>
                <w:b/>
                <w:bCs/>
                <w:color w:val="000000"/>
              </w:rPr>
              <w:br/>
            </w:r>
            <w:r w:rsidRPr="00AB77C7">
              <w:rPr>
                <w:b/>
                <w:bCs/>
                <w:color w:val="000000"/>
                <w:lang w:val="zh-CN"/>
              </w:rPr>
              <w:t>和通过人工智能解决方案</w:t>
            </w:r>
            <w:r>
              <w:rPr>
                <w:rFonts w:hint="eastAsia"/>
                <w:b/>
                <w:bCs/>
                <w:color w:val="000000"/>
                <w:lang w:val="zh-CN"/>
              </w:rPr>
              <w:t>以有韧性的方式</w:t>
            </w:r>
            <w:r w:rsidRPr="00AB77C7">
              <w:rPr>
                <w:b/>
                <w:bCs/>
                <w:color w:val="000000"/>
                <w:lang w:val="zh-CN"/>
              </w:rPr>
              <w:t>抵御自然灾害全球举措第</w:t>
            </w:r>
            <w:r w:rsidRPr="00AB77C7">
              <w:rPr>
                <w:b/>
                <w:bCs/>
                <w:color w:val="000000"/>
                <w:lang w:val="zh-CN"/>
              </w:rPr>
              <w:t>2</w:t>
            </w:r>
            <w:r w:rsidRPr="00AB77C7">
              <w:rPr>
                <w:b/>
                <w:bCs/>
                <w:color w:val="000000"/>
                <w:lang w:val="zh-CN"/>
              </w:rPr>
              <w:t>次会议</w:t>
            </w:r>
            <w:r>
              <w:rPr>
                <w:b/>
                <w:bCs/>
                <w:color w:val="000000"/>
              </w:rPr>
              <w:br/>
            </w:r>
            <w:r w:rsidRPr="00AB77C7">
              <w:rPr>
                <w:b/>
                <w:bCs/>
                <w:color w:val="000000"/>
                <w:lang w:val="zh-CN"/>
              </w:rPr>
              <w:t>（</w:t>
            </w:r>
            <w:r w:rsidRPr="00AB77C7">
              <w:rPr>
                <w:b/>
                <w:bCs/>
                <w:color w:val="000000"/>
                <w:lang w:val="zh-CN"/>
              </w:rPr>
              <w:t>2025</w:t>
            </w:r>
            <w:r w:rsidRPr="00AB77C7">
              <w:rPr>
                <w:b/>
                <w:bCs/>
                <w:color w:val="000000"/>
                <w:lang w:val="zh-CN"/>
              </w:rPr>
              <w:t>年</w:t>
            </w:r>
            <w:r w:rsidRPr="00AB77C7">
              <w:rPr>
                <w:b/>
                <w:bCs/>
                <w:color w:val="000000"/>
                <w:lang w:val="zh-CN"/>
              </w:rPr>
              <w:t>5</w:t>
            </w:r>
            <w:r w:rsidRPr="00AB77C7">
              <w:rPr>
                <w:b/>
                <w:bCs/>
                <w:color w:val="000000"/>
                <w:lang w:val="zh-CN"/>
              </w:rPr>
              <w:t>月</w:t>
            </w:r>
            <w:r w:rsidRPr="00AB77C7">
              <w:rPr>
                <w:b/>
                <w:bCs/>
                <w:color w:val="000000"/>
                <w:lang w:val="zh-CN"/>
              </w:rPr>
              <w:t>8-9</w:t>
            </w:r>
            <w:r w:rsidRPr="00AB77C7">
              <w:rPr>
                <w:b/>
                <w:bCs/>
                <w:color w:val="000000"/>
                <w:lang w:val="zh-CN"/>
              </w:rPr>
              <w:t>日，意大利</w:t>
            </w:r>
            <w:r w:rsidRPr="004961D6">
              <w:rPr>
                <w:rFonts w:cs="Calibri"/>
                <w:b/>
                <w:bCs/>
                <w:sz w:val="22"/>
                <w:szCs w:val="22"/>
              </w:rPr>
              <w:t>Frascati</w:t>
            </w:r>
            <w:r w:rsidRPr="00AB77C7">
              <w:rPr>
                <w:b/>
                <w:bCs/>
                <w:color w:val="000000"/>
                <w:lang w:val="zh-CN"/>
              </w:rPr>
              <w:t>）</w:t>
            </w:r>
          </w:p>
        </w:tc>
      </w:tr>
    </w:tbl>
    <w:p w14:paraId="268DCDA5" w14:textId="28F426B4" w:rsidR="0063445E" w:rsidRPr="00F20D70" w:rsidRDefault="0063445E" w:rsidP="00512AB3">
      <w:pPr>
        <w:spacing w:before="240" w:after="120"/>
        <w:rPr>
          <w:sz w:val="22"/>
          <w:szCs w:val="22"/>
          <w:lang w:eastAsia="zh-CN"/>
        </w:rPr>
      </w:pPr>
      <w:r w:rsidRPr="00F20D70">
        <w:rPr>
          <w:rFonts w:hint="eastAsia"/>
          <w:sz w:val="22"/>
          <w:szCs w:val="22"/>
          <w:lang w:eastAsia="zh-CN"/>
        </w:rPr>
        <w:t>尊敬的先生</w:t>
      </w:r>
      <w:r w:rsidRPr="00F20D70">
        <w:rPr>
          <w:rFonts w:hint="eastAsia"/>
          <w:sz w:val="22"/>
          <w:szCs w:val="22"/>
          <w:lang w:eastAsia="zh-CN"/>
        </w:rPr>
        <w:t>/</w:t>
      </w:r>
      <w:r w:rsidRPr="00F20D70">
        <w:rPr>
          <w:rFonts w:hint="eastAsia"/>
          <w:sz w:val="22"/>
          <w:szCs w:val="22"/>
          <w:lang w:eastAsia="zh-CN"/>
        </w:rPr>
        <w:t>女士：</w:t>
      </w:r>
    </w:p>
    <w:p w14:paraId="10AB4726" w14:textId="64BA1E64" w:rsidR="006C4EB5" w:rsidRPr="006C4EB5" w:rsidRDefault="006C4EB5" w:rsidP="006C4EB5">
      <w:pPr>
        <w:rPr>
          <w:rFonts w:cstheme="minorHAnsi"/>
          <w:b/>
          <w:bCs/>
          <w:sz w:val="22"/>
          <w:szCs w:val="22"/>
          <w:lang w:eastAsia="zh-CN"/>
        </w:rPr>
      </w:pPr>
      <w:r w:rsidRPr="006C4EB5">
        <w:rPr>
          <w:sz w:val="22"/>
          <w:szCs w:val="22"/>
          <w:lang w:val="zh-CN" w:eastAsia="zh-CN"/>
        </w:rPr>
        <w:t>1</w:t>
      </w:r>
      <w:r w:rsidRPr="006C4EB5">
        <w:rPr>
          <w:sz w:val="22"/>
          <w:szCs w:val="22"/>
          <w:lang w:val="zh-CN" w:eastAsia="zh-CN"/>
        </w:rPr>
        <w:tab/>
      </w:r>
      <w:r w:rsidRPr="006C4EB5">
        <w:rPr>
          <w:sz w:val="22"/>
          <w:szCs w:val="22"/>
          <w:lang w:val="zh-CN" w:eastAsia="zh-CN"/>
        </w:rPr>
        <w:t>国际电信联盟（</w:t>
      </w:r>
      <w:r w:rsidRPr="006C4EB5">
        <w:rPr>
          <w:sz w:val="22"/>
          <w:szCs w:val="22"/>
          <w:lang w:val="zh-CN" w:eastAsia="zh-CN"/>
        </w:rPr>
        <w:t>ITU</w:t>
      </w:r>
      <w:r w:rsidRPr="006C4EB5">
        <w:rPr>
          <w:sz w:val="22"/>
          <w:szCs w:val="22"/>
          <w:lang w:val="zh-CN" w:eastAsia="zh-CN"/>
        </w:rPr>
        <w:t>）</w:t>
      </w:r>
      <w:r w:rsidRPr="006C4EB5">
        <w:rPr>
          <w:rFonts w:hint="eastAsia"/>
          <w:sz w:val="22"/>
          <w:szCs w:val="22"/>
          <w:lang w:val="zh-CN" w:eastAsia="zh-CN"/>
        </w:rPr>
        <w:t>将</w:t>
      </w:r>
      <w:r w:rsidRPr="006C4EB5">
        <w:rPr>
          <w:sz w:val="22"/>
          <w:szCs w:val="22"/>
          <w:lang w:val="zh-CN" w:eastAsia="zh-CN"/>
        </w:rPr>
        <w:t>与</w:t>
      </w:r>
      <w:hyperlink r:id="rId9" w:history="1">
        <w:r w:rsidRPr="003E1E98">
          <w:rPr>
            <w:rStyle w:val="Hyperlink"/>
            <w:rFonts w:cstheme="minorHAnsi" w:hint="eastAsia"/>
            <w:sz w:val="22"/>
            <w:szCs w:val="22"/>
            <w:lang w:eastAsia="zh-CN"/>
          </w:rPr>
          <w:t>欧洲航天局</w:t>
        </w:r>
      </w:hyperlink>
      <w:r>
        <w:rPr>
          <w:rFonts w:cstheme="minorHAnsi"/>
          <w:sz w:val="22"/>
          <w:szCs w:val="22"/>
          <w:lang w:eastAsia="zh-CN"/>
        </w:rPr>
        <w:t>(</w:t>
      </w:r>
      <w:r w:rsidRPr="006C4EB5">
        <w:rPr>
          <w:sz w:val="22"/>
          <w:szCs w:val="22"/>
          <w:lang w:val="zh-CN" w:eastAsia="zh-CN"/>
        </w:rPr>
        <w:t>ESA</w:t>
      </w:r>
      <w:r w:rsidRPr="006C4EB5">
        <w:rPr>
          <w:sz w:val="22"/>
          <w:szCs w:val="22"/>
          <w:lang w:val="zh-CN" w:eastAsia="zh-CN"/>
        </w:rPr>
        <w:t>）合作，组织一场关于</w:t>
      </w:r>
      <w:r w:rsidRPr="006C4EB5">
        <w:rPr>
          <w:rFonts w:ascii="SimSun" w:hAnsi="SimSun" w:hint="eastAsia"/>
          <w:sz w:val="22"/>
          <w:szCs w:val="22"/>
          <w:lang w:val="zh-CN" w:eastAsia="zh-CN"/>
        </w:rPr>
        <w:t>“</w:t>
      </w:r>
      <w:r w:rsidRPr="006C4EB5">
        <w:rPr>
          <w:rFonts w:hint="eastAsia"/>
          <w:b/>
          <w:bCs/>
          <w:sz w:val="22"/>
          <w:szCs w:val="22"/>
          <w:lang w:val="zh-CN" w:eastAsia="zh-CN"/>
        </w:rPr>
        <w:t>通过人工智能解决方案以有韧性的方式抵御自然灾害</w:t>
      </w:r>
      <w:r w:rsidRPr="006C4EB5">
        <w:rPr>
          <w:rFonts w:ascii="SimSun" w:hAnsi="SimSun"/>
          <w:sz w:val="22"/>
          <w:szCs w:val="22"/>
          <w:lang w:val="zh-CN" w:eastAsia="zh-CN"/>
        </w:rPr>
        <w:t>”</w:t>
      </w:r>
      <w:r w:rsidRPr="006C4EB5">
        <w:rPr>
          <w:sz w:val="22"/>
          <w:szCs w:val="22"/>
          <w:lang w:val="zh-CN" w:eastAsia="zh-CN"/>
        </w:rPr>
        <w:t>的讲习班，该讲习班将于</w:t>
      </w:r>
      <w:r w:rsidRPr="006C4EB5">
        <w:rPr>
          <w:b/>
          <w:bCs/>
          <w:sz w:val="22"/>
          <w:szCs w:val="22"/>
          <w:lang w:val="zh-CN" w:eastAsia="zh-CN"/>
        </w:rPr>
        <w:t>2025</w:t>
      </w:r>
      <w:r w:rsidRPr="006C4EB5">
        <w:rPr>
          <w:b/>
          <w:bCs/>
          <w:sz w:val="22"/>
          <w:szCs w:val="22"/>
          <w:lang w:val="zh-CN" w:eastAsia="zh-CN"/>
        </w:rPr>
        <w:t>年</w:t>
      </w:r>
      <w:r w:rsidRPr="006C4EB5">
        <w:rPr>
          <w:b/>
          <w:bCs/>
          <w:sz w:val="22"/>
          <w:szCs w:val="22"/>
          <w:lang w:val="zh-CN" w:eastAsia="zh-CN"/>
        </w:rPr>
        <w:t>5</w:t>
      </w:r>
      <w:r w:rsidRPr="006C4EB5">
        <w:rPr>
          <w:b/>
          <w:bCs/>
          <w:sz w:val="22"/>
          <w:szCs w:val="22"/>
          <w:lang w:val="zh-CN" w:eastAsia="zh-CN"/>
        </w:rPr>
        <w:t>月</w:t>
      </w:r>
      <w:r w:rsidRPr="006C4EB5">
        <w:rPr>
          <w:b/>
          <w:bCs/>
          <w:sz w:val="22"/>
          <w:szCs w:val="22"/>
          <w:lang w:val="zh-CN" w:eastAsia="zh-CN"/>
        </w:rPr>
        <w:t>8</w:t>
      </w:r>
      <w:r w:rsidRPr="006C4EB5">
        <w:rPr>
          <w:b/>
          <w:bCs/>
          <w:sz w:val="22"/>
          <w:szCs w:val="22"/>
          <w:lang w:val="zh-CN" w:eastAsia="zh-CN"/>
        </w:rPr>
        <w:t>日</w:t>
      </w:r>
      <w:r w:rsidRPr="006C4EB5">
        <w:rPr>
          <w:sz w:val="22"/>
          <w:szCs w:val="22"/>
          <w:lang w:val="zh-CN" w:eastAsia="zh-CN"/>
        </w:rPr>
        <w:t>在意大利</w:t>
      </w:r>
      <w:r w:rsidRPr="006C4EB5">
        <w:rPr>
          <w:sz w:val="22"/>
          <w:szCs w:val="22"/>
          <w:lang w:val="zh-CN" w:eastAsia="zh-CN"/>
        </w:rPr>
        <w:t>Frascati</w:t>
      </w:r>
      <w:r w:rsidRPr="006C4EB5">
        <w:rPr>
          <w:sz w:val="22"/>
          <w:szCs w:val="22"/>
          <w:lang w:val="zh-CN" w:eastAsia="zh-CN"/>
        </w:rPr>
        <w:t>的</w:t>
      </w:r>
      <w:r w:rsidRPr="006C4EB5">
        <w:rPr>
          <w:sz w:val="22"/>
          <w:szCs w:val="22"/>
          <w:lang w:val="zh-CN" w:eastAsia="zh-CN"/>
        </w:rPr>
        <w:t>ESA ESRIN</w:t>
      </w:r>
      <w:r w:rsidRPr="006C4EB5">
        <w:rPr>
          <w:sz w:val="22"/>
          <w:szCs w:val="22"/>
          <w:lang w:val="zh-CN" w:eastAsia="zh-CN"/>
        </w:rPr>
        <w:t>举行。</w:t>
      </w:r>
      <w:r w:rsidRPr="006C4EB5">
        <w:rPr>
          <w:rFonts w:hint="eastAsia"/>
          <w:sz w:val="22"/>
          <w:szCs w:val="22"/>
          <w:lang w:val="zh-CN" w:eastAsia="zh-CN"/>
        </w:rPr>
        <w:t>这一</w:t>
      </w:r>
      <w:r w:rsidRPr="006C4EB5">
        <w:rPr>
          <w:sz w:val="22"/>
          <w:szCs w:val="22"/>
          <w:lang w:val="zh-CN" w:eastAsia="zh-CN"/>
        </w:rPr>
        <w:t>讲习班由欧洲航天局（</w:t>
      </w:r>
      <w:r w:rsidRPr="006C4EB5">
        <w:rPr>
          <w:sz w:val="22"/>
          <w:szCs w:val="22"/>
          <w:lang w:val="zh-CN" w:eastAsia="zh-CN"/>
        </w:rPr>
        <w:t>ESA</w:t>
      </w:r>
      <w:r w:rsidRPr="006C4EB5">
        <w:rPr>
          <w:sz w:val="22"/>
          <w:szCs w:val="22"/>
          <w:lang w:val="zh-CN" w:eastAsia="zh-CN"/>
        </w:rPr>
        <w:t>）主办，</w:t>
      </w:r>
      <w:r w:rsidRPr="006C4EB5">
        <w:rPr>
          <w:rFonts w:hint="eastAsia"/>
          <w:sz w:val="22"/>
          <w:szCs w:val="22"/>
          <w:lang w:val="zh-CN" w:eastAsia="zh-CN"/>
        </w:rPr>
        <w:t>并</w:t>
      </w:r>
      <w:r w:rsidRPr="006C4EB5">
        <w:rPr>
          <w:sz w:val="22"/>
          <w:szCs w:val="22"/>
          <w:lang w:val="zh-CN" w:eastAsia="zh-CN"/>
        </w:rPr>
        <w:t>将于</w:t>
      </w:r>
      <w:r w:rsidRPr="006C4EB5">
        <w:rPr>
          <w:b/>
          <w:bCs/>
          <w:sz w:val="22"/>
          <w:szCs w:val="22"/>
          <w:lang w:val="zh-CN" w:eastAsia="zh-CN"/>
        </w:rPr>
        <w:t>2025</w:t>
      </w:r>
      <w:r w:rsidRPr="006C4EB5">
        <w:rPr>
          <w:b/>
          <w:bCs/>
          <w:sz w:val="22"/>
          <w:szCs w:val="22"/>
          <w:lang w:val="zh-CN" w:eastAsia="zh-CN"/>
        </w:rPr>
        <w:t>年</w:t>
      </w:r>
      <w:r w:rsidRPr="006C4EB5">
        <w:rPr>
          <w:b/>
          <w:bCs/>
          <w:sz w:val="22"/>
          <w:szCs w:val="22"/>
          <w:lang w:val="zh-CN" w:eastAsia="zh-CN"/>
        </w:rPr>
        <w:t>5</w:t>
      </w:r>
      <w:r w:rsidRPr="006C4EB5">
        <w:rPr>
          <w:b/>
          <w:bCs/>
          <w:sz w:val="22"/>
          <w:szCs w:val="22"/>
          <w:lang w:val="zh-CN" w:eastAsia="zh-CN"/>
        </w:rPr>
        <w:t>月</w:t>
      </w:r>
      <w:r w:rsidRPr="006C4EB5">
        <w:rPr>
          <w:b/>
          <w:bCs/>
          <w:sz w:val="22"/>
          <w:szCs w:val="22"/>
          <w:lang w:val="zh-CN" w:eastAsia="zh-CN"/>
        </w:rPr>
        <w:t>9</w:t>
      </w:r>
      <w:r w:rsidRPr="006C4EB5">
        <w:rPr>
          <w:b/>
          <w:bCs/>
          <w:sz w:val="22"/>
          <w:szCs w:val="22"/>
          <w:lang w:val="zh-CN" w:eastAsia="zh-CN"/>
        </w:rPr>
        <w:t>日</w:t>
      </w:r>
      <w:r w:rsidRPr="006C4EB5">
        <w:rPr>
          <w:sz w:val="22"/>
          <w:szCs w:val="22"/>
          <w:lang w:val="zh-CN" w:eastAsia="zh-CN"/>
        </w:rPr>
        <w:t>与</w:t>
      </w:r>
      <w:r>
        <w:rPr>
          <w:rFonts w:hint="eastAsia"/>
          <w:sz w:val="22"/>
          <w:szCs w:val="22"/>
          <w:lang w:val="zh-CN" w:eastAsia="zh-CN"/>
        </w:rPr>
        <w:t>“</w:t>
      </w:r>
      <w:hyperlink r:id="rId10" w:history="1">
        <w:r>
          <w:rPr>
            <w:rStyle w:val="Hyperlink"/>
            <w:rFonts w:cstheme="minorHAnsi"/>
            <w:sz w:val="22"/>
            <w:szCs w:val="22"/>
            <w:lang w:eastAsia="zh-CN"/>
          </w:rPr>
          <w:t>通过人工智能解决方案以有韧性的方式抵御自然灾害全球举措</w:t>
        </w:r>
      </w:hyperlink>
      <w:r w:rsidRPr="006C4EB5">
        <w:rPr>
          <w:rFonts w:ascii="SimSun" w:hAnsi="SimSun"/>
          <w:sz w:val="22"/>
          <w:szCs w:val="22"/>
          <w:lang w:val="zh-CN" w:eastAsia="zh-CN"/>
        </w:rPr>
        <w:t>”</w:t>
      </w:r>
      <w:r w:rsidRPr="006C4EB5">
        <w:rPr>
          <w:b/>
          <w:bCs/>
          <w:sz w:val="22"/>
          <w:szCs w:val="22"/>
          <w:lang w:val="zh-CN" w:eastAsia="zh-CN"/>
        </w:rPr>
        <w:t>第</w:t>
      </w:r>
      <w:r w:rsidRPr="006C4EB5">
        <w:rPr>
          <w:b/>
          <w:bCs/>
          <w:sz w:val="22"/>
          <w:szCs w:val="22"/>
          <w:lang w:val="zh-CN" w:eastAsia="zh-CN"/>
        </w:rPr>
        <w:t>2</w:t>
      </w:r>
      <w:r w:rsidRPr="006C4EB5">
        <w:rPr>
          <w:b/>
          <w:bCs/>
          <w:sz w:val="22"/>
          <w:szCs w:val="22"/>
          <w:lang w:val="zh-CN" w:eastAsia="zh-CN"/>
        </w:rPr>
        <w:t>次会议</w:t>
      </w:r>
      <w:r w:rsidRPr="006C4EB5">
        <w:rPr>
          <w:sz w:val="22"/>
          <w:szCs w:val="22"/>
          <w:lang w:val="zh-CN" w:eastAsia="zh-CN"/>
        </w:rPr>
        <w:t>在同一地点举行。</w:t>
      </w:r>
    </w:p>
    <w:p w14:paraId="15D53A53" w14:textId="2E9A5F67" w:rsidR="006C4EB5" w:rsidRPr="006C4EB5" w:rsidRDefault="006C4EB5" w:rsidP="006C4EB5">
      <w:pPr>
        <w:rPr>
          <w:rFonts w:cstheme="minorHAnsi"/>
          <w:sz w:val="22"/>
          <w:szCs w:val="22"/>
          <w:lang w:eastAsia="zh-CN"/>
        </w:rPr>
      </w:pPr>
      <w:r w:rsidRPr="006C4EB5">
        <w:rPr>
          <w:sz w:val="22"/>
          <w:szCs w:val="22"/>
          <w:lang w:val="zh-CN" w:eastAsia="zh-CN"/>
        </w:rPr>
        <w:t>2</w:t>
      </w:r>
      <w:r w:rsidRPr="006C4EB5">
        <w:rPr>
          <w:sz w:val="22"/>
          <w:szCs w:val="22"/>
          <w:lang w:val="zh-CN" w:eastAsia="zh-CN"/>
        </w:rPr>
        <w:tab/>
      </w:r>
      <w:hyperlink r:id="rId11" w:history="1">
        <w:r>
          <w:rPr>
            <w:rStyle w:val="Hyperlink"/>
            <w:rFonts w:cstheme="minorHAnsi"/>
            <w:sz w:val="22"/>
            <w:szCs w:val="22"/>
            <w:lang w:eastAsia="zh-CN"/>
          </w:rPr>
          <w:t>通过人工智能解决方案以有韧性的方式抵御自然灾害全球举措</w:t>
        </w:r>
      </w:hyperlink>
      <w:r w:rsidRPr="006C4EB5">
        <w:rPr>
          <w:sz w:val="22"/>
          <w:szCs w:val="22"/>
          <w:lang w:val="zh-CN" w:eastAsia="zh-CN"/>
        </w:rPr>
        <w:t>是由国际电联与联合国环境规划署（</w:t>
      </w:r>
      <w:r w:rsidRPr="006C4EB5">
        <w:rPr>
          <w:sz w:val="22"/>
          <w:szCs w:val="22"/>
          <w:lang w:val="zh-CN" w:eastAsia="zh-CN"/>
        </w:rPr>
        <w:t>UNEP</w:t>
      </w:r>
      <w:r w:rsidRPr="006C4EB5">
        <w:rPr>
          <w:sz w:val="22"/>
          <w:szCs w:val="22"/>
          <w:lang w:val="zh-CN" w:eastAsia="zh-CN"/>
        </w:rPr>
        <w:t>）、联合国气候变化框架公约（</w:t>
      </w:r>
      <w:r w:rsidRPr="006C4EB5">
        <w:rPr>
          <w:sz w:val="22"/>
          <w:szCs w:val="22"/>
          <w:lang w:val="zh-CN" w:eastAsia="zh-CN"/>
        </w:rPr>
        <w:t>UNFCCC</w:t>
      </w:r>
      <w:r w:rsidRPr="006C4EB5">
        <w:rPr>
          <w:sz w:val="22"/>
          <w:szCs w:val="22"/>
          <w:lang w:val="zh-CN" w:eastAsia="zh-CN"/>
        </w:rPr>
        <w:t>）、万国邮政联盟（</w:t>
      </w:r>
      <w:r w:rsidRPr="006C4EB5">
        <w:rPr>
          <w:sz w:val="22"/>
          <w:szCs w:val="22"/>
          <w:lang w:val="zh-CN" w:eastAsia="zh-CN"/>
        </w:rPr>
        <w:t>UPU</w:t>
      </w:r>
      <w:r w:rsidRPr="006C4EB5">
        <w:rPr>
          <w:sz w:val="22"/>
          <w:szCs w:val="22"/>
          <w:lang w:val="zh-CN" w:eastAsia="zh-CN"/>
        </w:rPr>
        <w:t>）和世界气象组织（</w:t>
      </w:r>
      <w:r w:rsidRPr="006C4EB5">
        <w:rPr>
          <w:sz w:val="22"/>
          <w:szCs w:val="22"/>
          <w:lang w:val="zh-CN" w:eastAsia="zh-CN"/>
        </w:rPr>
        <w:t>WMO</w:t>
      </w:r>
      <w:r w:rsidRPr="006C4EB5">
        <w:rPr>
          <w:sz w:val="22"/>
          <w:szCs w:val="22"/>
          <w:lang w:val="zh-CN" w:eastAsia="zh-CN"/>
        </w:rPr>
        <w:t>）共同领导的一项协作。该举措</w:t>
      </w:r>
      <w:r w:rsidRPr="006C4EB5">
        <w:rPr>
          <w:rFonts w:hint="eastAsia"/>
          <w:sz w:val="22"/>
          <w:szCs w:val="22"/>
          <w:lang w:val="zh-CN" w:eastAsia="zh-CN"/>
        </w:rPr>
        <w:t>旨在</w:t>
      </w:r>
      <w:r w:rsidRPr="006C4EB5">
        <w:rPr>
          <w:sz w:val="22"/>
          <w:szCs w:val="22"/>
          <w:lang w:val="zh-CN" w:eastAsia="zh-CN"/>
        </w:rPr>
        <w:t>探索如何有效地利用人工智能进行灾害管理，</w:t>
      </w:r>
      <w:r w:rsidRPr="006C4EB5">
        <w:rPr>
          <w:rFonts w:hint="eastAsia"/>
          <w:sz w:val="22"/>
          <w:szCs w:val="22"/>
          <w:lang w:val="zh-CN" w:eastAsia="zh-CN"/>
        </w:rPr>
        <w:t>并</w:t>
      </w:r>
      <w:r w:rsidRPr="006C4EB5">
        <w:rPr>
          <w:sz w:val="22"/>
          <w:szCs w:val="22"/>
          <w:lang w:val="zh-CN" w:eastAsia="zh-CN"/>
        </w:rPr>
        <w:t>为研究、创新和促进标准制定提供专家指导和支持。关于启动该举措的更多信息，请点击</w:t>
      </w:r>
      <w:hyperlink r:id="rId12" w:history="1">
        <w:r w:rsidR="00A051C6">
          <w:rPr>
            <w:rStyle w:val="Hyperlink"/>
            <w:rFonts w:cstheme="minorHAnsi"/>
            <w:sz w:val="22"/>
            <w:szCs w:val="22"/>
            <w:lang w:eastAsia="zh-CN"/>
          </w:rPr>
          <w:t>此处</w:t>
        </w:r>
      </w:hyperlink>
      <w:r w:rsidRPr="006C4EB5">
        <w:rPr>
          <w:sz w:val="22"/>
          <w:szCs w:val="22"/>
          <w:lang w:val="zh-CN" w:eastAsia="zh-CN"/>
        </w:rPr>
        <w:t>。</w:t>
      </w:r>
      <w:r w:rsidRPr="006C4EB5">
        <w:rPr>
          <w:rFonts w:hint="eastAsia"/>
          <w:sz w:val="22"/>
          <w:szCs w:val="22"/>
          <w:lang w:val="zh-CN" w:eastAsia="zh-CN"/>
        </w:rPr>
        <w:t>此</w:t>
      </w:r>
      <w:r w:rsidRPr="006C4EB5">
        <w:rPr>
          <w:sz w:val="22"/>
          <w:szCs w:val="22"/>
          <w:lang w:val="zh-CN" w:eastAsia="zh-CN"/>
        </w:rPr>
        <w:t>举措</w:t>
      </w:r>
      <w:r w:rsidRPr="006C4EB5">
        <w:rPr>
          <w:rFonts w:hint="eastAsia"/>
          <w:sz w:val="22"/>
          <w:szCs w:val="22"/>
          <w:lang w:val="zh-CN" w:eastAsia="zh-CN"/>
        </w:rPr>
        <w:t>是基于</w:t>
      </w:r>
      <w:hyperlink r:id="rId13" w:history="1">
        <w:r w:rsidR="00A051C6">
          <w:rPr>
            <w:rStyle w:val="Hyperlink"/>
            <w:rFonts w:cstheme="minorHAnsi"/>
            <w:sz w:val="22"/>
            <w:szCs w:val="22"/>
            <w:lang w:eastAsia="zh-CN"/>
          </w:rPr>
          <w:t>国际电联</w:t>
        </w:r>
        <w:r w:rsidR="00A051C6">
          <w:rPr>
            <w:rStyle w:val="Hyperlink"/>
            <w:rFonts w:cstheme="minorHAnsi"/>
            <w:sz w:val="22"/>
            <w:szCs w:val="22"/>
            <w:lang w:eastAsia="zh-CN"/>
          </w:rPr>
          <w:t>/</w:t>
        </w:r>
        <w:r w:rsidR="00A051C6">
          <w:rPr>
            <w:rStyle w:val="Hyperlink"/>
            <w:rFonts w:cstheme="minorHAnsi"/>
            <w:sz w:val="22"/>
            <w:szCs w:val="22"/>
            <w:lang w:eastAsia="zh-CN"/>
          </w:rPr>
          <w:t>世界气象组织</w:t>
        </w:r>
        <w:r w:rsidR="00A051C6">
          <w:rPr>
            <w:rStyle w:val="Hyperlink"/>
            <w:rFonts w:cstheme="minorHAnsi"/>
            <w:sz w:val="22"/>
            <w:szCs w:val="22"/>
            <w:lang w:eastAsia="zh-CN"/>
          </w:rPr>
          <w:t>/</w:t>
        </w:r>
        <w:r w:rsidR="00A051C6">
          <w:rPr>
            <w:rStyle w:val="Hyperlink"/>
            <w:rFonts w:cstheme="minorHAnsi"/>
            <w:sz w:val="22"/>
            <w:szCs w:val="22"/>
            <w:lang w:eastAsia="zh-CN"/>
          </w:rPr>
          <w:t>环境署人工智能促进自然灾害管理焦点组（</w:t>
        </w:r>
        <w:r w:rsidR="00A051C6">
          <w:rPr>
            <w:rStyle w:val="Hyperlink"/>
            <w:rFonts w:cstheme="minorHAnsi"/>
            <w:sz w:val="22"/>
            <w:szCs w:val="22"/>
            <w:lang w:eastAsia="zh-CN"/>
          </w:rPr>
          <w:t>FG-AI4NDM</w:t>
        </w:r>
        <w:r w:rsidR="00A051C6">
          <w:rPr>
            <w:rStyle w:val="Hyperlink"/>
            <w:rFonts w:cstheme="minorHAnsi"/>
            <w:sz w:val="22"/>
            <w:szCs w:val="22"/>
            <w:lang w:eastAsia="zh-CN"/>
          </w:rPr>
          <w:t>）</w:t>
        </w:r>
      </w:hyperlink>
      <w:r w:rsidRPr="006C4EB5">
        <w:rPr>
          <w:rFonts w:hint="eastAsia"/>
          <w:sz w:val="22"/>
          <w:szCs w:val="22"/>
          <w:lang w:val="zh-CN" w:eastAsia="zh-CN"/>
        </w:rPr>
        <w:t>的</w:t>
      </w:r>
      <w:r w:rsidRPr="006C4EB5">
        <w:rPr>
          <w:sz w:val="22"/>
          <w:szCs w:val="22"/>
          <w:lang w:val="zh-CN" w:eastAsia="zh-CN"/>
        </w:rPr>
        <w:t>活动。</w:t>
      </w:r>
    </w:p>
    <w:p w14:paraId="302B3A80" w14:textId="5E43D193" w:rsidR="006C4EB5" w:rsidRPr="006C4EB5" w:rsidRDefault="006C4EB5" w:rsidP="006C4EB5">
      <w:pPr>
        <w:rPr>
          <w:rFonts w:cstheme="minorHAnsi"/>
          <w:sz w:val="22"/>
          <w:szCs w:val="22"/>
          <w:lang w:eastAsia="zh-CN"/>
        </w:rPr>
      </w:pPr>
      <w:r w:rsidRPr="006C4EB5">
        <w:rPr>
          <w:sz w:val="22"/>
          <w:szCs w:val="22"/>
          <w:lang w:val="zh-CN" w:eastAsia="zh-CN"/>
        </w:rPr>
        <w:t>3</w:t>
      </w:r>
      <w:r w:rsidRPr="006C4EB5">
        <w:rPr>
          <w:sz w:val="22"/>
          <w:szCs w:val="22"/>
          <w:lang w:val="zh-CN" w:eastAsia="zh-CN"/>
        </w:rPr>
        <w:tab/>
      </w:r>
      <w:r w:rsidRPr="006C4EB5">
        <w:rPr>
          <w:rFonts w:hint="eastAsia"/>
          <w:sz w:val="22"/>
          <w:szCs w:val="22"/>
          <w:lang w:val="zh-CN" w:eastAsia="zh-CN"/>
        </w:rPr>
        <w:t>上述</w:t>
      </w:r>
      <w:r w:rsidRPr="006C4EB5">
        <w:rPr>
          <w:sz w:val="22"/>
          <w:szCs w:val="22"/>
          <w:lang w:val="zh-CN" w:eastAsia="zh-CN"/>
        </w:rPr>
        <w:t>全球举措第二次会议将于</w:t>
      </w:r>
      <w:r w:rsidRPr="006C4EB5">
        <w:rPr>
          <w:sz w:val="22"/>
          <w:szCs w:val="22"/>
          <w:lang w:val="zh-CN" w:eastAsia="zh-CN"/>
        </w:rPr>
        <w:t>2025</w:t>
      </w:r>
      <w:r w:rsidRPr="006C4EB5">
        <w:rPr>
          <w:sz w:val="22"/>
          <w:szCs w:val="22"/>
          <w:lang w:val="zh-CN" w:eastAsia="zh-CN"/>
        </w:rPr>
        <w:t>年</w:t>
      </w:r>
      <w:r w:rsidRPr="006C4EB5">
        <w:rPr>
          <w:sz w:val="22"/>
          <w:szCs w:val="22"/>
          <w:lang w:val="zh-CN" w:eastAsia="zh-CN"/>
        </w:rPr>
        <w:t>5</w:t>
      </w:r>
      <w:r w:rsidRPr="006C4EB5">
        <w:rPr>
          <w:sz w:val="22"/>
          <w:szCs w:val="22"/>
          <w:lang w:val="zh-CN" w:eastAsia="zh-CN"/>
        </w:rPr>
        <w:t>月</w:t>
      </w:r>
      <w:r w:rsidRPr="006C4EB5">
        <w:rPr>
          <w:sz w:val="22"/>
          <w:szCs w:val="22"/>
          <w:lang w:val="zh-CN" w:eastAsia="zh-CN"/>
        </w:rPr>
        <w:t>9</w:t>
      </w:r>
      <w:r w:rsidRPr="006C4EB5">
        <w:rPr>
          <w:sz w:val="22"/>
          <w:szCs w:val="22"/>
          <w:lang w:val="zh-CN" w:eastAsia="zh-CN"/>
        </w:rPr>
        <w:t>日在意大利</w:t>
      </w:r>
      <w:r w:rsidRPr="006C4EB5">
        <w:rPr>
          <w:sz w:val="22"/>
          <w:szCs w:val="22"/>
          <w:lang w:val="zh-CN" w:eastAsia="zh-CN"/>
        </w:rPr>
        <w:t>Frascati</w:t>
      </w:r>
      <w:r w:rsidRPr="006C4EB5">
        <w:rPr>
          <w:sz w:val="22"/>
          <w:szCs w:val="22"/>
          <w:lang w:val="zh-CN" w:eastAsia="zh-CN"/>
        </w:rPr>
        <w:t>举行。此次会议将重点审议书面文稿并推进可交付成果的制定。议程草案、会议文件及其他信息将在</w:t>
      </w:r>
      <w:hyperlink r:id="rId14" w:history="1">
        <w:r w:rsidR="00A051C6">
          <w:rPr>
            <w:rStyle w:val="Hyperlink"/>
            <w:rFonts w:cstheme="minorHAnsi"/>
            <w:sz w:val="22"/>
            <w:szCs w:val="22"/>
            <w:lang w:eastAsia="zh-CN"/>
          </w:rPr>
          <w:t>全球举措主页</w:t>
        </w:r>
      </w:hyperlink>
      <w:r w:rsidRPr="006C4EB5">
        <w:rPr>
          <w:sz w:val="22"/>
          <w:szCs w:val="22"/>
          <w:lang w:val="zh-CN" w:eastAsia="zh-CN"/>
        </w:rPr>
        <w:t>上提供。</w:t>
      </w:r>
    </w:p>
    <w:p w14:paraId="05700AC2" w14:textId="36B739A2" w:rsidR="006C4EB5" w:rsidRPr="006C4EB5" w:rsidRDefault="006C4EB5" w:rsidP="00A051C6">
      <w:pPr>
        <w:ind w:firstLineChars="200" w:firstLine="440"/>
        <w:rPr>
          <w:rFonts w:cstheme="minorHAnsi"/>
          <w:sz w:val="22"/>
          <w:szCs w:val="22"/>
          <w:lang w:eastAsia="zh-CN"/>
        </w:rPr>
      </w:pPr>
      <w:r w:rsidRPr="006C4EB5">
        <w:rPr>
          <w:sz w:val="22"/>
          <w:szCs w:val="22"/>
          <w:lang w:val="zh-CN" w:eastAsia="zh-CN"/>
        </w:rPr>
        <w:t>书面文稿对于该组最终</w:t>
      </w:r>
      <w:r w:rsidRPr="006C4EB5">
        <w:rPr>
          <w:rFonts w:hint="eastAsia"/>
          <w:sz w:val="22"/>
          <w:szCs w:val="22"/>
          <w:lang w:val="zh-CN" w:eastAsia="zh-CN"/>
        </w:rPr>
        <w:t>取得</w:t>
      </w:r>
      <w:r w:rsidRPr="006C4EB5">
        <w:rPr>
          <w:sz w:val="22"/>
          <w:szCs w:val="22"/>
          <w:lang w:val="zh-CN" w:eastAsia="zh-CN"/>
        </w:rPr>
        <w:t>成功至关重要，因此大力提倡</w:t>
      </w:r>
      <w:proofErr w:type="gramStart"/>
      <w:r w:rsidRPr="006C4EB5">
        <w:rPr>
          <w:sz w:val="22"/>
          <w:szCs w:val="22"/>
          <w:lang w:val="zh-CN" w:eastAsia="zh-CN"/>
        </w:rPr>
        <w:t>您推进</w:t>
      </w:r>
      <w:proofErr w:type="gramEnd"/>
      <w:r w:rsidRPr="006C4EB5">
        <w:rPr>
          <w:sz w:val="22"/>
          <w:szCs w:val="22"/>
          <w:lang w:val="zh-CN" w:eastAsia="zh-CN"/>
        </w:rPr>
        <w:t>该举措的工作。书面文稿应使用</w:t>
      </w:r>
      <w:hyperlink r:id="rId15" w:history="1">
        <w:r w:rsidR="002711FC">
          <w:rPr>
            <w:rStyle w:val="Hyperlink"/>
            <w:rFonts w:cstheme="minorHAnsi"/>
            <w:sz w:val="22"/>
            <w:szCs w:val="22"/>
            <w:lang w:eastAsia="zh-CN"/>
          </w:rPr>
          <w:t>GI-AI4R</w:t>
        </w:r>
        <w:r w:rsidR="002711FC">
          <w:rPr>
            <w:rStyle w:val="Hyperlink"/>
            <w:rFonts w:cstheme="minorHAnsi"/>
            <w:sz w:val="22"/>
            <w:szCs w:val="22"/>
            <w:lang w:eastAsia="zh-CN"/>
          </w:rPr>
          <w:t>主页</w:t>
        </w:r>
      </w:hyperlink>
      <w:r w:rsidRPr="006C4EB5">
        <w:rPr>
          <w:sz w:val="22"/>
          <w:szCs w:val="22"/>
          <w:lang w:val="zh-CN" w:eastAsia="zh-CN"/>
        </w:rPr>
        <w:t>提供的模板以电子格式提交秘书处（</w:t>
      </w:r>
      <w:hyperlink r:id="rId16" w:history="1">
        <w:r w:rsidR="00A051C6" w:rsidRPr="00FD328A">
          <w:rPr>
            <w:rStyle w:val="Hyperlink"/>
            <w:rFonts w:cstheme="minorHAnsi"/>
            <w:sz w:val="22"/>
            <w:szCs w:val="22"/>
            <w:lang w:eastAsia="zh-CN"/>
          </w:rPr>
          <w:t>tsbfgai4ndm@itu.int</w:t>
        </w:r>
      </w:hyperlink>
      <w:r w:rsidRPr="006C4EB5">
        <w:rPr>
          <w:sz w:val="22"/>
          <w:szCs w:val="22"/>
          <w:lang w:val="zh-CN" w:eastAsia="zh-CN"/>
        </w:rPr>
        <w:t>）。提交文稿的截止日期为</w:t>
      </w:r>
      <w:r w:rsidRPr="006C4EB5">
        <w:rPr>
          <w:sz w:val="22"/>
          <w:szCs w:val="22"/>
          <w:lang w:val="zh-CN" w:eastAsia="zh-CN"/>
        </w:rPr>
        <w:t>2</w:t>
      </w:r>
      <w:r w:rsidRPr="006C4EB5">
        <w:rPr>
          <w:b/>
          <w:bCs/>
          <w:sz w:val="22"/>
          <w:szCs w:val="22"/>
          <w:lang w:val="zh-CN" w:eastAsia="zh-CN"/>
        </w:rPr>
        <w:t>025</w:t>
      </w:r>
      <w:r w:rsidRPr="006C4EB5">
        <w:rPr>
          <w:b/>
          <w:bCs/>
          <w:sz w:val="22"/>
          <w:szCs w:val="22"/>
          <w:lang w:val="zh-CN" w:eastAsia="zh-CN"/>
        </w:rPr>
        <w:t>年</w:t>
      </w:r>
      <w:r w:rsidRPr="006C4EB5">
        <w:rPr>
          <w:b/>
          <w:bCs/>
          <w:sz w:val="22"/>
          <w:szCs w:val="22"/>
          <w:lang w:val="zh-CN" w:eastAsia="zh-CN"/>
        </w:rPr>
        <w:t>4</w:t>
      </w:r>
      <w:r w:rsidRPr="006C4EB5">
        <w:rPr>
          <w:b/>
          <w:bCs/>
          <w:sz w:val="22"/>
          <w:szCs w:val="22"/>
          <w:lang w:val="zh-CN" w:eastAsia="zh-CN"/>
        </w:rPr>
        <w:t>月</w:t>
      </w:r>
      <w:r w:rsidRPr="006C4EB5">
        <w:rPr>
          <w:b/>
          <w:bCs/>
          <w:sz w:val="22"/>
          <w:szCs w:val="22"/>
          <w:lang w:val="zh-CN" w:eastAsia="zh-CN"/>
        </w:rPr>
        <w:t>28</w:t>
      </w:r>
      <w:r w:rsidRPr="006C4EB5">
        <w:rPr>
          <w:b/>
          <w:bCs/>
          <w:sz w:val="22"/>
          <w:szCs w:val="22"/>
          <w:lang w:val="zh-CN" w:eastAsia="zh-CN"/>
        </w:rPr>
        <w:t>日</w:t>
      </w:r>
      <w:r w:rsidRPr="006C4EB5">
        <w:rPr>
          <w:sz w:val="22"/>
          <w:szCs w:val="22"/>
          <w:lang w:val="zh-CN" w:eastAsia="zh-CN"/>
        </w:rPr>
        <w:t>。</w:t>
      </w:r>
    </w:p>
    <w:p w14:paraId="3659682E" w14:textId="77777777" w:rsidR="006C4EB5" w:rsidRPr="006C4EB5" w:rsidRDefault="006C4EB5" w:rsidP="006C4EB5">
      <w:pPr>
        <w:rPr>
          <w:rFonts w:cstheme="minorHAnsi"/>
          <w:sz w:val="22"/>
          <w:szCs w:val="22"/>
          <w:lang w:eastAsia="zh-CN"/>
        </w:rPr>
      </w:pPr>
      <w:r w:rsidRPr="00570C7F">
        <w:rPr>
          <w:sz w:val="22"/>
          <w:szCs w:val="22"/>
          <w:lang w:val="zh-CN" w:eastAsia="zh-CN"/>
        </w:rPr>
        <w:t>4</w:t>
      </w:r>
      <w:r w:rsidRPr="006C4EB5">
        <w:rPr>
          <w:sz w:val="22"/>
          <w:szCs w:val="22"/>
          <w:lang w:val="zh-CN" w:eastAsia="zh-CN"/>
        </w:rPr>
        <w:tab/>
      </w:r>
      <w:r w:rsidRPr="006C4EB5">
        <w:rPr>
          <w:sz w:val="22"/>
          <w:szCs w:val="22"/>
          <w:lang w:val="zh-CN" w:eastAsia="zh-CN"/>
        </w:rPr>
        <w:t>讲习班将于</w:t>
      </w:r>
      <w:r w:rsidRPr="006C4EB5">
        <w:rPr>
          <w:sz w:val="22"/>
          <w:szCs w:val="22"/>
          <w:lang w:val="zh-CN" w:eastAsia="zh-CN"/>
        </w:rPr>
        <w:t>2025</w:t>
      </w:r>
      <w:r w:rsidRPr="006C4EB5">
        <w:rPr>
          <w:sz w:val="22"/>
          <w:szCs w:val="22"/>
          <w:lang w:val="zh-CN" w:eastAsia="zh-CN"/>
        </w:rPr>
        <w:t>年</w:t>
      </w:r>
      <w:r w:rsidRPr="006C4EB5">
        <w:rPr>
          <w:sz w:val="22"/>
          <w:szCs w:val="22"/>
          <w:lang w:val="zh-CN" w:eastAsia="zh-CN"/>
        </w:rPr>
        <w:t>5</w:t>
      </w:r>
      <w:r w:rsidRPr="006C4EB5">
        <w:rPr>
          <w:sz w:val="22"/>
          <w:szCs w:val="22"/>
          <w:lang w:val="zh-CN" w:eastAsia="zh-CN"/>
        </w:rPr>
        <w:t>月</w:t>
      </w:r>
      <w:r w:rsidRPr="006C4EB5">
        <w:rPr>
          <w:sz w:val="22"/>
          <w:szCs w:val="22"/>
          <w:lang w:val="zh-CN" w:eastAsia="zh-CN"/>
        </w:rPr>
        <w:t>8</w:t>
      </w:r>
      <w:r w:rsidRPr="006C4EB5">
        <w:rPr>
          <w:sz w:val="22"/>
          <w:szCs w:val="22"/>
          <w:lang w:val="zh-CN" w:eastAsia="zh-CN"/>
        </w:rPr>
        <w:t>日</w:t>
      </w:r>
      <w:r w:rsidRPr="006C4EB5">
        <w:rPr>
          <w:sz w:val="22"/>
          <w:szCs w:val="22"/>
          <w:lang w:val="zh-CN" w:eastAsia="zh-CN"/>
        </w:rPr>
        <w:t>09</w:t>
      </w:r>
      <w:r w:rsidRPr="006C4EB5">
        <w:rPr>
          <w:rFonts w:hint="eastAsia"/>
          <w:sz w:val="22"/>
          <w:szCs w:val="22"/>
          <w:lang w:val="zh-CN" w:eastAsia="zh-CN"/>
        </w:rPr>
        <w:t>:</w:t>
      </w:r>
      <w:r w:rsidRPr="006C4EB5">
        <w:rPr>
          <w:sz w:val="22"/>
          <w:szCs w:val="22"/>
          <w:lang w:val="zh-CN" w:eastAsia="zh-CN"/>
        </w:rPr>
        <w:t>30</w:t>
      </w:r>
      <w:r w:rsidRPr="006C4EB5">
        <w:rPr>
          <w:sz w:val="22"/>
          <w:szCs w:val="22"/>
          <w:lang w:val="zh-CN" w:eastAsia="zh-CN"/>
        </w:rPr>
        <w:t>开始，注册将于同日</w:t>
      </w:r>
      <w:r w:rsidRPr="006C4EB5">
        <w:rPr>
          <w:sz w:val="22"/>
          <w:szCs w:val="22"/>
          <w:lang w:val="zh-CN" w:eastAsia="zh-CN"/>
        </w:rPr>
        <w:t>08</w:t>
      </w:r>
      <w:r w:rsidRPr="006C4EB5">
        <w:rPr>
          <w:rFonts w:hint="eastAsia"/>
          <w:sz w:val="22"/>
          <w:szCs w:val="22"/>
          <w:lang w:val="zh-CN" w:eastAsia="zh-CN"/>
        </w:rPr>
        <w:t>:</w:t>
      </w:r>
      <w:r w:rsidRPr="006C4EB5">
        <w:rPr>
          <w:sz w:val="22"/>
          <w:szCs w:val="22"/>
          <w:lang w:val="zh-CN" w:eastAsia="zh-CN"/>
        </w:rPr>
        <w:t>30</w:t>
      </w:r>
      <w:r w:rsidRPr="006C4EB5">
        <w:rPr>
          <w:sz w:val="22"/>
          <w:szCs w:val="22"/>
          <w:lang w:val="zh-CN" w:eastAsia="zh-CN"/>
        </w:rPr>
        <w:t>开始。您将</w:t>
      </w:r>
      <w:r w:rsidRPr="006C4EB5">
        <w:rPr>
          <w:rFonts w:hint="eastAsia"/>
          <w:sz w:val="22"/>
          <w:szCs w:val="22"/>
          <w:lang w:val="zh-CN" w:eastAsia="zh-CN"/>
        </w:rPr>
        <w:t>借助</w:t>
      </w:r>
      <w:r w:rsidRPr="006C4EB5">
        <w:rPr>
          <w:sz w:val="22"/>
          <w:szCs w:val="22"/>
          <w:lang w:val="zh-CN" w:eastAsia="zh-CN"/>
        </w:rPr>
        <w:t>活动标牌</w:t>
      </w:r>
      <w:r w:rsidRPr="006C4EB5">
        <w:rPr>
          <w:rFonts w:hint="eastAsia"/>
          <w:sz w:val="22"/>
          <w:szCs w:val="22"/>
          <w:lang w:val="zh-CN" w:eastAsia="zh-CN"/>
        </w:rPr>
        <w:t>的指示进入</w:t>
      </w:r>
      <w:r w:rsidRPr="006C4EB5">
        <w:rPr>
          <w:sz w:val="22"/>
          <w:szCs w:val="22"/>
          <w:lang w:val="zh-CN" w:eastAsia="zh-CN"/>
        </w:rPr>
        <w:t>会议厅。有关</w:t>
      </w:r>
      <w:r w:rsidRPr="006C4EB5">
        <w:rPr>
          <w:rFonts w:hint="eastAsia"/>
          <w:sz w:val="22"/>
          <w:szCs w:val="22"/>
          <w:lang w:val="zh-CN" w:eastAsia="zh-CN"/>
        </w:rPr>
        <w:t>差</w:t>
      </w:r>
      <w:r w:rsidRPr="006C4EB5">
        <w:rPr>
          <w:sz w:val="22"/>
          <w:szCs w:val="22"/>
          <w:lang w:val="zh-CN" w:eastAsia="zh-CN"/>
        </w:rPr>
        <w:t>旅和会场后勤的更多详细信息将在临近活动日期</w:t>
      </w:r>
      <w:r w:rsidRPr="006C4EB5">
        <w:rPr>
          <w:rFonts w:hint="eastAsia"/>
          <w:sz w:val="22"/>
          <w:szCs w:val="22"/>
          <w:lang w:val="zh-CN" w:eastAsia="zh-CN"/>
        </w:rPr>
        <w:t>时发出的</w:t>
      </w:r>
      <w:r w:rsidRPr="006C4EB5">
        <w:rPr>
          <w:sz w:val="22"/>
          <w:szCs w:val="22"/>
          <w:lang w:val="zh-CN" w:eastAsia="zh-CN"/>
        </w:rPr>
        <w:t>欢迎信中提供。讨论将仅用英文进行。讲习班将提供远程参会服务。</w:t>
      </w:r>
    </w:p>
    <w:p w14:paraId="1EFE6CED" w14:textId="77777777" w:rsidR="006C4EB5" w:rsidRPr="006C4EB5" w:rsidRDefault="006C4EB5" w:rsidP="006C4EB5">
      <w:pPr>
        <w:rPr>
          <w:rFonts w:cstheme="minorHAnsi"/>
          <w:sz w:val="22"/>
          <w:szCs w:val="22"/>
          <w:lang w:eastAsia="zh-CN"/>
        </w:rPr>
      </w:pPr>
      <w:r w:rsidRPr="006C4EB5">
        <w:rPr>
          <w:sz w:val="22"/>
          <w:szCs w:val="22"/>
          <w:lang w:val="zh-CN" w:eastAsia="zh-CN"/>
        </w:rPr>
        <w:t>5</w:t>
      </w:r>
      <w:r w:rsidRPr="006C4EB5">
        <w:rPr>
          <w:sz w:val="22"/>
          <w:szCs w:val="22"/>
          <w:lang w:val="zh-CN" w:eastAsia="zh-CN"/>
        </w:rPr>
        <w:tab/>
      </w:r>
      <w:r w:rsidRPr="006C4EB5">
        <w:rPr>
          <w:sz w:val="22"/>
          <w:szCs w:val="22"/>
          <w:lang w:val="zh-CN" w:eastAsia="zh-CN"/>
        </w:rPr>
        <w:t>国际电联成员国、部门成员、部门准成员和学术机构以及国际电联成员国中有意为此项工作做出贡献的任何</w:t>
      </w:r>
      <w:proofErr w:type="gramStart"/>
      <w:r w:rsidRPr="006C4EB5">
        <w:rPr>
          <w:sz w:val="22"/>
          <w:szCs w:val="22"/>
          <w:lang w:val="zh-CN" w:eastAsia="zh-CN"/>
        </w:rPr>
        <w:t>个</w:t>
      </w:r>
      <w:proofErr w:type="gramEnd"/>
      <w:r w:rsidRPr="006C4EB5">
        <w:rPr>
          <w:sz w:val="22"/>
          <w:szCs w:val="22"/>
          <w:lang w:val="zh-CN" w:eastAsia="zh-CN"/>
        </w:rPr>
        <w:t>人均可免费参加讲习班。这包括同时</w:t>
      </w:r>
      <w:r w:rsidRPr="006C4EB5">
        <w:rPr>
          <w:rFonts w:hint="eastAsia"/>
          <w:sz w:val="22"/>
          <w:szCs w:val="22"/>
          <w:lang w:val="zh-CN" w:eastAsia="zh-CN"/>
        </w:rPr>
        <w:t>亦</w:t>
      </w:r>
      <w:r w:rsidRPr="006C4EB5">
        <w:rPr>
          <w:sz w:val="22"/>
          <w:szCs w:val="22"/>
          <w:lang w:val="zh-CN" w:eastAsia="zh-CN"/>
        </w:rPr>
        <w:t>是国际、区域和国家组织成员的个人，但请注意，现场参会或在线参会均需注册。</w:t>
      </w:r>
    </w:p>
    <w:p w14:paraId="21A58D20" w14:textId="77777777" w:rsidR="006C4EB5" w:rsidRPr="006C4EB5" w:rsidRDefault="006C4EB5" w:rsidP="006C4EB5">
      <w:pPr>
        <w:rPr>
          <w:rFonts w:cstheme="minorHAnsi"/>
          <w:sz w:val="22"/>
          <w:szCs w:val="22"/>
          <w:lang w:eastAsia="zh-CN"/>
        </w:rPr>
      </w:pPr>
      <w:r w:rsidRPr="006C4EB5">
        <w:rPr>
          <w:sz w:val="22"/>
          <w:szCs w:val="22"/>
          <w:lang w:val="zh-CN" w:eastAsia="zh-CN"/>
        </w:rPr>
        <w:t>6</w:t>
      </w:r>
      <w:r w:rsidRPr="006C4EB5">
        <w:rPr>
          <w:sz w:val="22"/>
          <w:szCs w:val="22"/>
          <w:lang w:val="zh-CN" w:eastAsia="zh-CN"/>
        </w:rPr>
        <w:tab/>
      </w:r>
      <w:r w:rsidRPr="006C4EB5">
        <w:rPr>
          <w:sz w:val="22"/>
          <w:szCs w:val="22"/>
          <w:lang w:val="zh-CN" w:eastAsia="zh-CN"/>
        </w:rPr>
        <w:t>为便于电信标准化局就讲习班和会议的组织做出必要安排，请您尽快</w:t>
      </w:r>
      <w:r w:rsidRPr="006C4EB5">
        <w:rPr>
          <w:rFonts w:hint="eastAsia"/>
          <w:sz w:val="22"/>
          <w:szCs w:val="22"/>
          <w:lang w:val="zh-CN" w:eastAsia="zh-CN"/>
        </w:rPr>
        <w:t>并</w:t>
      </w:r>
      <w:r w:rsidRPr="006C4EB5">
        <w:rPr>
          <w:sz w:val="22"/>
          <w:szCs w:val="22"/>
          <w:lang w:val="zh-CN" w:eastAsia="zh-CN"/>
        </w:rPr>
        <w:t>不迟于</w:t>
      </w:r>
      <w:r w:rsidRPr="006C4EB5">
        <w:rPr>
          <w:b/>
          <w:bCs/>
          <w:sz w:val="22"/>
          <w:szCs w:val="22"/>
          <w:lang w:val="zh-CN" w:eastAsia="zh-CN"/>
        </w:rPr>
        <w:t>2025</w:t>
      </w:r>
      <w:r w:rsidRPr="006C4EB5">
        <w:rPr>
          <w:b/>
          <w:bCs/>
          <w:sz w:val="22"/>
          <w:szCs w:val="22"/>
          <w:lang w:val="zh-CN" w:eastAsia="zh-CN"/>
        </w:rPr>
        <w:t>年</w:t>
      </w:r>
      <w:r w:rsidRPr="006C4EB5">
        <w:rPr>
          <w:b/>
          <w:bCs/>
          <w:sz w:val="22"/>
          <w:szCs w:val="22"/>
          <w:lang w:val="zh-CN" w:eastAsia="zh-CN"/>
        </w:rPr>
        <w:t>4</w:t>
      </w:r>
      <w:r w:rsidRPr="006C4EB5">
        <w:rPr>
          <w:b/>
          <w:bCs/>
          <w:sz w:val="22"/>
          <w:szCs w:val="22"/>
          <w:lang w:val="zh-CN" w:eastAsia="zh-CN"/>
        </w:rPr>
        <w:t>月</w:t>
      </w:r>
      <w:r w:rsidRPr="006C4EB5">
        <w:rPr>
          <w:b/>
          <w:bCs/>
          <w:sz w:val="22"/>
          <w:szCs w:val="22"/>
          <w:lang w:val="zh-CN" w:eastAsia="zh-CN"/>
        </w:rPr>
        <w:t>20</w:t>
      </w:r>
      <w:r w:rsidRPr="006C4EB5">
        <w:rPr>
          <w:b/>
          <w:bCs/>
          <w:sz w:val="22"/>
          <w:szCs w:val="22"/>
          <w:lang w:val="zh-CN" w:eastAsia="zh-CN"/>
        </w:rPr>
        <w:t>日</w:t>
      </w:r>
      <w:r w:rsidRPr="006C4EB5">
        <w:rPr>
          <w:sz w:val="22"/>
          <w:szCs w:val="22"/>
          <w:lang w:val="zh-CN" w:eastAsia="zh-CN"/>
        </w:rPr>
        <w:t>在活动网页上注册。</w:t>
      </w:r>
      <w:r w:rsidRPr="006C4EB5">
        <w:rPr>
          <w:b/>
          <w:bCs/>
          <w:sz w:val="22"/>
          <w:szCs w:val="22"/>
          <w:lang w:val="zh-CN" w:eastAsia="zh-CN"/>
        </w:rPr>
        <w:t>请注意，讲习班和会议的与会者必须进行网上预注册。</w:t>
      </w:r>
    </w:p>
    <w:p w14:paraId="6723D3F9" w14:textId="476E96C6" w:rsidR="006C4EB5" w:rsidRPr="006C4EB5" w:rsidRDefault="006C4EB5" w:rsidP="00A051C6">
      <w:pPr>
        <w:spacing w:after="120"/>
        <w:rPr>
          <w:rFonts w:cstheme="minorHAnsi"/>
          <w:sz w:val="22"/>
          <w:szCs w:val="22"/>
          <w:lang w:eastAsia="zh-CN"/>
        </w:rPr>
      </w:pPr>
      <w:r w:rsidRPr="006C4EB5">
        <w:rPr>
          <w:sz w:val="22"/>
          <w:szCs w:val="22"/>
          <w:lang w:val="zh-CN" w:eastAsia="zh-CN"/>
        </w:rPr>
        <w:t>7</w:t>
      </w:r>
      <w:r w:rsidRPr="006C4EB5">
        <w:rPr>
          <w:sz w:val="22"/>
          <w:szCs w:val="22"/>
          <w:lang w:val="zh-CN" w:eastAsia="zh-CN"/>
        </w:rPr>
        <w:tab/>
      </w:r>
      <w:r w:rsidRPr="006C4EB5">
        <w:rPr>
          <w:sz w:val="22"/>
          <w:szCs w:val="22"/>
          <w:lang w:val="zh-CN" w:eastAsia="zh-CN"/>
        </w:rPr>
        <w:t>与讲习班有关的所有信息，包括日程草案，都将在</w:t>
      </w:r>
      <w:hyperlink r:id="rId17" w:history="1">
        <w:r w:rsidR="00A051C6">
          <w:rPr>
            <w:rStyle w:val="Hyperlink"/>
            <w:rFonts w:cstheme="minorHAnsi"/>
            <w:sz w:val="22"/>
            <w:szCs w:val="22"/>
            <w:lang w:eastAsia="zh-CN"/>
          </w:rPr>
          <w:t>全球举措主页</w:t>
        </w:r>
      </w:hyperlink>
      <w:r w:rsidRPr="006C4EB5">
        <w:rPr>
          <w:sz w:val="22"/>
          <w:szCs w:val="22"/>
          <w:lang w:val="zh-CN" w:eastAsia="zh-CN"/>
        </w:rPr>
        <w:t>上公布。活动网页将随着更多信息的出现定期更新。鼓励与会者定期查看网页上的更新信息。</w:t>
      </w:r>
    </w:p>
    <w:p w14:paraId="6487DF02" w14:textId="1E8635BE" w:rsidR="006C4EB5" w:rsidRPr="006C4EB5" w:rsidRDefault="006C4EB5" w:rsidP="00A051C6">
      <w:pPr>
        <w:spacing w:after="120"/>
        <w:rPr>
          <w:rFonts w:cstheme="minorHAnsi"/>
          <w:sz w:val="22"/>
          <w:szCs w:val="22"/>
          <w:lang w:eastAsia="zh-CN"/>
        </w:rPr>
      </w:pPr>
      <w:r w:rsidRPr="006C4EB5">
        <w:rPr>
          <w:sz w:val="22"/>
          <w:szCs w:val="22"/>
          <w:lang w:val="zh-CN" w:eastAsia="zh-CN"/>
        </w:rPr>
        <w:lastRenderedPageBreak/>
        <w:t>8</w:t>
      </w:r>
      <w:r w:rsidRPr="006C4EB5">
        <w:rPr>
          <w:sz w:val="22"/>
          <w:szCs w:val="22"/>
          <w:lang w:val="zh-CN" w:eastAsia="zh-CN"/>
        </w:rPr>
        <w:tab/>
      </w:r>
      <w:r w:rsidRPr="006C4EB5">
        <w:rPr>
          <w:sz w:val="22"/>
          <w:szCs w:val="22"/>
          <w:lang w:val="zh-CN" w:eastAsia="zh-CN"/>
        </w:rPr>
        <w:t>谨在此提醒您，一些国家的公民需要获得签证才能入境意大利并在此逗留。签证必须向驻贵国的意大利代表机构（使馆或领事馆）申请并领取。如贵国没有此类机构，则请向</w:t>
      </w:r>
      <w:proofErr w:type="gramStart"/>
      <w:r w:rsidRPr="006C4EB5">
        <w:rPr>
          <w:sz w:val="22"/>
          <w:szCs w:val="22"/>
          <w:lang w:val="zh-CN" w:eastAsia="zh-CN"/>
        </w:rPr>
        <w:t>驻离出发国</w:t>
      </w:r>
      <w:proofErr w:type="gramEnd"/>
      <w:r w:rsidRPr="006C4EB5">
        <w:rPr>
          <w:sz w:val="22"/>
          <w:szCs w:val="22"/>
          <w:lang w:val="zh-CN" w:eastAsia="zh-CN"/>
        </w:rPr>
        <w:t>最近国家的此类机构申请并领取。签证处理和批准可能需要一些时间，因此建议直接与相关代表机构核实并尽早申请。</w:t>
      </w:r>
    </w:p>
    <w:tbl>
      <w:tblPr>
        <w:tblW w:w="4765"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4"/>
        <w:gridCol w:w="7429"/>
      </w:tblGrid>
      <w:tr w:rsidR="006C4EB5" w:rsidRPr="006C4EB5" w14:paraId="55890731" w14:textId="77777777" w:rsidTr="002023FD">
        <w:trPr>
          <w:trHeight w:val="438"/>
        </w:trPr>
        <w:tc>
          <w:tcPr>
            <w:tcW w:w="1833" w:type="dxa"/>
            <w:tcBorders>
              <w:top w:val="single" w:sz="8" w:space="0" w:color="auto"/>
              <w:left w:val="single" w:sz="12" w:space="0" w:color="auto"/>
              <w:bottom w:val="single" w:sz="6" w:space="0" w:color="auto"/>
            </w:tcBorders>
            <w:tcMar>
              <w:top w:w="0" w:type="dxa"/>
              <w:left w:w="108" w:type="dxa"/>
              <w:bottom w:w="0" w:type="dxa"/>
              <w:right w:w="108" w:type="dxa"/>
            </w:tcMar>
            <w:hideMark/>
          </w:tcPr>
          <w:p w14:paraId="4B832A9D" w14:textId="77777777" w:rsidR="006C4EB5" w:rsidRPr="006C4EB5" w:rsidRDefault="006C4EB5" w:rsidP="002023FD">
            <w:pPr>
              <w:rPr>
                <w:rFonts w:cstheme="minorHAnsi"/>
                <w:sz w:val="22"/>
                <w:szCs w:val="22"/>
              </w:rPr>
            </w:pPr>
            <w:r w:rsidRPr="006C4EB5">
              <w:rPr>
                <w:color w:val="000000"/>
                <w:sz w:val="22"/>
                <w:szCs w:val="22"/>
                <w:lang w:val="zh-CN"/>
              </w:rPr>
              <w:t>2025</w:t>
            </w:r>
            <w:r w:rsidRPr="006C4EB5">
              <w:rPr>
                <w:color w:val="000000"/>
                <w:sz w:val="22"/>
                <w:szCs w:val="22"/>
                <w:lang w:val="zh-CN"/>
              </w:rPr>
              <w:t>年</w:t>
            </w:r>
            <w:r w:rsidRPr="006C4EB5">
              <w:rPr>
                <w:color w:val="000000"/>
                <w:sz w:val="22"/>
                <w:szCs w:val="22"/>
                <w:lang w:val="zh-CN"/>
              </w:rPr>
              <w:t>4</w:t>
            </w:r>
            <w:r w:rsidRPr="006C4EB5">
              <w:rPr>
                <w:color w:val="000000"/>
                <w:sz w:val="22"/>
                <w:szCs w:val="22"/>
                <w:lang w:val="zh-CN"/>
              </w:rPr>
              <w:t>月</w:t>
            </w:r>
            <w:r w:rsidRPr="006C4EB5">
              <w:rPr>
                <w:color w:val="000000"/>
                <w:sz w:val="22"/>
                <w:szCs w:val="22"/>
                <w:lang w:val="zh-CN"/>
              </w:rPr>
              <w:t>28</w:t>
            </w:r>
            <w:r w:rsidRPr="006C4EB5">
              <w:rPr>
                <w:color w:val="000000"/>
                <w:sz w:val="22"/>
                <w:szCs w:val="22"/>
                <w:lang w:val="zh-CN"/>
              </w:rPr>
              <w:t>日</w:t>
            </w:r>
          </w:p>
        </w:tc>
        <w:tc>
          <w:tcPr>
            <w:tcW w:w="7513" w:type="dxa"/>
            <w:tcBorders>
              <w:top w:val="single" w:sz="8" w:space="0" w:color="auto"/>
              <w:bottom w:val="single" w:sz="6" w:space="0" w:color="auto"/>
              <w:right w:val="single" w:sz="12" w:space="0" w:color="auto"/>
            </w:tcBorders>
            <w:tcMar>
              <w:top w:w="0" w:type="dxa"/>
              <w:left w:w="108" w:type="dxa"/>
              <w:bottom w:w="0" w:type="dxa"/>
              <w:right w:w="108" w:type="dxa"/>
            </w:tcMar>
            <w:hideMark/>
          </w:tcPr>
          <w:p w14:paraId="0206AF8B" w14:textId="3E9BDD03" w:rsidR="006C4EB5" w:rsidRPr="006C4EB5" w:rsidRDefault="006C4EB5" w:rsidP="002023FD">
            <w:pPr>
              <w:rPr>
                <w:rFonts w:cstheme="minorHAnsi"/>
                <w:sz w:val="22"/>
                <w:szCs w:val="22"/>
                <w:lang w:eastAsia="zh-CN"/>
              </w:rPr>
            </w:pPr>
            <w:r w:rsidRPr="006C4EB5">
              <w:rPr>
                <w:color w:val="000000"/>
                <w:sz w:val="22"/>
                <w:szCs w:val="22"/>
                <w:lang w:val="zh-CN" w:eastAsia="zh-CN"/>
              </w:rPr>
              <w:t>提交书面文稿</w:t>
            </w:r>
            <w:r w:rsidRPr="00A051C6">
              <w:rPr>
                <w:color w:val="000000"/>
                <w:sz w:val="22"/>
                <w:szCs w:val="22"/>
                <w:lang w:eastAsia="zh-CN"/>
              </w:rPr>
              <w:t>（</w:t>
            </w:r>
            <w:r w:rsidRPr="006C4EB5">
              <w:rPr>
                <w:color w:val="000000"/>
                <w:sz w:val="22"/>
                <w:szCs w:val="22"/>
                <w:lang w:val="zh-CN" w:eastAsia="zh-CN"/>
              </w:rPr>
              <w:t>通过电子邮件发给</w:t>
            </w:r>
            <w:hyperlink r:id="rId18" w:history="1">
              <w:r w:rsidR="00A051C6" w:rsidRPr="00D62A22">
                <w:rPr>
                  <w:rStyle w:val="Hyperlink"/>
                  <w:rFonts w:cstheme="minorHAnsi"/>
                  <w:sz w:val="22"/>
                  <w:szCs w:val="22"/>
                </w:rPr>
                <w:t>tsbfgai4ndm@itu.int</w:t>
              </w:r>
            </w:hyperlink>
            <w:r w:rsidRPr="00A051C6">
              <w:rPr>
                <w:color w:val="000000"/>
                <w:sz w:val="22"/>
                <w:szCs w:val="22"/>
                <w:lang w:eastAsia="zh-CN"/>
              </w:rPr>
              <w:t>）</w:t>
            </w:r>
          </w:p>
        </w:tc>
      </w:tr>
      <w:tr w:rsidR="006C4EB5" w:rsidRPr="00964B1D" w14:paraId="22E80D3B" w14:textId="77777777" w:rsidTr="002023FD">
        <w:trPr>
          <w:trHeight w:val="438"/>
        </w:trPr>
        <w:tc>
          <w:tcPr>
            <w:tcW w:w="1833" w:type="dxa"/>
            <w:tcBorders>
              <w:top w:val="single" w:sz="6" w:space="0" w:color="auto"/>
              <w:left w:val="single" w:sz="12" w:space="0" w:color="auto"/>
              <w:bottom w:val="single" w:sz="12" w:space="0" w:color="auto"/>
            </w:tcBorders>
            <w:tcMar>
              <w:top w:w="0" w:type="dxa"/>
              <w:left w:w="108" w:type="dxa"/>
              <w:bottom w:w="0" w:type="dxa"/>
              <w:right w:w="108" w:type="dxa"/>
            </w:tcMar>
          </w:tcPr>
          <w:p w14:paraId="04E5B647" w14:textId="77777777" w:rsidR="006C4EB5" w:rsidRPr="006C4EB5" w:rsidRDefault="006C4EB5" w:rsidP="002023FD">
            <w:pPr>
              <w:rPr>
                <w:rFonts w:cstheme="minorHAnsi"/>
                <w:sz w:val="22"/>
                <w:szCs w:val="22"/>
              </w:rPr>
            </w:pPr>
            <w:r w:rsidRPr="006C4EB5">
              <w:rPr>
                <w:color w:val="000000"/>
                <w:sz w:val="22"/>
                <w:szCs w:val="22"/>
                <w:lang w:val="zh-CN"/>
              </w:rPr>
              <w:t>2025</w:t>
            </w:r>
            <w:r w:rsidRPr="006C4EB5">
              <w:rPr>
                <w:color w:val="000000"/>
                <w:sz w:val="22"/>
                <w:szCs w:val="22"/>
                <w:lang w:val="zh-CN"/>
              </w:rPr>
              <w:t>年</w:t>
            </w:r>
            <w:r w:rsidRPr="006C4EB5">
              <w:rPr>
                <w:color w:val="000000"/>
                <w:sz w:val="22"/>
                <w:szCs w:val="22"/>
                <w:lang w:val="zh-CN"/>
              </w:rPr>
              <w:t>4</w:t>
            </w:r>
            <w:r w:rsidRPr="006C4EB5">
              <w:rPr>
                <w:color w:val="000000"/>
                <w:sz w:val="22"/>
                <w:szCs w:val="22"/>
                <w:lang w:val="zh-CN"/>
              </w:rPr>
              <w:t>月</w:t>
            </w:r>
            <w:r w:rsidRPr="006C4EB5">
              <w:rPr>
                <w:color w:val="000000"/>
                <w:sz w:val="22"/>
                <w:szCs w:val="22"/>
                <w:lang w:val="zh-CN"/>
              </w:rPr>
              <w:t>20</w:t>
            </w:r>
            <w:r w:rsidRPr="006C4EB5">
              <w:rPr>
                <w:color w:val="000000"/>
                <w:sz w:val="22"/>
                <w:szCs w:val="22"/>
                <w:lang w:val="zh-CN"/>
              </w:rPr>
              <w:t>日</w:t>
            </w:r>
          </w:p>
        </w:tc>
        <w:tc>
          <w:tcPr>
            <w:tcW w:w="7513" w:type="dxa"/>
            <w:tcBorders>
              <w:top w:val="single" w:sz="6" w:space="0" w:color="auto"/>
              <w:bottom w:val="single" w:sz="12" w:space="0" w:color="auto"/>
            </w:tcBorders>
            <w:tcMar>
              <w:top w:w="0" w:type="dxa"/>
              <w:left w:w="108" w:type="dxa"/>
              <w:bottom w:w="0" w:type="dxa"/>
              <w:right w:w="108" w:type="dxa"/>
            </w:tcMar>
          </w:tcPr>
          <w:p w14:paraId="7B8E733E" w14:textId="7646B867" w:rsidR="006C4EB5" w:rsidRPr="00964B1D" w:rsidRDefault="006C4EB5" w:rsidP="002023FD">
            <w:pPr>
              <w:rPr>
                <w:rFonts w:cstheme="minorHAnsi"/>
                <w:sz w:val="22"/>
                <w:szCs w:val="22"/>
                <w:lang w:val="it-IT" w:eastAsia="zh-CN"/>
              </w:rPr>
            </w:pPr>
            <w:r w:rsidRPr="006C4EB5">
              <w:rPr>
                <w:color w:val="000000"/>
                <w:sz w:val="22"/>
                <w:szCs w:val="22"/>
                <w:lang w:val="zh-CN" w:eastAsia="zh-CN"/>
              </w:rPr>
              <w:t>会议和讲习班的预</w:t>
            </w:r>
            <w:proofErr w:type="gramStart"/>
            <w:r w:rsidRPr="006C4EB5">
              <w:rPr>
                <w:color w:val="000000"/>
                <w:sz w:val="22"/>
                <w:szCs w:val="22"/>
                <w:lang w:val="zh-CN" w:eastAsia="zh-CN"/>
              </w:rPr>
              <w:t>注册请访问</w:t>
            </w:r>
            <w:proofErr w:type="gramEnd"/>
            <w:hyperlink r:id="rId19" w:history="1">
              <w:r w:rsidR="00A051C6" w:rsidRPr="00964B1D">
                <w:rPr>
                  <w:rStyle w:val="Hyperlink"/>
                  <w:rFonts w:cstheme="minorHAnsi"/>
                  <w:sz w:val="22"/>
                  <w:szCs w:val="22"/>
                  <w:lang w:val="it-IT" w:eastAsia="zh-CN"/>
                </w:rPr>
                <w:t>GI-AI4R</w:t>
              </w:r>
              <w:r w:rsidR="00A051C6">
                <w:rPr>
                  <w:rStyle w:val="Hyperlink"/>
                  <w:rFonts w:cstheme="minorHAnsi"/>
                  <w:sz w:val="22"/>
                  <w:szCs w:val="22"/>
                  <w:lang w:eastAsia="zh-CN"/>
                </w:rPr>
                <w:t>主页</w:t>
              </w:r>
            </w:hyperlink>
          </w:p>
        </w:tc>
      </w:tr>
    </w:tbl>
    <w:p w14:paraId="75DF7A5D" w14:textId="3289F2B6" w:rsidR="00512AB3" w:rsidRPr="006C4EB5" w:rsidRDefault="00720F32" w:rsidP="00512AB3">
      <w:pPr>
        <w:tabs>
          <w:tab w:val="left" w:pos="1418"/>
          <w:tab w:val="left" w:pos="1702"/>
          <w:tab w:val="left" w:pos="2160"/>
        </w:tabs>
        <w:spacing w:before="240"/>
        <w:rPr>
          <w:sz w:val="22"/>
          <w:szCs w:val="22"/>
          <w:lang w:eastAsia="zh-CN"/>
        </w:rPr>
      </w:pPr>
      <w:r w:rsidRPr="006C4EB5">
        <w:rPr>
          <w:rFonts w:hint="eastAsia"/>
          <w:sz w:val="22"/>
          <w:szCs w:val="22"/>
          <w:lang w:eastAsia="zh-CN"/>
        </w:rPr>
        <w:t>顺致敬意！</w:t>
      </w:r>
    </w:p>
    <w:p w14:paraId="069AEBD3" w14:textId="183A1929" w:rsidR="00512AB3" w:rsidRPr="00D402C7" w:rsidRDefault="00512AB3" w:rsidP="00570C7F">
      <w:pPr>
        <w:tabs>
          <w:tab w:val="clear" w:pos="1588"/>
          <w:tab w:val="clear" w:pos="1985"/>
          <w:tab w:val="left" w:pos="1418"/>
          <w:tab w:val="left" w:pos="6044"/>
        </w:tabs>
        <w:spacing w:before="240" w:after="240"/>
        <w:rPr>
          <w:rFonts w:ascii="STKaiti" w:eastAsia="STKaiti" w:hAnsi="STKaiti"/>
          <w:sz w:val="22"/>
          <w:szCs w:val="22"/>
          <w:lang w:val="en-US" w:eastAsia="zh-CN"/>
        </w:rPr>
      </w:pPr>
      <w:r w:rsidRPr="006C4EB5">
        <w:rPr>
          <w:rFonts w:ascii="STKaiti" w:eastAsia="STKaiti" w:hAnsi="STKaiti" w:hint="eastAsia"/>
          <w:sz w:val="22"/>
          <w:szCs w:val="22"/>
          <w:lang w:val="zh-CN" w:eastAsia="zh-CN"/>
        </w:rPr>
        <w:t>（原件已签）</w:t>
      </w:r>
    </w:p>
    <w:p w14:paraId="5CE3C80F" w14:textId="6E36244F" w:rsidR="00720F32" w:rsidRPr="006C4EB5" w:rsidRDefault="00B53188" w:rsidP="00512AB3">
      <w:pPr>
        <w:tabs>
          <w:tab w:val="left" w:pos="1418"/>
          <w:tab w:val="left" w:pos="1702"/>
          <w:tab w:val="left" w:pos="2160"/>
        </w:tabs>
        <w:spacing w:before="360"/>
        <w:rPr>
          <w:rFonts w:ascii="SimSun" w:hAnsi="SimSun"/>
          <w:sz w:val="22"/>
          <w:szCs w:val="22"/>
          <w:lang w:eastAsia="zh-CN"/>
        </w:rPr>
      </w:pPr>
      <w:r w:rsidRPr="006C4EB5">
        <w:rPr>
          <w:rFonts w:hint="eastAsia"/>
          <w:sz w:val="22"/>
          <w:szCs w:val="22"/>
          <w:lang w:eastAsia="zh-CN"/>
        </w:rPr>
        <w:t>电信</w:t>
      </w:r>
      <w:r w:rsidR="00512AB3" w:rsidRPr="006C4EB5">
        <w:rPr>
          <w:rFonts w:hint="eastAsia"/>
          <w:sz w:val="22"/>
          <w:szCs w:val="22"/>
          <w:lang w:eastAsia="zh-CN"/>
        </w:rPr>
        <w:t>标准化局主任</w:t>
      </w:r>
      <w:r w:rsidR="00512AB3" w:rsidRPr="006C4EB5">
        <w:rPr>
          <w:sz w:val="22"/>
          <w:szCs w:val="22"/>
          <w:lang w:eastAsia="zh-CN"/>
        </w:rPr>
        <w:br/>
      </w:r>
      <w:r w:rsidR="00512AB3" w:rsidRPr="006C4EB5">
        <w:rPr>
          <w:rFonts w:ascii="Calibri" w:hAnsi="Calibri" w:cs="Calibri" w:hint="eastAsia"/>
          <w:sz w:val="22"/>
          <w:szCs w:val="22"/>
          <w:lang w:eastAsia="zh-CN"/>
        </w:rPr>
        <w:t>尾上诚藏</w:t>
      </w:r>
    </w:p>
    <w:sectPr w:rsidR="00720F32" w:rsidRPr="006C4EB5" w:rsidSect="00B301D4">
      <w:headerReference w:type="default" r:id="rId20"/>
      <w:footerReference w:type="first" r:id="rId21"/>
      <w:pgSz w:w="11907" w:h="16840" w:code="9"/>
      <w:pgMar w:top="567" w:right="1089" w:bottom="567" w:left="1089" w:header="567" w:footer="567"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59C7" w14:textId="77777777" w:rsidR="00E93741" w:rsidRDefault="00E93741">
      <w:r>
        <w:separator/>
      </w:r>
    </w:p>
  </w:endnote>
  <w:endnote w:type="continuationSeparator" w:id="0">
    <w:p w14:paraId="462CECE6" w14:textId="77777777" w:rsidR="00E93741" w:rsidRDefault="00E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50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F30A" w14:textId="77777777" w:rsidR="00E93741" w:rsidRDefault="00E93741">
      <w:r>
        <w:separator/>
      </w:r>
    </w:p>
  </w:footnote>
  <w:footnote w:type="continuationSeparator" w:id="0">
    <w:p w14:paraId="60E2859A" w14:textId="77777777" w:rsidR="00E93741" w:rsidRDefault="00E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EEF8" w14:textId="2C1C1E61" w:rsidR="00335466" w:rsidRDefault="002D2024" w:rsidP="00335466">
    <w:pPr>
      <w:pStyle w:val="Header"/>
      <w:rPr>
        <w:sz w:val="18"/>
        <w:szCs w:val="18"/>
        <w:lang w:val="zh-CN"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r w:rsidR="009723C1">
      <w:rPr>
        <w:sz w:val="18"/>
        <w:szCs w:val="16"/>
        <w:lang w:eastAsia="zh-CN"/>
      </w:rPr>
      <w:br/>
    </w:r>
    <w:r w:rsidR="001F25CE" w:rsidRPr="001F25CE">
      <w:rPr>
        <w:sz w:val="18"/>
        <w:szCs w:val="18"/>
        <w:lang w:val="zh-CN" w:eastAsia="zh-CN"/>
      </w:rPr>
      <w:t>电信标准化局第</w:t>
    </w:r>
    <w:r w:rsidR="00570C7F">
      <w:rPr>
        <w:sz w:val="18"/>
        <w:szCs w:val="18"/>
        <w:lang w:val="en-US" w:eastAsia="zh-CN"/>
      </w:rPr>
      <w:t>30</w:t>
    </w:r>
    <w:r w:rsidR="001F25CE" w:rsidRPr="001F25CE">
      <w:rPr>
        <w:sz w:val="18"/>
        <w:szCs w:val="18"/>
        <w:lang w:val="zh-CN" w:eastAsia="zh-CN"/>
      </w:rPr>
      <w:t>号通函</w:t>
    </w:r>
  </w:p>
  <w:p w14:paraId="1A811C6F" w14:textId="77777777" w:rsidR="00B844E3" w:rsidRDefault="00B844E3" w:rsidP="00335466">
    <w:pPr>
      <w:pStyle w:val="Header"/>
      <w:rPr>
        <w:sz w:val="18"/>
        <w:szCs w:val="18"/>
        <w:lang w:val="zh-CN"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0AB4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749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E6A0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825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2665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67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9CFF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64F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88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A3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4B7CEB"/>
    <w:multiLevelType w:val="hybridMultilevel"/>
    <w:tmpl w:val="5C7A1ED0"/>
    <w:lvl w:ilvl="0" w:tplc="8C1A2B3A">
      <w:start w:val="1"/>
      <w:numFmt w:val="bullet"/>
      <w:pStyle w:val="enumlev1"/>
      <w:lvlText w:val=""/>
      <w:lvlJc w:val="left"/>
      <w:pPr>
        <w:ind w:left="720" w:hanging="360"/>
      </w:pPr>
      <w:rPr>
        <w:rFonts w:ascii="Symbol" w:hAnsi="Symbol" w:hint="default"/>
      </w:rPr>
    </w:lvl>
    <w:lvl w:ilvl="1" w:tplc="F050C770">
      <w:start w:val="1"/>
      <w:numFmt w:val="bullet"/>
      <w:lvlText w:val="o"/>
      <w:lvlJc w:val="left"/>
      <w:pPr>
        <w:ind w:left="1440" w:hanging="360"/>
      </w:pPr>
      <w:rPr>
        <w:rFonts w:ascii="Courier New" w:hAnsi="Courier New" w:hint="default"/>
      </w:rPr>
    </w:lvl>
    <w:lvl w:ilvl="2" w:tplc="BCA6DF66">
      <w:start w:val="1"/>
      <w:numFmt w:val="bullet"/>
      <w:lvlText w:val=""/>
      <w:lvlJc w:val="left"/>
      <w:pPr>
        <w:ind w:left="2160" w:hanging="360"/>
      </w:pPr>
      <w:rPr>
        <w:rFonts w:ascii="Wingdings" w:hAnsi="Wingdings" w:hint="default"/>
      </w:rPr>
    </w:lvl>
    <w:lvl w:ilvl="3" w:tplc="F2C2B944">
      <w:start w:val="1"/>
      <w:numFmt w:val="bullet"/>
      <w:lvlText w:val=""/>
      <w:lvlJc w:val="left"/>
      <w:pPr>
        <w:ind w:left="2880" w:hanging="360"/>
      </w:pPr>
      <w:rPr>
        <w:rFonts w:ascii="Symbol" w:hAnsi="Symbol" w:hint="default"/>
      </w:rPr>
    </w:lvl>
    <w:lvl w:ilvl="4" w:tplc="DA2690EA">
      <w:start w:val="1"/>
      <w:numFmt w:val="bullet"/>
      <w:lvlText w:val="o"/>
      <w:lvlJc w:val="left"/>
      <w:pPr>
        <w:ind w:left="3600" w:hanging="360"/>
      </w:pPr>
      <w:rPr>
        <w:rFonts w:ascii="Courier New" w:hAnsi="Courier New" w:hint="default"/>
      </w:rPr>
    </w:lvl>
    <w:lvl w:ilvl="5" w:tplc="09A68786">
      <w:start w:val="1"/>
      <w:numFmt w:val="bullet"/>
      <w:lvlText w:val=""/>
      <w:lvlJc w:val="left"/>
      <w:pPr>
        <w:ind w:left="4320" w:hanging="360"/>
      </w:pPr>
      <w:rPr>
        <w:rFonts w:ascii="Wingdings" w:hAnsi="Wingdings" w:hint="default"/>
      </w:rPr>
    </w:lvl>
    <w:lvl w:ilvl="6" w:tplc="B9BE2102">
      <w:start w:val="1"/>
      <w:numFmt w:val="bullet"/>
      <w:lvlText w:val=""/>
      <w:lvlJc w:val="left"/>
      <w:pPr>
        <w:ind w:left="5040" w:hanging="360"/>
      </w:pPr>
      <w:rPr>
        <w:rFonts w:ascii="Symbol" w:hAnsi="Symbol" w:hint="default"/>
      </w:rPr>
    </w:lvl>
    <w:lvl w:ilvl="7" w:tplc="9D38FB4A">
      <w:start w:val="1"/>
      <w:numFmt w:val="bullet"/>
      <w:lvlText w:val="o"/>
      <w:lvlJc w:val="left"/>
      <w:pPr>
        <w:ind w:left="5760" w:hanging="360"/>
      </w:pPr>
      <w:rPr>
        <w:rFonts w:ascii="Courier New" w:hAnsi="Courier New" w:hint="default"/>
      </w:rPr>
    </w:lvl>
    <w:lvl w:ilvl="8" w:tplc="EAA0B162">
      <w:start w:val="1"/>
      <w:numFmt w:val="bullet"/>
      <w:lvlText w:val=""/>
      <w:lvlJc w:val="left"/>
      <w:pPr>
        <w:ind w:left="6480" w:hanging="360"/>
      </w:pPr>
      <w:rPr>
        <w:rFonts w:ascii="Wingdings" w:hAnsi="Wingdings" w:hint="default"/>
      </w:rPr>
    </w:lvl>
  </w:abstractNum>
  <w:abstractNum w:abstractNumId="11"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93272">
    <w:abstractNumId w:val="11"/>
    <w:lvlOverride w:ilvl="0">
      <w:lvl w:ilvl="0" w:tplc="8064F242">
        <w:start w:val="5"/>
        <w:numFmt w:val="bullet"/>
        <w:lvlText w:val="-"/>
        <w:lvlJc w:val="left"/>
        <w:pPr>
          <w:ind w:left="720" w:hanging="360"/>
        </w:pPr>
        <w:rPr>
          <w:rFonts w:ascii="Calibri" w:eastAsia="Times New Roman" w:hAnsi="Calibri" w:cs="Calibri" w:hint="default"/>
        </w:rPr>
      </w:lvl>
    </w:lvlOverride>
  </w:num>
  <w:num w:numId="2" w16cid:durableId="298919988">
    <w:abstractNumId w:val="10"/>
    <w:lvlOverride w:ilvl="0">
      <w:lvl w:ilvl="0" w:tplc="8C1A2B3A">
        <w:start w:val="1"/>
        <w:numFmt w:val="bullet"/>
        <w:pStyle w:val="enumlev1"/>
        <w:lvlText w:val=""/>
        <w:lvlJc w:val="left"/>
        <w:pPr>
          <w:ind w:left="720" w:hanging="360"/>
        </w:pPr>
      </w:lvl>
    </w:lvlOverride>
  </w:num>
  <w:num w:numId="3" w16cid:durableId="2118523090">
    <w:abstractNumId w:val="9"/>
  </w:num>
  <w:num w:numId="4" w16cid:durableId="1327786163">
    <w:abstractNumId w:val="7"/>
  </w:num>
  <w:num w:numId="5" w16cid:durableId="293365946">
    <w:abstractNumId w:val="6"/>
  </w:num>
  <w:num w:numId="6" w16cid:durableId="1540162834">
    <w:abstractNumId w:val="5"/>
  </w:num>
  <w:num w:numId="7" w16cid:durableId="1928533393">
    <w:abstractNumId w:val="4"/>
  </w:num>
  <w:num w:numId="8" w16cid:durableId="1896158885">
    <w:abstractNumId w:val="8"/>
  </w:num>
  <w:num w:numId="9" w16cid:durableId="196895864">
    <w:abstractNumId w:val="3"/>
  </w:num>
  <w:num w:numId="10" w16cid:durableId="1769545138">
    <w:abstractNumId w:val="2"/>
  </w:num>
  <w:num w:numId="11" w16cid:durableId="1684819843">
    <w:abstractNumId w:val="1"/>
  </w:num>
  <w:num w:numId="12" w16cid:durableId="1600680050">
    <w:abstractNumId w:val="0"/>
  </w:num>
  <w:num w:numId="13" w16cid:durableId="1688823065">
    <w:abstractNumId w:val="8"/>
  </w:num>
  <w:num w:numId="14" w16cid:durableId="629173128">
    <w:abstractNumId w:val="3"/>
  </w:num>
  <w:num w:numId="15" w16cid:durableId="569466339">
    <w:abstractNumId w:val="2"/>
  </w:num>
  <w:num w:numId="16" w16cid:durableId="234708363">
    <w:abstractNumId w:val="1"/>
  </w:num>
  <w:num w:numId="17" w16cid:durableId="126295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27EE3"/>
    <w:rsid w:val="00081BA5"/>
    <w:rsid w:val="00090E72"/>
    <w:rsid w:val="00094C0B"/>
    <w:rsid w:val="000A2484"/>
    <w:rsid w:val="000A6A9D"/>
    <w:rsid w:val="00117471"/>
    <w:rsid w:val="00117A09"/>
    <w:rsid w:val="00124B7E"/>
    <w:rsid w:val="00160A43"/>
    <w:rsid w:val="00191798"/>
    <w:rsid w:val="001B2C8F"/>
    <w:rsid w:val="001D6E70"/>
    <w:rsid w:val="001F25CE"/>
    <w:rsid w:val="00220AC4"/>
    <w:rsid w:val="00234A9B"/>
    <w:rsid w:val="00250A71"/>
    <w:rsid w:val="002711FC"/>
    <w:rsid w:val="00282732"/>
    <w:rsid w:val="00284869"/>
    <w:rsid w:val="002C7AAC"/>
    <w:rsid w:val="002D2024"/>
    <w:rsid w:val="002E05E3"/>
    <w:rsid w:val="00303A2A"/>
    <w:rsid w:val="0030553E"/>
    <w:rsid w:val="003064AD"/>
    <w:rsid w:val="00314F07"/>
    <w:rsid w:val="00322BC4"/>
    <w:rsid w:val="00334386"/>
    <w:rsid w:val="00334A24"/>
    <w:rsid w:val="00335466"/>
    <w:rsid w:val="0034721F"/>
    <w:rsid w:val="0035674D"/>
    <w:rsid w:val="0038630E"/>
    <w:rsid w:val="003A6B73"/>
    <w:rsid w:val="003B6D4B"/>
    <w:rsid w:val="003E2C19"/>
    <w:rsid w:val="003F1CCA"/>
    <w:rsid w:val="004020AC"/>
    <w:rsid w:val="00464015"/>
    <w:rsid w:val="00486359"/>
    <w:rsid w:val="004C241D"/>
    <w:rsid w:val="00512AB3"/>
    <w:rsid w:val="00570C7F"/>
    <w:rsid w:val="00590119"/>
    <w:rsid w:val="005C26FD"/>
    <w:rsid w:val="00605389"/>
    <w:rsid w:val="0061096B"/>
    <w:rsid w:val="00624E27"/>
    <w:rsid w:val="00627AE8"/>
    <w:rsid w:val="0063445E"/>
    <w:rsid w:val="0064072B"/>
    <w:rsid w:val="006B3127"/>
    <w:rsid w:val="006B463C"/>
    <w:rsid w:val="006C4EB5"/>
    <w:rsid w:val="006D22B1"/>
    <w:rsid w:val="006D42C6"/>
    <w:rsid w:val="006E14B5"/>
    <w:rsid w:val="00720F32"/>
    <w:rsid w:val="00745E21"/>
    <w:rsid w:val="007568DA"/>
    <w:rsid w:val="007877F3"/>
    <w:rsid w:val="007B645F"/>
    <w:rsid w:val="007F17E4"/>
    <w:rsid w:val="00841612"/>
    <w:rsid w:val="0084436D"/>
    <w:rsid w:val="008B2BDA"/>
    <w:rsid w:val="009061A4"/>
    <w:rsid w:val="009128F1"/>
    <w:rsid w:val="009424FC"/>
    <w:rsid w:val="00956D38"/>
    <w:rsid w:val="00964B1D"/>
    <w:rsid w:val="00971F08"/>
    <w:rsid w:val="009723C1"/>
    <w:rsid w:val="009727EA"/>
    <w:rsid w:val="00974486"/>
    <w:rsid w:val="009C2FF6"/>
    <w:rsid w:val="00A051C6"/>
    <w:rsid w:val="00A1090D"/>
    <w:rsid w:val="00A16AB0"/>
    <w:rsid w:val="00A2678C"/>
    <w:rsid w:val="00A54AD2"/>
    <w:rsid w:val="00A55D76"/>
    <w:rsid w:val="00A767B9"/>
    <w:rsid w:val="00AA0EF3"/>
    <w:rsid w:val="00AA3151"/>
    <w:rsid w:val="00AA52E1"/>
    <w:rsid w:val="00AC3F9D"/>
    <w:rsid w:val="00B01F79"/>
    <w:rsid w:val="00B301D4"/>
    <w:rsid w:val="00B53188"/>
    <w:rsid w:val="00B56B75"/>
    <w:rsid w:val="00B6399C"/>
    <w:rsid w:val="00B844E3"/>
    <w:rsid w:val="00BB5392"/>
    <w:rsid w:val="00BC7AEE"/>
    <w:rsid w:val="00BE339D"/>
    <w:rsid w:val="00C03E87"/>
    <w:rsid w:val="00C124C9"/>
    <w:rsid w:val="00C20FE6"/>
    <w:rsid w:val="00C6016A"/>
    <w:rsid w:val="00C7008A"/>
    <w:rsid w:val="00C916ED"/>
    <w:rsid w:val="00C9760E"/>
    <w:rsid w:val="00CC50C4"/>
    <w:rsid w:val="00D16F47"/>
    <w:rsid w:val="00D2501B"/>
    <w:rsid w:val="00D34F86"/>
    <w:rsid w:val="00D402C7"/>
    <w:rsid w:val="00D75EE4"/>
    <w:rsid w:val="00E35907"/>
    <w:rsid w:val="00E41E39"/>
    <w:rsid w:val="00E47AFF"/>
    <w:rsid w:val="00E5276C"/>
    <w:rsid w:val="00E83A1B"/>
    <w:rsid w:val="00E93741"/>
    <w:rsid w:val="00EB525B"/>
    <w:rsid w:val="00F04F93"/>
    <w:rsid w:val="00F07A3C"/>
    <w:rsid w:val="00F20D70"/>
    <w:rsid w:val="00F346AB"/>
    <w:rsid w:val="00F85EC7"/>
    <w:rsid w:val="00F9383A"/>
    <w:rsid w:val="00FB35F9"/>
    <w:rsid w:val="00FF51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0A21"/>
  <w15:docId w15:val="{EFB94130-FF8A-4C90-AFF6-1182759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qFormat/>
    <w:rsid w:val="00F85E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TabletextChar">
    <w:name w:val="Table_text Char"/>
    <w:link w:val="Tabletext"/>
    <w:qFormat/>
    <w:locked/>
    <w:rsid w:val="00F85EC7"/>
    <w:rPr>
      <w:rFonts w:ascii="Calibri" w:hAnsi="Calibri"/>
      <w:sz w:val="21"/>
      <w:szCs w:val="10"/>
    </w:rPr>
  </w:style>
  <w:style w:type="paragraph" w:styleId="ListParagraph">
    <w:name w:val="List Paragraph"/>
    <w:basedOn w:val="Normal"/>
    <w:uiPriority w:val="34"/>
    <w:qFormat/>
    <w:rsid w:val="00F85EC7"/>
    <w:pPr>
      <w:spacing w:after="120" w:line="280" w:lineRule="exact"/>
      <w:ind w:left="720"/>
      <w:contextualSpacing/>
      <w:jc w:val="both"/>
    </w:pPr>
    <w:rPr>
      <w:rFonts w:ascii="Calibri" w:hAnsi="Calibri"/>
      <w:sz w:val="21"/>
      <w:szCs w:val="10"/>
      <w:lang w:val="en-US" w:eastAsia="zh-CN"/>
    </w:rPr>
  </w:style>
  <w:style w:type="paragraph" w:customStyle="1" w:styleId="enumlev1">
    <w:name w:val="enumlev 1"/>
    <w:basedOn w:val="ListParagraph"/>
    <w:rsid w:val="00F20D70"/>
    <w:pPr>
      <w:numPr>
        <w:numId w:val="2"/>
      </w:numPr>
      <w:tabs>
        <w:tab w:val="clear" w:pos="794"/>
        <w:tab w:val="clear" w:pos="1191"/>
        <w:tab w:val="clear" w:pos="1588"/>
        <w:tab w:val="clear" w:pos="1985"/>
      </w:tabs>
      <w:overflowPunct/>
      <w:autoSpaceDE/>
      <w:autoSpaceDN/>
      <w:adjustRightInd/>
      <w:spacing w:before="0" w:after="160" w:line="279" w:lineRule="auto"/>
      <w:textAlignment w:val="auto"/>
    </w:pPr>
    <w:rPr>
      <w:b/>
      <w:bCs/>
      <w:lang w:val="zh-CN"/>
    </w:rPr>
  </w:style>
  <w:style w:type="character" w:customStyle="1" w:styleId="BodyTextChar">
    <w:name w:val="Body Text Char"/>
    <w:basedOn w:val="DefaultParagraphFont"/>
    <w:link w:val="BodyText"/>
    <w:rsid w:val="00F20D70"/>
    <w:rPr>
      <w:rFonts w:ascii="Futura Lt BT" w:hAnsi="Futura Lt BT"/>
      <w:sz w:val="18"/>
      <w:lang w:val="fr-FR" w:eastAsia="en-US"/>
    </w:rPr>
  </w:style>
  <w:style w:type="paragraph" w:customStyle="1" w:styleId="enumlev10">
    <w:name w:val="enumlev1"/>
    <w:basedOn w:val="Normal"/>
    <w:rsid w:val="00C124C9"/>
    <w:pPr>
      <w:tabs>
        <w:tab w:val="left" w:pos="2608"/>
        <w:tab w:val="left" w:pos="3345"/>
      </w:tabs>
      <w:spacing w:before="80"/>
      <w:ind w:left="794" w:hanging="794"/>
    </w:pPr>
    <w:rPr>
      <w:rFonts w:ascii="Calibri" w:hAnsi="Calibri"/>
      <w:sz w:val="22"/>
    </w:rPr>
  </w:style>
  <w:style w:type="paragraph" w:customStyle="1" w:styleId="enumlev2">
    <w:name w:val="enumlev2"/>
    <w:basedOn w:val="enumlev10"/>
    <w:rsid w:val="0061096B"/>
    <w:pPr>
      <w:ind w:left="1191" w:hanging="397"/>
    </w:pPr>
  </w:style>
  <w:style w:type="character" w:styleId="UnresolvedMention">
    <w:name w:val="Unresolved Mention"/>
    <w:basedOn w:val="DefaultParagraphFont"/>
    <w:uiPriority w:val="99"/>
    <w:semiHidden/>
    <w:unhideWhenUsed/>
    <w:rsid w:val="00A051C6"/>
    <w:rPr>
      <w:color w:val="605E5C"/>
      <w:shd w:val="clear" w:color="auto" w:fill="E1DFDD"/>
    </w:rPr>
  </w:style>
  <w:style w:type="character" w:styleId="FollowedHyperlink">
    <w:name w:val="FollowedHyperlink"/>
    <w:basedOn w:val="DefaultParagraphFont"/>
    <w:semiHidden/>
    <w:unhideWhenUsed/>
    <w:rsid w:val="002711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ndm@itu.int" TargetMode="External"/><Relationship Id="rId13" Type="http://schemas.openxmlformats.org/officeDocument/2006/relationships/hyperlink" Target="https://www.itu.int/en/ITU-T/focusgroups/ai4ndm/Pages/default.aspx" TargetMode="External"/><Relationship Id="rId18" Type="http://schemas.openxmlformats.org/officeDocument/2006/relationships/hyperlink" Target="mailto:tsbfgai4ndm@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hub/2024/08/new-un-initiative-to-reduce-disaster-risk-with-ai/" TargetMode="External"/><Relationship Id="rId17" Type="http://schemas.openxmlformats.org/officeDocument/2006/relationships/hyperlink" Target="https://www.itu.int/en/ITU-T/extcoop/ai4resilience/Pages/default.aspx" TargetMode="External"/><Relationship Id="rId2" Type="http://schemas.openxmlformats.org/officeDocument/2006/relationships/styles" Target="styles.xml"/><Relationship Id="rId16" Type="http://schemas.openxmlformats.org/officeDocument/2006/relationships/hyperlink" Target="mailto:tsbfgai4ndm@itu.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extcoop/ai4resilience/Pages/default.aspx" TargetMode="External"/><Relationship Id="rId5" Type="http://schemas.openxmlformats.org/officeDocument/2006/relationships/footnotes" Target="footnotes.xml"/><Relationship Id="rId15" Type="http://schemas.openxmlformats.org/officeDocument/2006/relationships/hyperlink" Target="https://www.itu.int/en/ITU-T/extcoop/ai4resilience/Pages/default.aspx" TargetMode="External"/><Relationship Id="rId23" Type="http://schemas.openxmlformats.org/officeDocument/2006/relationships/theme" Target="theme/theme1.xml"/><Relationship Id="rId10" Type="http://schemas.openxmlformats.org/officeDocument/2006/relationships/hyperlink" Target="https://www.itu.int/en/ITU-T/extcoop/ai4resilience/Pages/default.aspx" TargetMode="External"/><Relationship Id="rId19" Type="http://schemas.openxmlformats.org/officeDocument/2006/relationships/hyperlink" Target="https://www.itu.int/en/ITU-T/extcoop/ai4resilience/Pages/default.aspx"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esa.int%2FAbout_Us%2FESRIN%2FContact_ESRIN&amp;data=05%7C02%7Cmythili.menon%40itu.int%7C7f877aa8e6194656a27608dd4c1682ad%7C23e464d704e64b87913c24bd89219fd3%7C0%7C0%7C638750381758521805%7CUnknown%7CTWFpbGZsb3d8eyJFbXB0eU1hcGkiOnRydWUsIlYiOiIwLjAuMDAwMCIsIlAiOiJXaW4zMiIsIkFOIjoiTWFpbCIsIldUIjoyfQ%3D%3D%7C0%7C%7C%7C&amp;sdata=sRbnslQl4PAABpUd5dsre%2FQohHizinifXNJWwN%2BzMMs%3D&amp;reserved=0" TargetMode="External"/><Relationship Id="rId14" Type="http://schemas.openxmlformats.org/officeDocument/2006/relationships/hyperlink" Target="https://www.itu.int/en/ITU-T/extcoop/ai4resilience/Pages/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han\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2</Pages>
  <Words>1302</Words>
  <Characters>1570</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2867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Ma, Yihan</dc:creator>
  <cp:lastModifiedBy>Maguire, Mairéad</cp:lastModifiedBy>
  <cp:revision>2</cp:revision>
  <cp:lastPrinted>2011-04-11T13:21:00Z</cp:lastPrinted>
  <dcterms:created xsi:type="dcterms:W3CDTF">2025-02-28T12:19:00Z</dcterms:created>
  <dcterms:modified xsi:type="dcterms:W3CDTF">2025-02-28T12:19:00Z</dcterms:modified>
</cp:coreProperties>
</file>