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031008" w14:paraId="2DFDD31E" w14:textId="77777777" w:rsidTr="00D517B2">
        <w:trPr>
          <w:cantSplit/>
          <w:trHeight w:val="1134"/>
        </w:trPr>
        <w:tc>
          <w:tcPr>
            <w:tcW w:w="798" w:type="pct"/>
          </w:tcPr>
          <w:p w14:paraId="5BED8CA9" w14:textId="77777777" w:rsidR="00D517B2" w:rsidRPr="00031008" w:rsidRDefault="00D517B2" w:rsidP="00D517B2">
            <w:pPr>
              <w:spacing w:before="0" w:line="240" w:lineRule="auto"/>
              <w:rPr>
                <w:b/>
                <w:bCs/>
                <w:rtl/>
                <w:lang w:bidi="ar-EG"/>
              </w:rPr>
            </w:pPr>
            <w:r w:rsidRPr="00031008">
              <w:rPr>
                <w:noProof/>
              </w:rPr>
              <w:drawing>
                <wp:inline distT="0" distB="0" distL="0" distR="0" wp14:anchorId="107103BF" wp14:editId="5AA96A03">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33A1838" w14:textId="77777777" w:rsidR="00D517B2" w:rsidRPr="00031008" w:rsidRDefault="00D517B2" w:rsidP="00D517B2">
            <w:pPr>
              <w:spacing w:before="200"/>
              <w:rPr>
                <w:b/>
                <w:bCs/>
                <w:sz w:val="36"/>
                <w:szCs w:val="36"/>
                <w:rtl/>
              </w:rPr>
            </w:pPr>
            <w:r w:rsidRPr="00031008">
              <w:rPr>
                <w:b/>
                <w:bCs/>
                <w:sz w:val="36"/>
                <w:szCs w:val="36"/>
                <w:rtl/>
              </w:rPr>
              <w:t>الاتحـاد الدولـي للاتصـالات</w:t>
            </w:r>
          </w:p>
          <w:p w14:paraId="26BFFA9B" w14:textId="77777777" w:rsidR="00D517B2" w:rsidRPr="00031008" w:rsidRDefault="00D517B2" w:rsidP="00D517B2">
            <w:pPr>
              <w:spacing w:before="60"/>
              <w:rPr>
                <w:b/>
                <w:bCs/>
                <w:sz w:val="28"/>
                <w:szCs w:val="28"/>
                <w:rtl/>
                <w:lang w:bidi="ar-EG"/>
              </w:rPr>
            </w:pPr>
            <w:r w:rsidRPr="00031008">
              <w:rPr>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63"/>
        <w:gridCol w:w="3825"/>
        <w:gridCol w:w="4251"/>
      </w:tblGrid>
      <w:tr w:rsidR="00D517B2" w:rsidRPr="00031008" w14:paraId="2863ADF2" w14:textId="77777777" w:rsidTr="00D1105C">
        <w:trPr>
          <w:cantSplit/>
          <w:jc w:val="center"/>
        </w:trPr>
        <w:tc>
          <w:tcPr>
            <w:tcW w:w="811" w:type="pct"/>
          </w:tcPr>
          <w:p w14:paraId="7D98F252" w14:textId="77777777" w:rsidR="00D517B2" w:rsidRPr="00031008" w:rsidRDefault="00D517B2" w:rsidP="00BB0F08">
            <w:pPr>
              <w:spacing w:line="300" w:lineRule="exact"/>
              <w:jc w:val="left"/>
              <w:rPr>
                <w:position w:val="2"/>
              </w:rPr>
            </w:pPr>
          </w:p>
        </w:tc>
        <w:tc>
          <w:tcPr>
            <w:tcW w:w="1984" w:type="pct"/>
          </w:tcPr>
          <w:p w14:paraId="6F953E7B" w14:textId="77777777" w:rsidR="00D517B2" w:rsidRPr="00031008" w:rsidRDefault="00D517B2" w:rsidP="00BB0F08">
            <w:pPr>
              <w:spacing w:line="300" w:lineRule="exact"/>
              <w:jc w:val="left"/>
              <w:rPr>
                <w:position w:val="2"/>
              </w:rPr>
            </w:pPr>
          </w:p>
        </w:tc>
        <w:tc>
          <w:tcPr>
            <w:tcW w:w="2205" w:type="pct"/>
          </w:tcPr>
          <w:p w14:paraId="4B8AD6EA" w14:textId="77777777" w:rsidR="00D517B2" w:rsidRPr="00031008" w:rsidRDefault="00D517B2" w:rsidP="00BB0F08">
            <w:pPr>
              <w:spacing w:line="300" w:lineRule="exact"/>
              <w:jc w:val="left"/>
              <w:rPr>
                <w:position w:val="2"/>
                <w:lang w:bidi="ar-EG"/>
              </w:rPr>
            </w:pPr>
          </w:p>
        </w:tc>
      </w:tr>
      <w:tr w:rsidR="00D517B2" w:rsidRPr="00031008" w14:paraId="54F9ABF3" w14:textId="77777777" w:rsidTr="00D1105C">
        <w:trPr>
          <w:cantSplit/>
          <w:jc w:val="center"/>
        </w:trPr>
        <w:tc>
          <w:tcPr>
            <w:tcW w:w="811" w:type="pct"/>
          </w:tcPr>
          <w:p w14:paraId="1314D5B6" w14:textId="77777777" w:rsidR="00D517B2" w:rsidRPr="00031008" w:rsidRDefault="00D517B2" w:rsidP="006019C6">
            <w:pPr>
              <w:spacing w:before="80" w:after="120" w:line="300" w:lineRule="exact"/>
              <w:jc w:val="left"/>
              <w:rPr>
                <w:position w:val="2"/>
              </w:rPr>
            </w:pPr>
          </w:p>
        </w:tc>
        <w:tc>
          <w:tcPr>
            <w:tcW w:w="1984" w:type="pct"/>
          </w:tcPr>
          <w:p w14:paraId="215774D2" w14:textId="77777777" w:rsidR="00D517B2" w:rsidRPr="00031008" w:rsidRDefault="00D517B2" w:rsidP="006019C6">
            <w:pPr>
              <w:spacing w:before="80" w:after="120" w:line="300" w:lineRule="exact"/>
              <w:jc w:val="left"/>
              <w:rPr>
                <w:position w:val="2"/>
                <w:lang w:bidi="ar-EG"/>
              </w:rPr>
            </w:pPr>
          </w:p>
        </w:tc>
        <w:tc>
          <w:tcPr>
            <w:tcW w:w="2205" w:type="pct"/>
          </w:tcPr>
          <w:p w14:paraId="33295DA1" w14:textId="1A70986B" w:rsidR="00D517B2" w:rsidRPr="00031008" w:rsidRDefault="00536C0B" w:rsidP="00536C0B">
            <w:pPr>
              <w:spacing w:before="80" w:after="120" w:line="300" w:lineRule="exact"/>
              <w:jc w:val="left"/>
              <w:rPr>
                <w:position w:val="2"/>
                <w:rtl/>
                <w:lang w:bidi="ar-EG"/>
              </w:rPr>
            </w:pPr>
            <w:r w:rsidRPr="00031008">
              <w:rPr>
                <w:position w:val="2"/>
                <w:rtl/>
              </w:rPr>
              <w:t>جنيف، 20 فبراير 2025</w:t>
            </w:r>
          </w:p>
        </w:tc>
      </w:tr>
      <w:tr w:rsidR="00D1105C" w:rsidRPr="00031008" w14:paraId="7EE96B54" w14:textId="77777777" w:rsidTr="00D1105C">
        <w:trPr>
          <w:cantSplit/>
          <w:jc w:val="center"/>
        </w:trPr>
        <w:tc>
          <w:tcPr>
            <w:tcW w:w="811" w:type="pct"/>
          </w:tcPr>
          <w:p w14:paraId="0946678A" w14:textId="77777777" w:rsidR="00D1105C" w:rsidRPr="00031008" w:rsidRDefault="00D1105C" w:rsidP="00D517B2">
            <w:pPr>
              <w:spacing w:before="80" w:after="60" w:line="300" w:lineRule="exact"/>
              <w:jc w:val="left"/>
              <w:rPr>
                <w:b/>
                <w:bCs/>
                <w:position w:val="2"/>
              </w:rPr>
            </w:pPr>
            <w:r w:rsidRPr="00031008">
              <w:rPr>
                <w:b/>
                <w:bCs/>
                <w:position w:val="2"/>
                <w:rtl/>
              </w:rPr>
              <w:t>المرجع:</w:t>
            </w:r>
          </w:p>
        </w:tc>
        <w:tc>
          <w:tcPr>
            <w:tcW w:w="1984" w:type="pct"/>
          </w:tcPr>
          <w:p w14:paraId="6CFEDFF0" w14:textId="30E7AFD4" w:rsidR="00D1105C" w:rsidRPr="00031008" w:rsidRDefault="00D1105C" w:rsidP="00536C0B">
            <w:pPr>
              <w:spacing w:before="80" w:after="60" w:line="300" w:lineRule="exact"/>
              <w:jc w:val="left"/>
              <w:rPr>
                <w:b/>
                <w:position w:val="2"/>
              </w:rPr>
            </w:pPr>
            <w:r w:rsidRPr="00031008">
              <w:rPr>
                <w:b/>
                <w:position w:val="2"/>
              </w:rPr>
              <w:t>TSB Circular 30</w:t>
            </w:r>
            <w:r w:rsidRPr="00031008">
              <w:rPr>
                <w:b/>
                <w:position w:val="2"/>
              </w:rPr>
              <w:br/>
            </w:r>
            <w:r w:rsidRPr="00031008">
              <w:rPr>
                <w:b/>
                <w:bCs/>
                <w:position w:val="2"/>
                <w:lang w:val="en-GB"/>
              </w:rPr>
              <w:t>TSB Events/MM</w:t>
            </w:r>
          </w:p>
        </w:tc>
        <w:tc>
          <w:tcPr>
            <w:tcW w:w="2205" w:type="pct"/>
            <w:vMerge w:val="restart"/>
          </w:tcPr>
          <w:p w14:paraId="08E1ECFB" w14:textId="77777777" w:rsidR="00D1105C" w:rsidRPr="00031008" w:rsidRDefault="00D1105C" w:rsidP="001E2788">
            <w:pPr>
              <w:tabs>
                <w:tab w:val="clear" w:pos="794"/>
                <w:tab w:val="left" w:pos="284"/>
              </w:tabs>
              <w:spacing w:before="80" w:after="60" w:line="300" w:lineRule="exact"/>
              <w:jc w:val="left"/>
              <w:rPr>
                <w:b/>
                <w:bCs/>
                <w:position w:val="2"/>
                <w:rtl/>
                <w:lang w:bidi="ar-EG"/>
              </w:rPr>
            </w:pPr>
            <w:r w:rsidRPr="00031008">
              <w:rPr>
                <w:b/>
                <w:bCs/>
                <w:position w:val="2"/>
                <w:rtl/>
              </w:rPr>
              <w:t>إلى:</w:t>
            </w:r>
          </w:p>
          <w:p w14:paraId="5E4D1726" w14:textId="77777777" w:rsidR="00D1105C" w:rsidRPr="00D1105C" w:rsidRDefault="00D1105C" w:rsidP="00D517B2">
            <w:pPr>
              <w:tabs>
                <w:tab w:val="clear" w:pos="794"/>
                <w:tab w:val="left" w:pos="284"/>
              </w:tabs>
              <w:spacing w:before="80" w:after="60" w:line="300" w:lineRule="exact"/>
              <w:ind w:left="284" w:hanging="284"/>
              <w:jc w:val="left"/>
              <w:rPr>
                <w:position w:val="2"/>
                <w:rtl/>
              </w:rPr>
            </w:pPr>
            <w:r w:rsidRPr="00D1105C">
              <w:rPr>
                <w:position w:val="2"/>
                <w:rtl/>
              </w:rPr>
              <w:t>-</w:t>
            </w:r>
            <w:r w:rsidRPr="00D1105C">
              <w:rPr>
                <w:position w:val="2"/>
                <w:rtl/>
              </w:rPr>
              <w:tab/>
              <w:t>إدارات الدول الأعضاء في الاتحاد؛</w:t>
            </w:r>
          </w:p>
          <w:p w14:paraId="17BC8E22" w14:textId="435133A7" w:rsidR="00D1105C" w:rsidRPr="00D1105C" w:rsidRDefault="00D1105C" w:rsidP="00536C0B">
            <w:pPr>
              <w:tabs>
                <w:tab w:val="left" w:pos="284"/>
                <w:tab w:val="left" w:pos="4111"/>
              </w:tabs>
              <w:spacing w:before="20" w:line="340" w:lineRule="exact"/>
              <w:ind w:left="284" w:hanging="284"/>
              <w:rPr>
                <w:position w:val="2"/>
                <w:rtl/>
                <w:lang w:bidi="ar-EG"/>
              </w:rPr>
            </w:pPr>
            <w:r w:rsidRPr="00D1105C">
              <w:rPr>
                <w:position w:val="2"/>
                <w:rtl/>
                <w:lang w:bidi="ar-EG"/>
              </w:rPr>
              <w:t>-</w:t>
            </w:r>
            <w:r w:rsidRPr="00D1105C">
              <w:rPr>
                <w:position w:val="2"/>
                <w:rtl/>
                <w:lang w:bidi="ar-EG"/>
              </w:rPr>
              <w:tab/>
            </w:r>
            <w:r w:rsidRPr="00D1105C">
              <w:rPr>
                <w:position w:val="2"/>
                <w:rtl/>
              </w:rPr>
              <w:t>دولة فلسطين (القرار 99 (المراجَع في دبي، 2018))؛</w:t>
            </w:r>
          </w:p>
          <w:p w14:paraId="4E7DEEF6" w14:textId="7F3B0F07" w:rsidR="00D1105C" w:rsidRPr="00D1105C" w:rsidRDefault="00D1105C" w:rsidP="00002A63">
            <w:pPr>
              <w:tabs>
                <w:tab w:val="left" w:pos="284"/>
                <w:tab w:val="left" w:pos="4111"/>
              </w:tabs>
              <w:spacing w:before="20" w:line="340" w:lineRule="exact"/>
              <w:ind w:left="284" w:hanging="284"/>
              <w:rPr>
                <w:position w:val="2"/>
                <w:rtl/>
                <w:lang w:bidi="ar-EG"/>
              </w:rPr>
            </w:pPr>
            <w:r w:rsidRPr="00D1105C">
              <w:rPr>
                <w:position w:val="2"/>
                <w:rtl/>
              </w:rPr>
              <w:t>-</w:t>
            </w:r>
            <w:r w:rsidRPr="00D1105C">
              <w:rPr>
                <w:position w:val="2"/>
                <w:rtl/>
              </w:rPr>
              <w:tab/>
            </w:r>
            <w:r w:rsidRPr="00D1105C">
              <w:rPr>
                <w:position w:val="2"/>
                <w:rtl/>
                <w:lang w:bidi="ar-EG"/>
              </w:rPr>
              <w:t>أعضاء قطاع تقييس الاتصالات بالاتحاد؛</w:t>
            </w:r>
          </w:p>
          <w:p w14:paraId="50452B42" w14:textId="77777777" w:rsidR="00D1105C" w:rsidRPr="00D1105C" w:rsidRDefault="00D1105C" w:rsidP="00002A63">
            <w:pPr>
              <w:tabs>
                <w:tab w:val="left" w:pos="284"/>
                <w:tab w:val="left" w:pos="4111"/>
              </w:tabs>
              <w:spacing w:before="20" w:line="340" w:lineRule="exact"/>
              <w:ind w:left="284" w:hanging="284"/>
              <w:rPr>
                <w:position w:val="2"/>
                <w:rtl/>
                <w:lang w:bidi="ar-EG"/>
              </w:rPr>
            </w:pPr>
            <w:r w:rsidRPr="00D1105C">
              <w:rPr>
                <w:position w:val="2"/>
                <w:rtl/>
              </w:rPr>
              <w:t>-</w:t>
            </w:r>
            <w:r w:rsidRPr="00D1105C">
              <w:rPr>
                <w:position w:val="2"/>
                <w:rtl/>
              </w:rPr>
              <w:tab/>
              <w:t>المنتسبين إلى قطاع تقييس الاتصالات؛</w:t>
            </w:r>
          </w:p>
          <w:p w14:paraId="586129AC" w14:textId="77777777" w:rsidR="00D1105C" w:rsidRPr="00031008" w:rsidRDefault="00D1105C" w:rsidP="00CE1C08">
            <w:pPr>
              <w:tabs>
                <w:tab w:val="clear" w:pos="794"/>
                <w:tab w:val="left" w:pos="284"/>
              </w:tabs>
              <w:spacing w:before="80" w:after="60" w:line="300" w:lineRule="exact"/>
              <w:ind w:left="284" w:hanging="284"/>
              <w:jc w:val="left"/>
              <w:rPr>
                <w:position w:val="2"/>
                <w:rtl/>
              </w:rPr>
            </w:pPr>
            <w:r w:rsidRPr="00D1105C">
              <w:rPr>
                <w:position w:val="2"/>
                <w:rtl/>
              </w:rPr>
              <w:t>-</w:t>
            </w:r>
            <w:r w:rsidRPr="00D1105C">
              <w:rPr>
                <w:position w:val="2"/>
                <w:rtl/>
              </w:rPr>
              <w:tab/>
              <w:t>الهيئات الأكاديمية المنضمة إلى</w:t>
            </w:r>
            <w:r w:rsidRPr="00D1105C">
              <w:rPr>
                <w:position w:val="2"/>
                <w:rtl/>
                <w:lang w:bidi="ar-EG"/>
              </w:rPr>
              <w:t xml:space="preserve"> الاتحاد</w:t>
            </w:r>
          </w:p>
          <w:p w14:paraId="22889091" w14:textId="77777777" w:rsidR="00D1105C" w:rsidRPr="00031008" w:rsidRDefault="00D1105C" w:rsidP="00CE1C08">
            <w:pPr>
              <w:tabs>
                <w:tab w:val="clear" w:pos="794"/>
                <w:tab w:val="left" w:pos="284"/>
              </w:tabs>
              <w:spacing w:before="80" w:after="60" w:line="300" w:lineRule="exact"/>
              <w:ind w:left="284" w:hanging="284"/>
              <w:jc w:val="left"/>
              <w:rPr>
                <w:b/>
                <w:bCs/>
                <w:position w:val="2"/>
                <w:rtl/>
              </w:rPr>
            </w:pPr>
            <w:r w:rsidRPr="00031008">
              <w:rPr>
                <w:b/>
                <w:bCs/>
                <w:position w:val="2"/>
                <w:rtl/>
              </w:rPr>
              <w:t>نسخة إلى:</w:t>
            </w:r>
          </w:p>
          <w:p w14:paraId="6C1EBF6C" w14:textId="77777777" w:rsidR="00D1105C" w:rsidRPr="00D1105C" w:rsidRDefault="00D1105C" w:rsidP="00CE1C08">
            <w:pPr>
              <w:tabs>
                <w:tab w:val="left" w:pos="284"/>
                <w:tab w:val="left" w:pos="4111"/>
              </w:tabs>
              <w:spacing w:before="0" w:line="340" w:lineRule="exact"/>
              <w:ind w:left="284" w:hanging="284"/>
              <w:rPr>
                <w:rFonts w:eastAsia="Times New Roman"/>
                <w:position w:val="2"/>
                <w:rtl/>
                <w:lang w:eastAsia="en-US"/>
              </w:rPr>
            </w:pPr>
            <w:r w:rsidRPr="00D1105C">
              <w:rPr>
                <w:position w:val="2"/>
                <w:rtl/>
              </w:rPr>
              <w:t>-</w:t>
            </w:r>
            <w:r w:rsidRPr="00D1105C">
              <w:rPr>
                <w:position w:val="2"/>
                <w:rtl/>
              </w:rPr>
              <w:tab/>
            </w:r>
            <w:r w:rsidRPr="00D1105C">
              <w:rPr>
                <w:rFonts w:eastAsia="Times New Roman"/>
                <w:position w:val="2"/>
                <w:rtl/>
                <w:lang w:eastAsia="en-US"/>
              </w:rPr>
              <w:t>رؤساء لجان الدراسات</w:t>
            </w:r>
            <w:r w:rsidRPr="00D1105C">
              <w:rPr>
                <w:rFonts w:eastAsia="Times New Roman"/>
                <w:position w:val="2"/>
                <w:rtl/>
                <w:lang w:eastAsia="en-US" w:bidi="ar-EG"/>
              </w:rPr>
              <w:t xml:space="preserve"> ونوابهم</w:t>
            </w:r>
            <w:r w:rsidRPr="00D1105C">
              <w:rPr>
                <w:rFonts w:eastAsia="Times New Roman"/>
                <w:position w:val="2"/>
                <w:rtl/>
                <w:lang w:eastAsia="en-US"/>
              </w:rPr>
              <w:t>؛</w:t>
            </w:r>
          </w:p>
          <w:p w14:paraId="72A28DA3" w14:textId="77777777" w:rsidR="00D1105C" w:rsidRPr="00D1105C" w:rsidRDefault="00D1105C" w:rsidP="00CE1C08">
            <w:pPr>
              <w:tabs>
                <w:tab w:val="left" w:pos="284"/>
                <w:tab w:val="left" w:pos="4111"/>
              </w:tabs>
              <w:spacing w:before="0" w:line="340" w:lineRule="exact"/>
              <w:ind w:left="284" w:hanging="284"/>
              <w:rPr>
                <w:rFonts w:eastAsia="Times New Roman"/>
                <w:position w:val="2"/>
                <w:rtl/>
                <w:lang w:eastAsia="en-US"/>
              </w:rPr>
            </w:pPr>
            <w:r w:rsidRPr="00D1105C">
              <w:rPr>
                <w:rFonts w:eastAsia="Times New Roman"/>
                <w:position w:val="2"/>
                <w:rtl/>
                <w:lang w:eastAsia="en-US"/>
              </w:rPr>
              <w:t>-</w:t>
            </w:r>
            <w:r w:rsidRPr="00D1105C">
              <w:rPr>
                <w:rFonts w:eastAsia="Times New Roman"/>
                <w:position w:val="2"/>
                <w:rtl/>
                <w:lang w:eastAsia="en-US"/>
              </w:rPr>
              <w:tab/>
              <w:t>مدير مكتب تنمية الاتصالات؛</w:t>
            </w:r>
          </w:p>
          <w:p w14:paraId="08995F4B" w14:textId="6120ACB6" w:rsidR="00D1105C" w:rsidRPr="00031008" w:rsidRDefault="00D1105C" w:rsidP="002E17C0">
            <w:pPr>
              <w:tabs>
                <w:tab w:val="left" w:pos="284"/>
                <w:tab w:val="left" w:pos="4111"/>
              </w:tabs>
              <w:spacing w:before="0" w:line="340" w:lineRule="exact"/>
              <w:ind w:left="284" w:hanging="284"/>
              <w:rPr>
                <w:position w:val="2"/>
                <w:rtl/>
              </w:rPr>
            </w:pPr>
            <w:r w:rsidRPr="00D1105C">
              <w:rPr>
                <w:rFonts w:eastAsia="Times New Roman"/>
                <w:position w:val="2"/>
                <w:rtl/>
                <w:lang w:eastAsia="en-US"/>
              </w:rPr>
              <w:t>-</w:t>
            </w:r>
            <w:r w:rsidRPr="00D1105C">
              <w:rPr>
                <w:rFonts w:eastAsia="Times New Roman"/>
                <w:position w:val="2"/>
                <w:rtl/>
                <w:lang w:eastAsia="en-US"/>
              </w:rPr>
              <w:tab/>
              <w:t>مدير مكتب الاتصالات الراديوية</w:t>
            </w:r>
          </w:p>
        </w:tc>
      </w:tr>
      <w:tr w:rsidR="00D1105C" w:rsidRPr="00031008" w14:paraId="28569AE0" w14:textId="77777777" w:rsidTr="00D1105C">
        <w:trPr>
          <w:cantSplit/>
          <w:jc w:val="center"/>
        </w:trPr>
        <w:tc>
          <w:tcPr>
            <w:tcW w:w="811" w:type="pct"/>
          </w:tcPr>
          <w:p w14:paraId="47114E29" w14:textId="77777777" w:rsidR="00D1105C" w:rsidRPr="00D1105C" w:rsidRDefault="00D1105C" w:rsidP="001E2788">
            <w:pPr>
              <w:spacing w:before="80" w:after="60" w:line="300" w:lineRule="exact"/>
              <w:jc w:val="left"/>
              <w:rPr>
                <w:position w:val="2"/>
                <w:rtl/>
                <w:lang w:bidi="ar-EG"/>
              </w:rPr>
            </w:pPr>
            <w:r w:rsidRPr="00D1105C">
              <w:rPr>
                <w:position w:val="2"/>
                <w:rtl/>
                <w:lang w:bidi="ar-EG"/>
              </w:rPr>
              <w:t>ال</w:t>
            </w:r>
            <w:r w:rsidRPr="00D1105C">
              <w:rPr>
                <w:position w:val="2"/>
                <w:rtl/>
                <w:lang w:bidi="ar-SY"/>
              </w:rPr>
              <w:t>هاتف</w:t>
            </w:r>
            <w:r w:rsidRPr="00D1105C">
              <w:rPr>
                <w:position w:val="2"/>
                <w:rtl/>
              </w:rPr>
              <w:t>:</w:t>
            </w:r>
          </w:p>
        </w:tc>
        <w:tc>
          <w:tcPr>
            <w:tcW w:w="1984" w:type="pct"/>
          </w:tcPr>
          <w:p w14:paraId="7DF042BF" w14:textId="6A265F73" w:rsidR="00D1105C" w:rsidRPr="00031008" w:rsidRDefault="00D1105C" w:rsidP="00536C0B">
            <w:pPr>
              <w:spacing w:before="80" w:after="60" w:line="300" w:lineRule="exact"/>
              <w:jc w:val="left"/>
              <w:rPr>
                <w:b/>
                <w:bCs/>
                <w:position w:val="2"/>
                <w:lang w:bidi="ar-EG"/>
              </w:rPr>
            </w:pPr>
            <w:r w:rsidRPr="00031008">
              <w:rPr>
                <w:bCs/>
                <w:position w:val="2"/>
              </w:rPr>
              <w:t>+41 22 730 5697</w:t>
            </w:r>
          </w:p>
        </w:tc>
        <w:tc>
          <w:tcPr>
            <w:tcW w:w="2205" w:type="pct"/>
            <w:vMerge/>
          </w:tcPr>
          <w:p w14:paraId="053DA103" w14:textId="473F09A0" w:rsidR="00D1105C" w:rsidRPr="00031008" w:rsidRDefault="00D1105C" w:rsidP="002E17C0">
            <w:pPr>
              <w:tabs>
                <w:tab w:val="left" w:pos="284"/>
                <w:tab w:val="left" w:pos="4111"/>
              </w:tabs>
              <w:spacing w:before="0" w:line="340" w:lineRule="exact"/>
              <w:ind w:left="284" w:hanging="284"/>
              <w:rPr>
                <w:position w:val="2"/>
              </w:rPr>
            </w:pPr>
          </w:p>
        </w:tc>
      </w:tr>
      <w:tr w:rsidR="00D1105C" w:rsidRPr="00031008" w14:paraId="3C9D9846" w14:textId="77777777" w:rsidTr="00D1105C">
        <w:trPr>
          <w:cantSplit/>
          <w:trHeight w:val="347"/>
          <w:jc w:val="center"/>
        </w:trPr>
        <w:tc>
          <w:tcPr>
            <w:tcW w:w="811" w:type="pct"/>
          </w:tcPr>
          <w:p w14:paraId="5CF26E79" w14:textId="77777777" w:rsidR="00D1105C" w:rsidRPr="00D1105C" w:rsidRDefault="00D1105C" w:rsidP="001E2788">
            <w:pPr>
              <w:spacing w:before="80" w:after="60" w:line="300" w:lineRule="exact"/>
              <w:jc w:val="left"/>
              <w:rPr>
                <w:position w:val="2"/>
                <w:rtl/>
              </w:rPr>
            </w:pPr>
            <w:r w:rsidRPr="00D1105C">
              <w:rPr>
                <w:position w:val="2"/>
                <w:rtl/>
              </w:rPr>
              <w:t>الفاكس:</w:t>
            </w:r>
          </w:p>
        </w:tc>
        <w:tc>
          <w:tcPr>
            <w:tcW w:w="1984" w:type="pct"/>
          </w:tcPr>
          <w:p w14:paraId="5EE40B67" w14:textId="04CD8EF8" w:rsidR="00D1105C" w:rsidRPr="00031008" w:rsidRDefault="00D1105C" w:rsidP="00536C0B">
            <w:pPr>
              <w:spacing w:before="80" w:after="60" w:line="300" w:lineRule="exact"/>
              <w:jc w:val="left"/>
              <w:rPr>
                <w:position w:val="2"/>
              </w:rPr>
            </w:pPr>
            <w:r w:rsidRPr="00031008">
              <w:rPr>
                <w:position w:val="2"/>
              </w:rPr>
              <w:t>+41 22 730 5853</w:t>
            </w:r>
          </w:p>
        </w:tc>
        <w:tc>
          <w:tcPr>
            <w:tcW w:w="2205" w:type="pct"/>
            <w:vMerge/>
          </w:tcPr>
          <w:p w14:paraId="6D965DE9" w14:textId="261CE324" w:rsidR="00D1105C" w:rsidRPr="00031008" w:rsidRDefault="00D1105C" w:rsidP="002E17C0">
            <w:pPr>
              <w:tabs>
                <w:tab w:val="left" w:pos="284"/>
                <w:tab w:val="left" w:pos="4111"/>
              </w:tabs>
              <w:spacing w:before="0" w:line="340" w:lineRule="exact"/>
              <w:ind w:left="284" w:hanging="284"/>
              <w:rPr>
                <w:position w:val="2"/>
              </w:rPr>
            </w:pPr>
          </w:p>
        </w:tc>
      </w:tr>
      <w:tr w:rsidR="00D1105C" w:rsidRPr="00031008" w14:paraId="525E0237" w14:textId="77777777" w:rsidTr="00D1105C">
        <w:trPr>
          <w:cantSplit/>
          <w:trHeight w:val="346"/>
          <w:jc w:val="center"/>
        </w:trPr>
        <w:tc>
          <w:tcPr>
            <w:tcW w:w="811" w:type="pct"/>
          </w:tcPr>
          <w:p w14:paraId="44A18DE6" w14:textId="3E1EF96A" w:rsidR="00D1105C" w:rsidRPr="00D1105C" w:rsidRDefault="00D1105C" w:rsidP="00D1105C">
            <w:pPr>
              <w:spacing w:before="80" w:after="60" w:line="300" w:lineRule="exact"/>
              <w:jc w:val="left"/>
              <w:rPr>
                <w:position w:val="2"/>
                <w:rtl/>
              </w:rPr>
            </w:pPr>
            <w:r w:rsidRPr="00031008">
              <w:rPr>
                <w:b/>
                <w:bCs/>
                <w:position w:val="2"/>
                <w:rtl/>
              </w:rPr>
              <w:t>البريد الإلكتروني:</w:t>
            </w:r>
          </w:p>
        </w:tc>
        <w:tc>
          <w:tcPr>
            <w:tcW w:w="1984" w:type="pct"/>
          </w:tcPr>
          <w:p w14:paraId="5440D587" w14:textId="45533325" w:rsidR="00D1105C" w:rsidRPr="00D1105C" w:rsidRDefault="00D1105C" w:rsidP="00D1105C">
            <w:pPr>
              <w:spacing w:before="80" w:after="60" w:line="300" w:lineRule="exact"/>
              <w:jc w:val="left"/>
              <w:rPr>
                <w:position w:val="2"/>
                <w:rtl/>
              </w:rPr>
            </w:pPr>
            <w:hyperlink r:id="rId9" w:history="1">
              <w:r w:rsidRPr="00031008">
                <w:rPr>
                  <w:rStyle w:val="Hyperlink"/>
                  <w:position w:val="2"/>
                </w:rPr>
                <w:t>tsbfgai4ndm@itu.int</w:t>
              </w:r>
            </w:hyperlink>
          </w:p>
        </w:tc>
        <w:tc>
          <w:tcPr>
            <w:tcW w:w="2205" w:type="pct"/>
            <w:vMerge/>
          </w:tcPr>
          <w:p w14:paraId="564C90DB" w14:textId="63897FD3" w:rsidR="00D1105C" w:rsidRPr="00031008" w:rsidRDefault="00D1105C" w:rsidP="002E17C0">
            <w:pPr>
              <w:tabs>
                <w:tab w:val="left" w:pos="284"/>
                <w:tab w:val="left" w:pos="4111"/>
              </w:tabs>
              <w:spacing w:before="0" w:line="340" w:lineRule="exact"/>
              <w:ind w:left="284" w:hanging="284"/>
              <w:rPr>
                <w:position w:val="2"/>
              </w:rPr>
            </w:pPr>
          </w:p>
        </w:tc>
      </w:tr>
      <w:tr w:rsidR="00D1105C" w:rsidRPr="00031008" w14:paraId="079D570C" w14:textId="77777777" w:rsidTr="002E17C0">
        <w:trPr>
          <w:cantSplit/>
          <w:trHeight w:val="440"/>
          <w:jc w:val="center"/>
        </w:trPr>
        <w:tc>
          <w:tcPr>
            <w:tcW w:w="811" w:type="pct"/>
            <w:tcBorders>
              <w:bottom w:val="nil"/>
            </w:tcBorders>
          </w:tcPr>
          <w:p w14:paraId="34725F99" w14:textId="77777777" w:rsidR="00D1105C" w:rsidRPr="00D1105C" w:rsidRDefault="00D1105C" w:rsidP="001E2788">
            <w:pPr>
              <w:spacing w:before="80" w:after="60" w:line="300" w:lineRule="exact"/>
              <w:jc w:val="left"/>
              <w:rPr>
                <w:position w:val="2"/>
                <w:rtl/>
              </w:rPr>
            </w:pPr>
          </w:p>
        </w:tc>
        <w:tc>
          <w:tcPr>
            <w:tcW w:w="1984" w:type="pct"/>
            <w:tcBorders>
              <w:bottom w:val="nil"/>
            </w:tcBorders>
          </w:tcPr>
          <w:p w14:paraId="7B87DDF4" w14:textId="34121312" w:rsidR="00D1105C" w:rsidRPr="00D1105C" w:rsidRDefault="00D1105C" w:rsidP="001E2788">
            <w:pPr>
              <w:spacing w:before="80" w:after="60" w:line="300" w:lineRule="exact"/>
              <w:jc w:val="left"/>
              <w:rPr>
                <w:position w:val="2"/>
                <w:rtl/>
              </w:rPr>
            </w:pPr>
          </w:p>
        </w:tc>
        <w:tc>
          <w:tcPr>
            <w:tcW w:w="2205" w:type="pct"/>
            <w:vMerge/>
            <w:tcBorders>
              <w:bottom w:val="nil"/>
            </w:tcBorders>
          </w:tcPr>
          <w:p w14:paraId="265AE203" w14:textId="0C0C5F06" w:rsidR="00D1105C" w:rsidRPr="00031008" w:rsidRDefault="00D1105C" w:rsidP="002E17C0">
            <w:pPr>
              <w:tabs>
                <w:tab w:val="left" w:pos="284"/>
                <w:tab w:val="left" w:pos="4111"/>
              </w:tabs>
              <w:spacing w:before="0" w:line="340" w:lineRule="exact"/>
              <w:ind w:left="284" w:hanging="284"/>
              <w:rPr>
                <w:position w:val="2"/>
              </w:rPr>
            </w:pPr>
          </w:p>
        </w:tc>
      </w:tr>
      <w:tr w:rsidR="00CE1C08" w:rsidRPr="00031008" w14:paraId="4A42212B" w14:textId="77777777" w:rsidTr="00D1105C">
        <w:trPr>
          <w:cantSplit/>
          <w:jc w:val="center"/>
        </w:trPr>
        <w:tc>
          <w:tcPr>
            <w:tcW w:w="811" w:type="pct"/>
          </w:tcPr>
          <w:p w14:paraId="2FEE4F4C" w14:textId="77777777" w:rsidR="00CE1C08" w:rsidRPr="00031008" w:rsidRDefault="00CE1C08" w:rsidP="00CE1C08">
            <w:pPr>
              <w:spacing w:before="80" w:after="60" w:line="300" w:lineRule="exact"/>
              <w:jc w:val="left"/>
              <w:rPr>
                <w:b/>
                <w:bCs/>
                <w:position w:val="2"/>
                <w:rtl/>
                <w:lang w:bidi="ar-EG"/>
              </w:rPr>
            </w:pPr>
          </w:p>
        </w:tc>
        <w:tc>
          <w:tcPr>
            <w:tcW w:w="1984" w:type="pct"/>
          </w:tcPr>
          <w:p w14:paraId="6464D459" w14:textId="77777777" w:rsidR="00CE1C08" w:rsidRPr="00031008" w:rsidRDefault="00CE1C08" w:rsidP="00CE1C08">
            <w:pPr>
              <w:spacing w:before="80" w:after="60" w:line="300" w:lineRule="exact"/>
              <w:jc w:val="left"/>
              <w:rPr>
                <w:position w:val="2"/>
              </w:rPr>
            </w:pPr>
          </w:p>
        </w:tc>
        <w:tc>
          <w:tcPr>
            <w:tcW w:w="2205" w:type="pct"/>
          </w:tcPr>
          <w:p w14:paraId="0B334DF3" w14:textId="77777777" w:rsidR="00CE1C08" w:rsidRPr="00031008" w:rsidRDefault="00CE1C08" w:rsidP="00CE1C08">
            <w:pPr>
              <w:spacing w:before="80" w:after="60" w:line="300" w:lineRule="exact"/>
              <w:jc w:val="left"/>
              <w:rPr>
                <w:position w:val="2"/>
                <w:rtl/>
              </w:rPr>
            </w:pPr>
          </w:p>
        </w:tc>
      </w:tr>
      <w:tr w:rsidR="00CE1C08" w:rsidRPr="00031008" w14:paraId="02C1018F" w14:textId="77777777" w:rsidTr="00D1105C">
        <w:trPr>
          <w:cantSplit/>
          <w:jc w:val="center"/>
        </w:trPr>
        <w:tc>
          <w:tcPr>
            <w:tcW w:w="811" w:type="pct"/>
          </w:tcPr>
          <w:p w14:paraId="65FF49CF" w14:textId="77777777" w:rsidR="00CE1C08" w:rsidRPr="00031008" w:rsidRDefault="00CE1C08" w:rsidP="00CE1C08">
            <w:pPr>
              <w:spacing w:before="80" w:after="60" w:line="300" w:lineRule="exact"/>
              <w:jc w:val="left"/>
              <w:rPr>
                <w:b/>
                <w:bCs/>
                <w:position w:val="2"/>
                <w:rtl/>
                <w:lang w:bidi="ar-SY"/>
              </w:rPr>
            </w:pPr>
            <w:r w:rsidRPr="00031008">
              <w:rPr>
                <w:b/>
                <w:bCs/>
                <w:position w:val="2"/>
                <w:rtl/>
              </w:rPr>
              <w:t>الموضوع:</w:t>
            </w:r>
          </w:p>
        </w:tc>
        <w:tc>
          <w:tcPr>
            <w:tcW w:w="4189" w:type="pct"/>
            <w:gridSpan w:val="2"/>
          </w:tcPr>
          <w:p w14:paraId="0DBF6637" w14:textId="2B1350D9" w:rsidR="00CE1C08" w:rsidRPr="008F0597" w:rsidRDefault="00536C0B" w:rsidP="00D1105C">
            <w:pPr>
              <w:spacing w:before="80" w:after="60" w:line="300" w:lineRule="exact"/>
              <w:rPr>
                <w:position w:val="2"/>
                <w:rtl/>
              </w:rPr>
            </w:pPr>
            <w:r w:rsidRPr="008F0597">
              <w:rPr>
                <w:b/>
                <w:bCs/>
                <w:position w:val="2"/>
                <w:rtl/>
              </w:rPr>
              <w:t>ورشة عمل الاتحاد بشأن "القدرة على الصمود في مواجهة المخاطر الطبيعية من خلال حلول الذكاء الاصطناعي" والاجتماع الثاني للمبادرة العالمية بشأن القدرة على الصمود في مواجهة المخاطر الطبيعية من خلال الحلول الذكاء الاصطناعي (</w:t>
            </w:r>
            <w:proofErr w:type="spellStart"/>
            <w:r w:rsidRPr="008F0597">
              <w:rPr>
                <w:b/>
                <w:bCs/>
                <w:position w:val="2"/>
                <w:rtl/>
              </w:rPr>
              <w:t>فراسكاتي</w:t>
            </w:r>
            <w:proofErr w:type="spellEnd"/>
            <w:r w:rsidRPr="008F0597">
              <w:rPr>
                <w:b/>
                <w:bCs/>
                <w:position w:val="2"/>
                <w:rtl/>
              </w:rPr>
              <w:t>، إيطاليا، 8-9 مايو 2025)</w:t>
            </w:r>
          </w:p>
        </w:tc>
      </w:tr>
    </w:tbl>
    <w:p w14:paraId="4165798E" w14:textId="77777777" w:rsidR="00D517B2" w:rsidRPr="00031008" w:rsidRDefault="00D517B2" w:rsidP="006635B2">
      <w:pPr>
        <w:spacing w:before="600"/>
        <w:rPr>
          <w:lang w:bidi="ar-SY"/>
        </w:rPr>
      </w:pPr>
      <w:r w:rsidRPr="00031008">
        <w:rPr>
          <w:rtl/>
          <w:lang w:bidi="ar-SY"/>
        </w:rPr>
        <w:t>حضرات السادة والسيدات،</w:t>
      </w:r>
    </w:p>
    <w:p w14:paraId="6CF515AD" w14:textId="77777777" w:rsidR="00D517B2" w:rsidRPr="00031008" w:rsidRDefault="00D517B2" w:rsidP="00D517B2">
      <w:pPr>
        <w:rPr>
          <w:rtl/>
          <w:lang w:bidi="ar-EG"/>
        </w:rPr>
      </w:pPr>
      <w:r w:rsidRPr="00031008">
        <w:rPr>
          <w:rtl/>
        </w:rPr>
        <w:t>تحية طيبة وبعد،</w:t>
      </w:r>
    </w:p>
    <w:p w14:paraId="7E73DDB2" w14:textId="405ED1BF" w:rsidR="00536C0B" w:rsidRPr="00031008" w:rsidRDefault="00536C0B" w:rsidP="00536C0B">
      <w:pPr>
        <w:textDirection w:val="tbRlV"/>
        <w:rPr>
          <w:lang w:val="ar-SA" w:eastAsia="zh-TW" w:bidi="en-GB"/>
        </w:rPr>
      </w:pPr>
      <w:r w:rsidRPr="00031008">
        <w:rPr>
          <w:rtl/>
        </w:rPr>
        <w:t>1</w:t>
      </w:r>
      <w:r w:rsidRPr="00031008">
        <w:rPr>
          <w:rtl/>
        </w:rPr>
        <w:tab/>
        <w:t xml:space="preserve">ينظم الاتحاد الدولي للاتصالات </w:t>
      </w:r>
      <w:r w:rsidRPr="00031008">
        <w:t>(ITU)</w:t>
      </w:r>
      <w:r w:rsidRPr="00031008">
        <w:rPr>
          <w:rtl/>
        </w:rPr>
        <w:t xml:space="preserve">، بالتعاون مع </w:t>
      </w:r>
      <w:hyperlink r:id="rId10" w:history="1">
        <w:r w:rsidRPr="00031008">
          <w:rPr>
            <w:rStyle w:val="Hyperlink"/>
            <w:rtl/>
          </w:rPr>
          <w:t>وكالة الفضاء الأوروبية (</w:t>
        </w:r>
        <w:r w:rsidRPr="00031008">
          <w:rPr>
            <w:rStyle w:val="Hyperlink"/>
          </w:rPr>
          <w:t>ESA</w:t>
        </w:r>
        <w:r w:rsidRPr="00031008">
          <w:rPr>
            <w:rStyle w:val="Hyperlink"/>
            <w:rtl/>
          </w:rPr>
          <w:t>)</w:t>
        </w:r>
      </w:hyperlink>
      <w:r w:rsidRPr="00031008">
        <w:rPr>
          <w:rtl/>
        </w:rPr>
        <w:t>، ورشة عمل بشأن "</w:t>
      </w:r>
      <w:r w:rsidRPr="000B39A7">
        <w:rPr>
          <w:b/>
          <w:bCs/>
          <w:rtl/>
        </w:rPr>
        <w:t>القدرة على الصمود في مواجهة المخاطر الطبيعية من خلال حلول الذكاء الاصطناعي</w:t>
      </w:r>
      <w:r w:rsidRPr="00031008">
        <w:rPr>
          <w:rtl/>
        </w:rPr>
        <w:t xml:space="preserve">" وهي ستقام في مؤسسة مركز رصد الأرض التابعة لوكالة الفضاء الأوروبية (ESA ESRIN) في </w:t>
      </w:r>
      <w:proofErr w:type="spellStart"/>
      <w:r w:rsidRPr="00031008">
        <w:rPr>
          <w:rtl/>
        </w:rPr>
        <w:t>فراسكاتي</w:t>
      </w:r>
      <w:proofErr w:type="spellEnd"/>
      <w:r w:rsidRPr="00031008">
        <w:rPr>
          <w:rtl/>
        </w:rPr>
        <w:t xml:space="preserve">، إيطاليا في </w:t>
      </w:r>
      <w:r w:rsidRPr="000B39A7">
        <w:rPr>
          <w:b/>
          <w:bCs/>
          <w:rtl/>
        </w:rPr>
        <w:t>8 مايو 2025</w:t>
      </w:r>
      <w:r w:rsidRPr="00031008">
        <w:rPr>
          <w:rtl/>
        </w:rPr>
        <w:t>. وستتكرم وكالة الفضاء الأوروبية (</w:t>
      </w:r>
      <w:r w:rsidRPr="00031008">
        <w:t>ESA</w:t>
      </w:r>
      <w:r w:rsidRPr="00031008">
        <w:rPr>
          <w:rtl/>
        </w:rPr>
        <w:t xml:space="preserve">) باستضافة ورشة العمل بالتزامن مع </w:t>
      </w:r>
      <w:r w:rsidRPr="00D1105C">
        <w:rPr>
          <w:b/>
          <w:bCs/>
          <w:rtl/>
        </w:rPr>
        <w:t>الاجتماع الثاني</w:t>
      </w:r>
      <w:r w:rsidRPr="00031008">
        <w:rPr>
          <w:rtl/>
        </w:rPr>
        <w:t xml:space="preserve"> </w:t>
      </w:r>
      <w:hyperlink r:id="rId11" w:history="1">
        <w:r w:rsidRPr="00031008">
          <w:rPr>
            <w:rStyle w:val="Hyperlink"/>
            <w:rtl/>
          </w:rPr>
          <w:t>للمبادرة العالمية بشأن القدرة على الصمود في مواجهة المخاطر الطبيعية من خلال حلول الذكاء الاصطناعي</w:t>
        </w:r>
      </w:hyperlink>
      <w:r w:rsidRPr="00031008">
        <w:rPr>
          <w:rtl/>
        </w:rPr>
        <w:t xml:space="preserve"> في </w:t>
      </w:r>
      <w:r w:rsidRPr="000B39A7">
        <w:rPr>
          <w:b/>
          <w:bCs/>
          <w:rtl/>
        </w:rPr>
        <w:t>9 مايو 2025</w:t>
      </w:r>
      <w:r w:rsidRPr="00031008">
        <w:rPr>
          <w:rtl/>
        </w:rPr>
        <w:t xml:space="preserve"> في المكان نفسه.</w:t>
      </w:r>
    </w:p>
    <w:p w14:paraId="3E0CFEDC" w14:textId="2BFBDA57" w:rsidR="00536C0B" w:rsidRPr="00031008" w:rsidRDefault="00536C0B" w:rsidP="00536C0B">
      <w:pPr>
        <w:textDirection w:val="tbRlV"/>
        <w:rPr>
          <w:lang w:val="ar-SA" w:eastAsia="zh-TW" w:bidi="en-GB"/>
        </w:rPr>
      </w:pPr>
      <w:r w:rsidRPr="00031008">
        <w:rPr>
          <w:rtl/>
        </w:rPr>
        <w:t>2</w:t>
      </w:r>
      <w:r w:rsidRPr="00031008">
        <w:rPr>
          <w:rtl/>
        </w:rPr>
        <w:tab/>
        <w:t>و</w:t>
      </w:r>
      <w:hyperlink r:id="rId12" w:history="1">
        <w:r w:rsidRPr="00031008">
          <w:rPr>
            <w:rStyle w:val="Hyperlink"/>
            <w:rtl/>
          </w:rPr>
          <w:t>المبادرة العالمية بشأن القدرة على الصمود في مواجهة الأخطار الطبيعية من خلال الحلول الذكاء الاصطناعي</w:t>
        </w:r>
      </w:hyperlink>
      <w:r w:rsidRPr="00031008">
        <w:rPr>
          <w:rtl/>
        </w:rPr>
        <w:t xml:space="preserve"> هي جهد تعاوني يقوده الاتحاد الدولي للاتصالات، جنبا</w:t>
      </w:r>
      <w:r w:rsidR="00D86306">
        <w:rPr>
          <w:rFonts w:hint="cs"/>
          <w:rtl/>
        </w:rPr>
        <w:t>ً</w:t>
      </w:r>
      <w:r w:rsidRPr="00031008">
        <w:rPr>
          <w:rtl/>
        </w:rPr>
        <w:t xml:space="preserve"> إلى جنب مع برنامج الأمم المتحدة للبيئة </w:t>
      </w:r>
      <w:r w:rsidRPr="00031008">
        <w:t>(UNEP)</w:t>
      </w:r>
      <w:r w:rsidRPr="00031008">
        <w:rPr>
          <w:rtl/>
        </w:rPr>
        <w:t>، واتفاقية الأمم المتحدة الإطارية بشأن تغير المناخ (</w:t>
      </w:r>
      <w:r w:rsidRPr="00031008">
        <w:t>UNFCCC</w:t>
      </w:r>
      <w:r w:rsidRPr="00031008">
        <w:rPr>
          <w:rtl/>
        </w:rPr>
        <w:t>)، والاتحاد البريدي العالمي (</w:t>
      </w:r>
      <w:r w:rsidRPr="00031008">
        <w:t>UPU</w:t>
      </w:r>
      <w:r w:rsidRPr="00031008">
        <w:rPr>
          <w:rtl/>
        </w:rPr>
        <w:t>)، والمنظمة العالمية للأرصاد الجوية (</w:t>
      </w:r>
      <w:r w:rsidRPr="00031008">
        <w:t>WMO</w:t>
      </w:r>
      <w:r w:rsidRPr="00031008">
        <w:rPr>
          <w:rtl/>
        </w:rPr>
        <w:t xml:space="preserve">). وتستكشف هذه المبادرة كيفية الاستفادة الفعالة من الذكاء الاصطناعي لإدارة الكوارث، وتقديم إرشادات الخبراء والدعم للبحث والابتكار وتسهيل وضع المعايير. ويمكن الاطلاع على مزيد من المعلومات عن إطلاق هذه المبادرة </w:t>
      </w:r>
      <w:hyperlink r:id="rId13" w:anchor="/ar" w:history="1">
        <w:r w:rsidRPr="00031008">
          <w:rPr>
            <w:rStyle w:val="Hyperlink"/>
            <w:rtl/>
          </w:rPr>
          <w:t>هنا</w:t>
        </w:r>
      </w:hyperlink>
      <w:r w:rsidRPr="00031008">
        <w:rPr>
          <w:rtl/>
        </w:rPr>
        <w:t xml:space="preserve">. وتستند هذه المبادرة إلى أنشطة </w:t>
      </w:r>
      <w:hyperlink r:id="rId14" w:anchor="/ar" w:history="1">
        <w:r w:rsidRPr="00031008">
          <w:rPr>
            <w:rStyle w:val="Hyperlink"/>
            <w:rtl/>
          </w:rPr>
          <w:t>الفريق المتخصص التابع للاتحاد الدولي للاتصالات والمنظمة العالمية للأرصاد الجوية وبرنامج الأمم المتحدة للبيئة والمعني بالذكاء الاصطناعي في إدارة الكوارث الطبيعية (FG-AI4NDM)</w:t>
        </w:r>
      </w:hyperlink>
      <w:r w:rsidRPr="00031008">
        <w:rPr>
          <w:rtl/>
        </w:rPr>
        <w:t>.</w:t>
      </w:r>
    </w:p>
    <w:p w14:paraId="139A07E1" w14:textId="77F40F86" w:rsidR="00536C0B" w:rsidRPr="00031008" w:rsidRDefault="00536C0B" w:rsidP="00D1105C">
      <w:pPr>
        <w:keepNext/>
        <w:keepLines/>
        <w:textDirection w:val="tbRlV"/>
        <w:rPr>
          <w:lang w:val="ar-SA" w:eastAsia="zh-TW" w:bidi="en-GB"/>
        </w:rPr>
      </w:pPr>
      <w:r w:rsidRPr="00031008">
        <w:rPr>
          <w:rtl/>
        </w:rPr>
        <w:lastRenderedPageBreak/>
        <w:t>3</w:t>
      </w:r>
      <w:r w:rsidRPr="00031008">
        <w:rPr>
          <w:rtl/>
        </w:rPr>
        <w:tab/>
        <w:t xml:space="preserve">وسيُعقد الاجتماع الثاني للمبادرة العالمية في 9 مايو 2025 في </w:t>
      </w:r>
      <w:proofErr w:type="spellStart"/>
      <w:r w:rsidRPr="00031008">
        <w:rPr>
          <w:rtl/>
        </w:rPr>
        <w:t>فراسكاتي</w:t>
      </w:r>
      <w:proofErr w:type="spellEnd"/>
      <w:r w:rsidRPr="00031008">
        <w:rPr>
          <w:rtl/>
        </w:rPr>
        <w:t>، إيطاليا. وسيركز هذا الاجتماع على استعراض المساهمات الخطية والمضي قدما</w:t>
      </w:r>
      <w:r w:rsidR="00810CE7">
        <w:rPr>
          <w:rFonts w:hint="cs"/>
          <w:rtl/>
        </w:rPr>
        <w:t>ً</w:t>
      </w:r>
      <w:r w:rsidRPr="00031008">
        <w:rPr>
          <w:rtl/>
        </w:rPr>
        <w:t xml:space="preserve"> في تطوير النواتج. وسيتاح مشروع جدول الأعمال ووثائق الاجتماعات والمعلومات الإضافية في </w:t>
      </w:r>
      <w:hyperlink r:id="rId15" w:history="1">
        <w:r w:rsidRPr="00031008">
          <w:rPr>
            <w:rStyle w:val="Hyperlink"/>
            <w:rtl/>
          </w:rPr>
          <w:t>الصفحة الرئيسية للمبادرة العالمية</w:t>
        </w:r>
      </w:hyperlink>
      <w:r w:rsidRPr="00031008">
        <w:rPr>
          <w:rtl/>
        </w:rPr>
        <w:t>.</w:t>
      </w:r>
    </w:p>
    <w:p w14:paraId="172D00EE" w14:textId="6904724D" w:rsidR="00536C0B" w:rsidRPr="00031008" w:rsidRDefault="00536C0B" w:rsidP="00D1105C">
      <w:pPr>
        <w:keepNext/>
        <w:keepLines/>
        <w:textDirection w:val="tbRlV"/>
        <w:rPr>
          <w:lang w:val="ar-SA" w:eastAsia="zh-TW" w:bidi="en-GB"/>
        </w:rPr>
      </w:pPr>
      <w:r w:rsidRPr="00031008">
        <w:rPr>
          <w:rtl/>
        </w:rPr>
        <w:t>والمساهمات الخطية وثيقة الصلة بالنجاح الذي سيحققه الفريق في نهاية المطاف، ويشجَّع تقديمها بقوة لتعزيز عمل المبادرة. وينبغي تقديم المساهمات الخطية إلى الأمانة (</w:t>
      </w:r>
      <w:hyperlink r:id="rId16" w:history="1">
        <w:r w:rsidRPr="00031008">
          <w:rPr>
            <w:rStyle w:val="Hyperlink"/>
            <w:rtl/>
          </w:rPr>
          <w:t>tsbfgai4ndm@itu.int</w:t>
        </w:r>
      </w:hyperlink>
      <w:r w:rsidRPr="00031008">
        <w:rPr>
          <w:rtl/>
        </w:rPr>
        <w:t xml:space="preserve">) في نسق إلكتروني باستخدام النماذج المتاحة في </w:t>
      </w:r>
      <w:hyperlink r:id="rId17" w:history="1">
        <w:r w:rsidRPr="00383814">
          <w:rPr>
            <w:rStyle w:val="Hyperlink"/>
            <w:rtl/>
          </w:rPr>
          <w:t>الصفحة الرئيسية للذكاء الاصطناعي في مجال البحوث (GI-AI4R)</w:t>
        </w:r>
      </w:hyperlink>
      <w:r w:rsidRPr="00031008">
        <w:rPr>
          <w:rtl/>
        </w:rPr>
        <w:t xml:space="preserve">. والموعد النهائي لتقديم المساهمات للاجتماع هو </w:t>
      </w:r>
      <w:r w:rsidRPr="000B39A7">
        <w:rPr>
          <w:b/>
          <w:bCs/>
          <w:rtl/>
        </w:rPr>
        <w:t>28 أبريل 2025</w:t>
      </w:r>
      <w:r w:rsidRPr="00031008">
        <w:rPr>
          <w:rtl/>
        </w:rPr>
        <w:t>.</w:t>
      </w:r>
    </w:p>
    <w:p w14:paraId="34897B29" w14:textId="6AA1E018" w:rsidR="00536C0B" w:rsidRPr="00031008" w:rsidRDefault="00536C0B" w:rsidP="00536C0B">
      <w:pPr>
        <w:textDirection w:val="tbRlV"/>
        <w:rPr>
          <w:lang w:val="ar-SA" w:eastAsia="zh-TW" w:bidi="en-GB"/>
        </w:rPr>
      </w:pPr>
      <w:r w:rsidRPr="00031008">
        <w:rPr>
          <w:rtl/>
        </w:rPr>
        <w:t>4</w:t>
      </w:r>
      <w:r w:rsidRPr="00031008">
        <w:rPr>
          <w:rtl/>
        </w:rPr>
        <w:tab/>
        <w:t>وستُفتح ورشة العمل في الساعة 09</w:t>
      </w:r>
      <w:r w:rsidR="00204135">
        <w:rPr>
          <w:rFonts w:hint="cs"/>
          <w:rtl/>
        </w:rPr>
        <w:t>:</w:t>
      </w:r>
      <w:r w:rsidRPr="00031008">
        <w:rPr>
          <w:rtl/>
        </w:rPr>
        <w:t>30 من يوم 8 مايو 2025 وسيفتح باب التسجيل في الساعة 08</w:t>
      </w:r>
      <w:r w:rsidR="00204135">
        <w:rPr>
          <w:rFonts w:hint="cs"/>
          <w:rtl/>
        </w:rPr>
        <w:t>:</w:t>
      </w:r>
      <w:r w:rsidRPr="00031008">
        <w:rPr>
          <w:rtl/>
        </w:rPr>
        <w:t>30 في اليوم نفسه. وسيصار إلى اصطحابكم إلى قاعة الاجتماع، وسترشدكم لافتات الحدث نحو وجهتكم. وسترد تفاصيل أوفى عن السفر والخدمات اللوجستية للمكان في رسالة الترحيب عند اقتراب مواعيد الحدث. وسيدور النقاش باللغة الإنكليزية حصراً. وستتاح المشاركة عن بعد في ورشة العمل.</w:t>
      </w:r>
    </w:p>
    <w:p w14:paraId="19469F6D" w14:textId="5B4D3223" w:rsidR="00536C0B" w:rsidRPr="00031008" w:rsidRDefault="00536C0B" w:rsidP="00536C0B">
      <w:pPr>
        <w:textDirection w:val="tbRlV"/>
        <w:rPr>
          <w:lang w:val="ar-SA" w:eastAsia="zh-TW" w:bidi="en-GB"/>
        </w:rPr>
      </w:pPr>
      <w:r w:rsidRPr="00031008">
        <w:rPr>
          <w:rtl/>
        </w:rPr>
        <w:t>5</w:t>
      </w:r>
      <w:r w:rsidRPr="00031008">
        <w:rPr>
          <w:rtl/>
        </w:rPr>
        <w:tab/>
        <w:t>والمشاركة في ورشة العمل مجانية ومفتوحة للدول الأعضاء في الاتحاد وأعضاء القطاع والمنتسبين والمؤسسات الأكاديمية ولأي شخص من أي بلد عضو في الاتحاد يرغب في المساهمة في العمل. وهذا يشمل الأفراد الذين هم أيضا</w:t>
      </w:r>
      <w:r w:rsidR="00295349">
        <w:rPr>
          <w:rFonts w:hint="cs"/>
          <w:rtl/>
        </w:rPr>
        <w:t>ً</w:t>
      </w:r>
      <w:r w:rsidRPr="00031008">
        <w:rPr>
          <w:rtl/>
        </w:rPr>
        <w:t xml:space="preserve"> أعضاء </w:t>
      </w:r>
      <w:r w:rsidR="00204135" w:rsidRPr="00031008">
        <w:rPr>
          <w:rtl/>
        </w:rPr>
        <w:t>في</w:t>
      </w:r>
      <w:r w:rsidR="00204135">
        <w:rPr>
          <w:rFonts w:hint="cs"/>
          <w:rtl/>
        </w:rPr>
        <w:t> </w:t>
      </w:r>
      <w:r w:rsidRPr="00031008">
        <w:rPr>
          <w:rtl/>
        </w:rPr>
        <w:t>المنظمات الدولية والإقليمية والوطنية، ولكن يرجى العلم بأن التسجيل إلزامي للحضور سواءً شخصيا</w:t>
      </w:r>
      <w:r w:rsidR="006A75CC">
        <w:rPr>
          <w:rFonts w:hint="cs"/>
          <w:rtl/>
        </w:rPr>
        <w:t>ً</w:t>
      </w:r>
      <w:r w:rsidRPr="00031008">
        <w:rPr>
          <w:rtl/>
        </w:rPr>
        <w:t xml:space="preserve"> أو عبر الإنترنت.</w:t>
      </w:r>
    </w:p>
    <w:p w14:paraId="455ECFAC" w14:textId="26201A49" w:rsidR="00536C0B" w:rsidRPr="00031008" w:rsidRDefault="00536C0B" w:rsidP="00536C0B">
      <w:pPr>
        <w:textDirection w:val="tbRlV"/>
        <w:rPr>
          <w:lang w:val="ar-SA" w:eastAsia="zh-TW" w:bidi="en-GB"/>
        </w:rPr>
      </w:pPr>
      <w:r w:rsidRPr="00031008">
        <w:rPr>
          <w:rtl/>
        </w:rPr>
        <w:t>6</w:t>
      </w:r>
      <w:r w:rsidRPr="00031008">
        <w:rPr>
          <w:rtl/>
        </w:rPr>
        <w:tab/>
        <w:t>ولتمكين مكتب تقييس الاتصالات من اتخاذ الترتيبات اللازمة فيما يتعلق بتنظيم ورشة العمل والاجتماع، سأغدو ممتنا</w:t>
      </w:r>
      <w:r w:rsidR="006841CD">
        <w:rPr>
          <w:rFonts w:hint="cs"/>
          <w:rtl/>
        </w:rPr>
        <w:t>ً</w:t>
      </w:r>
      <w:r w:rsidRPr="00031008">
        <w:rPr>
          <w:rtl/>
        </w:rPr>
        <w:t xml:space="preserve"> لو تفضلتم بالتسجيل في أقرب وقت ممكن على الصفحة الإلكترونية للحدث، في موعد أقصاه </w:t>
      </w:r>
      <w:r w:rsidRPr="003C77E6">
        <w:rPr>
          <w:b/>
          <w:bCs/>
          <w:rtl/>
        </w:rPr>
        <w:t>20 أبريل 2025</w:t>
      </w:r>
      <w:r w:rsidRPr="00031008">
        <w:rPr>
          <w:rtl/>
        </w:rPr>
        <w:t xml:space="preserve">. </w:t>
      </w:r>
      <w:r w:rsidRPr="00031008">
        <w:rPr>
          <w:b/>
          <w:bCs/>
          <w:rtl/>
        </w:rPr>
        <w:t>وترجى ملاحظة أن التسجيل المسبق للمشاركين في ورش العمل والاجتماعات إلزامي ويجرى عبر الإنترنت.</w:t>
      </w:r>
    </w:p>
    <w:p w14:paraId="6151C05D" w14:textId="6B123167" w:rsidR="00536C0B" w:rsidRPr="00031008" w:rsidRDefault="00536C0B" w:rsidP="00536C0B">
      <w:pPr>
        <w:textDirection w:val="tbRlV"/>
        <w:rPr>
          <w:lang w:val="ar-SA" w:eastAsia="zh-TW" w:bidi="en-GB"/>
        </w:rPr>
      </w:pPr>
      <w:r w:rsidRPr="00031008">
        <w:rPr>
          <w:rtl/>
        </w:rPr>
        <w:t>7</w:t>
      </w:r>
      <w:r w:rsidRPr="00031008">
        <w:rPr>
          <w:rtl/>
        </w:rPr>
        <w:tab/>
        <w:t xml:space="preserve">وستتاح جميع المعلومات ذات الصلة المتعلقة بورشة العمل، بما في ذلك مشروع البرنامج، على </w:t>
      </w:r>
      <w:hyperlink r:id="rId18" w:history="1">
        <w:r w:rsidRPr="00031008">
          <w:rPr>
            <w:rStyle w:val="Hyperlink"/>
            <w:rtl/>
          </w:rPr>
          <w:t>الصفحة الرئيسية للمبادرة العالمية</w:t>
        </w:r>
      </w:hyperlink>
      <w:r w:rsidRPr="00031008">
        <w:rPr>
          <w:rtl/>
        </w:rPr>
        <w:t>. وسيجري تحديث صفحة الويب الخاصة بالحدث بانتظام كلما توفر المزيد من المعلومات. ويشجَّع المشاركون على الاطلاع على صفحة الويب دوريا</w:t>
      </w:r>
      <w:r w:rsidR="006841CD">
        <w:rPr>
          <w:rFonts w:hint="cs"/>
          <w:rtl/>
        </w:rPr>
        <w:t>ً</w:t>
      </w:r>
      <w:r w:rsidRPr="00031008">
        <w:rPr>
          <w:rtl/>
        </w:rPr>
        <w:t xml:space="preserve"> للاطلاع على آخر المستجدات.</w:t>
      </w:r>
    </w:p>
    <w:p w14:paraId="184DA98C" w14:textId="77777777" w:rsidR="00536C0B" w:rsidRPr="00031008" w:rsidRDefault="00536C0B" w:rsidP="00536C0B">
      <w:pPr>
        <w:spacing w:after="120"/>
        <w:textDirection w:val="tbRlV"/>
        <w:rPr>
          <w:lang w:val="ar-SA" w:eastAsia="zh-TW" w:bidi="en-GB"/>
        </w:rPr>
      </w:pPr>
      <w:r w:rsidRPr="00031008">
        <w:rPr>
          <w:rtl/>
        </w:rPr>
        <w:t>8</w:t>
      </w:r>
      <w:r w:rsidRPr="00031008">
        <w:rPr>
          <w:rtl/>
        </w:rPr>
        <w:tab/>
        <w:t>وأود أن أذكركم بأن مواطني بعض البلدان مطالبون بالحصول على تأشيرة للدخول إلى إيطاليا وقضاء أي وقت فيها. ويجب الحصول على التأشيرة من المكتب (السفارة أو القنصلية) الذي يمثل إيطاليا في بلدكم أو، إذا لم يوجد مثل هذا المكتب في بلدكم، من أقرب مكتب إلى بلد المغادرة. وقد تستغرق معالجة التأشيرة والموافقة عليها بعض الوقت، لذلك تُقترح مراجعة المكتب الممثل المناسب مباشرةً والتقدم بطلب التأشيرة مبكراً.</w:t>
      </w:r>
    </w:p>
    <w:tbl>
      <w:tblPr>
        <w:bidiVisual/>
        <w:tblW w:w="4765"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99"/>
        <w:gridCol w:w="7358"/>
      </w:tblGrid>
      <w:tr w:rsidR="00536C0B" w:rsidRPr="00031008" w14:paraId="4F13622E" w14:textId="77777777" w:rsidTr="00D1105C">
        <w:trPr>
          <w:trHeight w:val="438"/>
        </w:trPr>
        <w:tc>
          <w:tcPr>
            <w:tcW w:w="1833" w:type="dxa"/>
            <w:tcBorders>
              <w:top w:val="single" w:sz="8" w:space="0" w:color="auto"/>
              <w:left w:val="single" w:sz="12" w:space="0" w:color="auto"/>
              <w:bottom w:val="single" w:sz="4" w:space="0" w:color="auto"/>
            </w:tcBorders>
            <w:tcMar>
              <w:top w:w="0" w:type="dxa"/>
              <w:left w:w="108" w:type="dxa"/>
              <w:bottom w:w="0" w:type="dxa"/>
              <w:right w:w="108" w:type="dxa"/>
            </w:tcMar>
            <w:hideMark/>
          </w:tcPr>
          <w:p w14:paraId="766E19B3" w14:textId="77777777" w:rsidR="00536C0B" w:rsidRPr="00031008" w:rsidRDefault="00536C0B" w:rsidP="00B90440">
            <w:pPr>
              <w:textDirection w:val="tbRlV"/>
              <w:rPr>
                <w:lang w:val="ar-SA" w:eastAsia="zh-TW" w:bidi="en-GB"/>
              </w:rPr>
            </w:pPr>
            <w:r w:rsidRPr="00031008">
              <w:rPr>
                <w:color w:val="000000"/>
                <w:rtl/>
              </w:rPr>
              <w:t>28 أبريل 2025</w:t>
            </w:r>
          </w:p>
        </w:tc>
        <w:tc>
          <w:tcPr>
            <w:tcW w:w="7513" w:type="dxa"/>
            <w:tcBorders>
              <w:top w:val="single" w:sz="8" w:space="0" w:color="auto"/>
              <w:bottom w:val="single" w:sz="4" w:space="0" w:color="auto"/>
              <w:right w:val="single" w:sz="12" w:space="0" w:color="auto"/>
            </w:tcBorders>
            <w:tcMar>
              <w:top w:w="0" w:type="dxa"/>
              <w:left w:w="108" w:type="dxa"/>
              <w:bottom w:w="0" w:type="dxa"/>
              <w:right w:w="108" w:type="dxa"/>
            </w:tcMar>
            <w:hideMark/>
          </w:tcPr>
          <w:p w14:paraId="78DCF0EB" w14:textId="796F170C" w:rsidR="00536C0B" w:rsidRPr="00031008" w:rsidRDefault="00536C0B" w:rsidP="00B90440">
            <w:pPr>
              <w:textDirection w:val="tbRlV"/>
              <w:rPr>
                <w:lang w:val="ar-SA" w:eastAsia="zh-TW" w:bidi="en-GB"/>
              </w:rPr>
            </w:pPr>
            <w:r w:rsidRPr="00031008">
              <w:rPr>
                <w:color w:val="000000"/>
                <w:rtl/>
              </w:rPr>
              <w:t xml:space="preserve">تقدَّم المساهمات المكتوبة (عن طريق البريد الإلكتروني إلى </w:t>
            </w:r>
            <w:hyperlink r:id="rId19" w:history="1">
              <w:r w:rsidRPr="00031008">
                <w:rPr>
                  <w:rStyle w:val="Hyperlink"/>
                  <w:rtl/>
                </w:rPr>
                <w:t>tsbfgai4ndm@itu.int</w:t>
              </w:r>
            </w:hyperlink>
            <w:r w:rsidR="007428A2" w:rsidRPr="00031008">
              <w:rPr>
                <w:color w:val="000000"/>
                <w:rtl/>
              </w:rPr>
              <w:t>)</w:t>
            </w:r>
          </w:p>
        </w:tc>
      </w:tr>
      <w:tr w:rsidR="00536C0B" w:rsidRPr="00031008" w14:paraId="4D71F4C3" w14:textId="77777777" w:rsidTr="00D1105C">
        <w:trPr>
          <w:trHeight w:val="438"/>
        </w:trPr>
        <w:tc>
          <w:tcPr>
            <w:tcW w:w="1833" w:type="dxa"/>
            <w:tcBorders>
              <w:top w:val="single" w:sz="4" w:space="0" w:color="auto"/>
              <w:left w:val="single" w:sz="12" w:space="0" w:color="auto"/>
              <w:bottom w:val="single" w:sz="12" w:space="0" w:color="auto"/>
            </w:tcBorders>
            <w:tcMar>
              <w:top w:w="0" w:type="dxa"/>
              <w:left w:w="108" w:type="dxa"/>
              <w:bottom w:w="0" w:type="dxa"/>
              <w:right w:w="108" w:type="dxa"/>
            </w:tcMar>
          </w:tcPr>
          <w:p w14:paraId="35AA4D76" w14:textId="77777777" w:rsidR="00536C0B" w:rsidRPr="00031008" w:rsidRDefault="00536C0B" w:rsidP="00B90440">
            <w:pPr>
              <w:textDirection w:val="tbRlV"/>
              <w:rPr>
                <w:lang w:val="ar-SA" w:eastAsia="zh-TW" w:bidi="en-GB"/>
              </w:rPr>
            </w:pPr>
            <w:r w:rsidRPr="00031008">
              <w:rPr>
                <w:color w:val="000000"/>
                <w:rtl/>
              </w:rPr>
              <w:t>20 أبريل 2025</w:t>
            </w:r>
          </w:p>
        </w:tc>
        <w:tc>
          <w:tcPr>
            <w:tcW w:w="7513" w:type="dxa"/>
            <w:tcBorders>
              <w:top w:val="single" w:sz="4" w:space="0" w:color="auto"/>
              <w:bottom w:val="single" w:sz="12" w:space="0" w:color="auto"/>
            </w:tcBorders>
            <w:tcMar>
              <w:top w:w="0" w:type="dxa"/>
              <w:left w:w="108" w:type="dxa"/>
              <w:bottom w:w="0" w:type="dxa"/>
              <w:right w:w="108" w:type="dxa"/>
            </w:tcMar>
          </w:tcPr>
          <w:p w14:paraId="616A7E08" w14:textId="3A3162EF" w:rsidR="00536C0B" w:rsidRPr="00031008" w:rsidRDefault="00536C0B" w:rsidP="00B90440">
            <w:pPr>
              <w:textDirection w:val="tbRlV"/>
              <w:rPr>
                <w:lang w:val="ar-SA" w:eastAsia="zh-TW" w:bidi="en-GB"/>
              </w:rPr>
            </w:pPr>
            <w:r w:rsidRPr="00031008">
              <w:rPr>
                <w:color w:val="000000"/>
                <w:rtl/>
              </w:rPr>
              <w:t xml:space="preserve">التسجيل المسبق للاجتماع وورشة العمل عبر الإنترنت في </w:t>
            </w:r>
            <w:hyperlink r:id="rId20" w:history="1">
              <w:r w:rsidRPr="00031008">
                <w:rPr>
                  <w:rStyle w:val="Hyperlink"/>
                  <w:rtl/>
                </w:rPr>
                <w:t>الصفحة الرئيسية للذكاء الاصطناعي في مجال البحوث (GI-AI4R)</w:t>
              </w:r>
            </w:hyperlink>
          </w:p>
        </w:tc>
      </w:tr>
    </w:tbl>
    <w:p w14:paraId="64D6F6EB" w14:textId="77777777" w:rsidR="00E84438" w:rsidRPr="00031008" w:rsidRDefault="00E84438" w:rsidP="00891703">
      <w:pPr>
        <w:spacing w:before="240"/>
        <w:jc w:val="left"/>
        <w:rPr>
          <w:rtl/>
          <w:lang w:bidi="ar-EG"/>
        </w:rPr>
      </w:pPr>
      <w:r w:rsidRPr="00031008">
        <w:rPr>
          <w:rtl/>
          <w:lang w:bidi="ar-EG"/>
        </w:rPr>
        <w:t>وتفضلوا بقبول فائق التقدير والاحترام.</w:t>
      </w:r>
    </w:p>
    <w:p w14:paraId="25CB8E02" w14:textId="77777777" w:rsidR="00E84438" w:rsidRPr="00031008" w:rsidRDefault="00E84438" w:rsidP="00891703">
      <w:pPr>
        <w:spacing w:before="720" w:after="720"/>
        <w:jc w:val="left"/>
        <w:rPr>
          <w:i/>
          <w:iCs/>
          <w:rtl/>
          <w:lang w:bidi="ar-SY"/>
        </w:rPr>
      </w:pPr>
      <w:r w:rsidRPr="00031008">
        <w:rPr>
          <w:rtl/>
          <w:lang w:bidi="ar-SY"/>
        </w:rPr>
        <w:t>(</w:t>
      </w:r>
      <w:r w:rsidR="001E2788" w:rsidRPr="00031008">
        <w:rPr>
          <w:rtl/>
          <w:lang w:bidi="ar-SY"/>
        </w:rPr>
        <w:t> </w:t>
      </w:r>
      <w:r w:rsidRPr="00031008">
        <w:rPr>
          <w:i/>
          <w:iCs/>
          <w:rtl/>
          <w:lang w:bidi="ar-SY"/>
        </w:rPr>
        <w:t>توقيع</w:t>
      </w:r>
      <w:r w:rsidRPr="00031008">
        <w:rPr>
          <w:rtl/>
          <w:lang w:bidi="ar-SY"/>
        </w:rPr>
        <w:t>)</w:t>
      </w:r>
    </w:p>
    <w:p w14:paraId="0D13A724" w14:textId="77777777" w:rsidR="00E84438" w:rsidRPr="00031008" w:rsidRDefault="00807031" w:rsidP="00E84438">
      <w:pPr>
        <w:jc w:val="left"/>
        <w:rPr>
          <w:rtl/>
        </w:rPr>
      </w:pPr>
      <w:proofErr w:type="spellStart"/>
      <w:r w:rsidRPr="00031008">
        <w:rPr>
          <w:rtl/>
          <w:lang w:bidi="ar-SY"/>
        </w:rPr>
        <w:t>سيزو</w:t>
      </w:r>
      <w:proofErr w:type="spellEnd"/>
      <w:r w:rsidRPr="00031008">
        <w:rPr>
          <w:rtl/>
          <w:lang w:bidi="ar-SY"/>
        </w:rPr>
        <w:t xml:space="preserve"> </w:t>
      </w:r>
      <w:proofErr w:type="spellStart"/>
      <w:r w:rsidRPr="00031008">
        <w:rPr>
          <w:rtl/>
          <w:lang w:bidi="ar-SY"/>
        </w:rPr>
        <w:t>أونوي</w:t>
      </w:r>
      <w:proofErr w:type="spellEnd"/>
      <w:r w:rsidR="00E84438" w:rsidRPr="00031008">
        <w:rPr>
          <w:rtl/>
          <w:lang w:bidi="ar-SY"/>
        </w:rPr>
        <w:br/>
        <w:t>مدير مكتب تقييس الاتصالات</w:t>
      </w:r>
    </w:p>
    <w:sectPr w:rsidR="00E84438" w:rsidRPr="00031008" w:rsidSect="006C3242">
      <w:headerReference w:type="defaul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3C86A" w14:textId="77777777" w:rsidR="00536C0B" w:rsidRDefault="00536C0B" w:rsidP="006C3242">
      <w:pPr>
        <w:spacing w:before="0" w:line="240" w:lineRule="auto"/>
      </w:pPr>
      <w:r>
        <w:separator/>
      </w:r>
    </w:p>
  </w:endnote>
  <w:endnote w:type="continuationSeparator" w:id="0">
    <w:p w14:paraId="7B206961" w14:textId="77777777" w:rsidR="00536C0B" w:rsidRDefault="00536C0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043D1"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4D4B3" w14:textId="77777777" w:rsidR="00536C0B" w:rsidRDefault="00536C0B" w:rsidP="006C3242">
      <w:pPr>
        <w:spacing w:before="0" w:line="240" w:lineRule="auto"/>
      </w:pPr>
      <w:r>
        <w:separator/>
      </w:r>
    </w:p>
  </w:footnote>
  <w:footnote w:type="continuationSeparator" w:id="0">
    <w:p w14:paraId="19F09553" w14:textId="77777777" w:rsidR="00536C0B" w:rsidRDefault="00536C0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8D69C" w14:textId="3B0FEB32" w:rsidR="00447F32" w:rsidRPr="00596808" w:rsidRDefault="00596808" w:rsidP="00536C0B">
    <w:pPr>
      <w:pStyle w:val="Header"/>
      <w:bidi w:val="0"/>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007139D8">
      <w:rPr>
        <w:sz w:val="20"/>
        <w:szCs w:val="20"/>
        <w:lang w:bidi="ar-EG"/>
      </w:rPr>
      <w:t xml:space="preserve">TSB Circular </w:t>
    </w:r>
    <w:r w:rsidR="00536C0B">
      <w:rPr>
        <w:sz w:val="20"/>
        <w:szCs w:val="20"/>
        <w:lang w:bidi="ar-EG"/>
      </w:rPr>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29184428">
    <w:abstractNumId w:val="9"/>
  </w:num>
  <w:num w:numId="2" w16cid:durableId="1167133369">
    <w:abstractNumId w:val="7"/>
  </w:num>
  <w:num w:numId="3" w16cid:durableId="1593658397">
    <w:abstractNumId w:val="6"/>
  </w:num>
  <w:num w:numId="4" w16cid:durableId="885526528">
    <w:abstractNumId w:val="5"/>
  </w:num>
  <w:num w:numId="5" w16cid:durableId="1872723928">
    <w:abstractNumId w:val="4"/>
  </w:num>
  <w:num w:numId="6" w16cid:durableId="2007659699">
    <w:abstractNumId w:val="8"/>
  </w:num>
  <w:num w:numId="7" w16cid:durableId="619846766">
    <w:abstractNumId w:val="3"/>
  </w:num>
  <w:num w:numId="8" w16cid:durableId="1326862784">
    <w:abstractNumId w:val="2"/>
  </w:num>
  <w:num w:numId="9" w16cid:durableId="65614283">
    <w:abstractNumId w:val="1"/>
  </w:num>
  <w:num w:numId="10" w16cid:durableId="1421876390">
    <w:abstractNumId w:val="0"/>
  </w:num>
  <w:num w:numId="11" w16cid:durableId="20128291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0B"/>
    <w:rsid w:val="00002A63"/>
    <w:rsid w:val="00012AB6"/>
    <w:rsid w:val="00017ED7"/>
    <w:rsid w:val="00031008"/>
    <w:rsid w:val="0006468A"/>
    <w:rsid w:val="00090574"/>
    <w:rsid w:val="000B39A7"/>
    <w:rsid w:val="000C1C0E"/>
    <w:rsid w:val="000C3243"/>
    <w:rsid w:val="000C548A"/>
    <w:rsid w:val="000E327F"/>
    <w:rsid w:val="00146FE2"/>
    <w:rsid w:val="001A773D"/>
    <w:rsid w:val="001C0169"/>
    <w:rsid w:val="001D1D50"/>
    <w:rsid w:val="001D6745"/>
    <w:rsid w:val="001E2788"/>
    <w:rsid w:val="001E446E"/>
    <w:rsid w:val="00204135"/>
    <w:rsid w:val="002154EE"/>
    <w:rsid w:val="002276D2"/>
    <w:rsid w:val="0023283D"/>
    <w:rsid w:val="00233BD8"/>
    <w:rsid w:val="0026373E"/>
    <w:rsid w:val="00271C43"/>
    <w:rsid w:val="00290728"/>
    <w:rsid w:val="00295349"/>
    <w:rsid w:val="002978F4"/>
    <w:rsid w:val="002B028D"/>
    <w:rsid w:val="002E0DAC"/>
    <w:rsid w:val="002E196B"/>
    <w:rsid w:val="002E6541"/>
    <w:rsid w:val="00334924"/>
    <w:rsid w:val="003409BC"/>
    <w:rsid w:val="00357185"/>
    <w:rsid w:val="00383814"/>
    <w:rsid w:val="00383829"/>
    <w:rsid w:val="003A3046"/>
    <w:rsid w:val="003C77E6"/>
    <w:rsid w:val="003C7EDF"/>
    <w:rsid w:val="003F4B29"/>
    <w:rsid w:val="00400EC6"/>
    <w:rsid w:val="0042686F"/>
    <w:rsid w:val="004317D8"/>
    <w:rsid w:val="00434183"/>
    <w:rsid w:val="00437E94"/>
    <w:rsid w:val="00443869"/>
    <w:rsid w:val="00447F32"/>
    <w:rsid w:val="004E11DC"/>
    <w:rsid w:val="005129A3"/>
    <w:rsid w:val="00521C6B"/>
    <w:rsid w:val="00525DDD"/>
    <w:rsid w:val="00532059"/>
    <w:rsid w:val="00536C0B"/>
    <w:rsid w:val="005409AC"/>
    <w:rsid w:val="0055516A"/>
    <w:rsid w:val="005731DD"/>
    <w:rsid w:val="0058491B"/>
    <w:rsid w:val="00592EA5"/>
    <w:rsid w:val="00595B52"/>
    <w:rsid w:val="00596808"/>
    <w:rsid w:val="005A3170"/>
    <w:rsid w:val="005F5CD4"/>
    <w:rsid w:val="006019C6"/>
    <w:rsid w:val="00612401"/>
    <w:rsid w:val="006635B2"/>
    <w:rsid w:val="00677396"/>
    <w:rsid w:val="006841CD"/>
    <w:rsid w:val="0069200F"/>
    <w:rsid w:val="006A65CB"/>
    <w:rsid w:val="006A75CC"/>
    <w:rsid w:val="006C1530"/>
    <w:rsid w:val="006C3242"/>
    <w:rsid w:val="006C7CC0"/>
    <w:rsid w:val="006E1BAD"/>
    <w:rsid w:val="006E6264"/>
    <w:rsid w:val="006F63F7"/>
    <w:rsid w:val="007025C7"/>
    <w:rsid w:val="00706D7A"/>
    <w:rsid w:val="007139D8"/>
    <w:rsid w:val="00722F0D"/>
    <w:rsid w:val="007428A2"/>
    <w:rsid w:val="00743229"/>
    <w:rsid w:val="0074420E"/>
    <w:rsid w:val="00783E26"/>
    <w:rsid w:val="007C3BC7"/>
    <w:rsid w:val="007C3BCD"/>
    <w:rsid w:val="007D4ACF"/>
    <w:rsid w:val="007F0787"/>
    <w:rsid w:val="00807031"/>
    <w:rsid w:val="00810B7B"/>
    <w:rsid w:val="00810CE7"/>
    <w:rsid w:val="0082358A"/>
    <w:rsid w:val="008235CD"/>
    <w:rsid w:val="008247DE"/>
    <w:rsid w:val="00840B10"/>
    <w:rsid w:val="008513CB"/>
    <w:rsid w:val="008717FF"/>
    <w:rsid w:val="00873469"/>
    <w:rsid w:val="00877F4B"/>
    <w:rsid w:val="00891703"/>
    <w:rsid w:val="008A7F84"/>
    <w:rsid w:val="008F0597"/>
    <w:rsid w:val="0090132D"/>
    <w:rsid w:val="0091702E"/>
    <w:rsid w:val="00923B0C"/>
    <w:rsid w:val="00926F44"/>
    <w:rsid w:val="0094021C"/>
    <w:rsid w:val="0094432F"/>
    <w:rsid w:val="00952F86"/>
    <w:rsid w:val="00982B28"/>
    <w:rsid w:val="009D313F"/>
    <w:rsid w:val="00A25EAF"/>
    <w:rsid w:val="00A47A5A"/>
    <w:rsid w:val="00A6683B"/>
    <w:rsid w:val="00A77C90"/>
    <w:rsid w:val="00A9156F"/>
    <w:rsid w:val="00A97F94"/>
    <w:rsid w:val="00AA7EA2"/>
    <w:rsid w:val="00AB0BC9"/>
    <w:rsid w:val="00AF6B5C"/>
    <w:rsid w:val="00B03099"/>
    <w:rsid w:val="00B05BC8"/>
    <w:rsid w:val="00B64B47"/>
    <w:rsid w:val="00B916A7"/>
    <w:rsid w:val="00BB0F08"/>
    <w:rsid w:val="00C002DE"/>
    <w:rsid w:val="00C53BF8"/>
    <w:rsid w:val="00C66157"/>
    <w:rsid w:val="00C674FE"/>
    <w:rsid w:val="00C67501"/>
    <w:rsid w:val="00C75633"/>
    <w:rsid w:val="00CC5783"/>
    <w:rsid w:val="00CE1C08"/>
    <w:rsid w:val="00CE2EE1"/>
    <w:rsid w:val="00CE3349"/>
    <w:rsid w:val="00CE36E5"/>
    <w:rsid w:val="00CE4EE7"/>
    <w:rsid w:val="00CF27F5"/>
    <w:rsid w:val="00CF3FFD"/>
    <w:rsid w:val="00D035E0"/>
    <w:rsid w:val="00D10CCF"/>
    <w:rsid w:val="00D1105C"/>
    <w:rsid w:val="00D22846"/>
    <w:rsid w:val="00D517B2"/>
    <w:rsid w:val="00D715C3"/>
    <w:rsid w:val="00D76170"/>
    <w:rsid w:val="00D77D0F"/>
    <w:rsid w:val="00D86306"/>
    <w:rsid w:val="00DA1CF0"/>
    <w:rsid w:val="00DC1E02"/>
    <w:rsid w:val="00DC24B4"/>
    <w:rsid w:val="00DC5FB0"/>
    <w:rsid w:val="00DD1EBB"/>
    <w:rsid w:val="00DF16DC"/>
    <w:rsid w:val="00E45211"/>
    <w:rsid w:val="00E473C5"/>
    <w:rsid w:val="00E63A96"/>
    <w:rsid w:val="00E84438"/>
    <w:rsid w:val="00E92863"/>
    <w:rsid w:val="00EB555A"/>
    <w:rsid w:val="00EB796D"/>
    <w:rsid w:val="00F058DC"/>
    <w:rsid w:val="00F24FC4"/>
    <w:rsid w:val="00F2676C"/>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EA5BC1"/>
  <w15:chartTrackingRefBased/>
  <w15:docId w15:val="{6875D9D4-EFC0-45F3-9A9D-6121F756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styleId="Revision">
    <w:name w:val="Revision"/>
    <w:hidden/>
    <w:uiPriority w:val="99"/>
    <w:semiHidden/>
    <w:rsid w:val="00A25EAF"/>
    <w:pPr>
      <w:spacing w:after="0" w:line="240" w:lineRule="auto"/>
    </w:pPr>
    <w:rPr>
      <w:rFonts w:ascii="Dubai" w:hAnsi="Dubai" w:cs="Dubai"/>
    </w:rPr>
  </w:style>
  <w:style w:type="character" w:styleId="FollowedHyperlink">
    <w:name w:val="FollowedHyperlink"/>
    <w:basedOn w:val="DefaultParagraphFont"/>
    <w:uiPriority w:val="99"/>
    <w:semiHidden/>
    <w:unhideWhenUsed/>
    <w:rsid w:val="00521C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hub/2024/08/new-un-initiative-to-reduce-disaster-risk-with-ai/" TargetMode="External"/><Relationship Id="rId18" Type="http://schemas.openxmlformats.org/officeDocument/2006/relationships/hyperlink" Target="https://www.itu.int/en/ITU-T/extcoop/ai4resilience/Pages/default.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en/ITU-T/extcoop/ai4resilience/Pages/default.aspx" TargetMode="External"/><Relationship Id="rId17" Type="http://schemas.openxmlformats.org/officeDocument/2006/relationships/hyperlink" Target="https://www.itu.int/en/ITU-T/extcoop/ai4resilience/Pages/default.aspx" TargetMode="External"/><Relationship Id="rId2" Type="http://schemas.openxmlformats.org/officeDocument/2006/relationships/numbering" Target="numbering.xml"/><Relationship Id="rId16" Type="http://schemas.openxmlformats.org/officeDocument/2006/relationships/hyperlink" Target="mailto:tsbfgai4ndm@itu.int" TargetMode="External"/><Relationship Id="rId20" Type="http://schemas.openxmlformats.org/officeDocument/2006/relationships/hyperlink" Target="https://www.itu.int/en/ITU-T/extcoop/ai4resilience/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extcoop/ai4resilience/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T/extcoop/ai4resilience/Pages/default.aspx" TargetMode="External"/><Relationship Id="rId23" Type="http://schemas.openxmlformats.org/officeDocument/2006/relationships/fontTable" Target="fontTable.xml"/><Relationship Id="rId10" Type="http://schemas.openxmlformats.org/officeDocument/2006/relationships/hyperlink" Target="https://eur03.safelinks.protection.outlook.com/?url=https%3A%2F%2Fwww.esa.int%2FAbout_Us%2FESRIN%2FContact_ESRIN&amp;data=05%7C02%7Cmythili.menon%40itu.int%7C7f877aa8e6194656a27608dd4c1682ad%7C23e464d704e64b87913c24bd89219fd3%7C0%7C0%7C638750381758521805%7CUnknown%7CTWFpbGZsb3d8eyJFbXB0eU1hcGkiOnRydWUsIlYiOiIwLjAuMDAwMCIsIlAiOiJXaW4zMiIsIkFOIjoiTWFpbCIsIldUIjoyfQ%3D%3D%7C0%7C%7C%7C&amp;sdata=sRbnslQl4PAABpUd5dsre%2FQohHizinifXNJWwN%2BzMMs%3D&amp;reserved=0" TargetMode="External"/><Relationship Id="rId19" Type="http://schemas.openxmlformats.org/officeDocument/2006/relationships/hyperlink" Target="mailto:tsbfgai4ndm@itu.int" TargetMode="External"/><Relationship Id="rId4" Type="http://schemas.openxmlformats.org/officeDocument/2006/relationships/settings" Target="settings.xml"/><Relationship Id="rId9" Type="http://schemas.openxmlformats.org/officeDocument/2006/relationships/hyperlink" Target="mailto:tsbfgai4ndm@itu.int" TargetMode="External"/><Relationship Id="rId14" Type="http://schemas.openxmlformats.org/officeDocument/2006/relationships/hyperlink" Target="https://www.itu.int/en/ITU-T/focusgroups/ai4ndm/Pages/default.asp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alel\Desktop\Arabic%20Templates%202025\ITU-T%20(TSB)\PA_TSB%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0</TotalTime>
  <Pages>2</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Kamaleldin, Mohamed</dc:creator>
  <cp:keywords/>
  <dc:description/>
  <cp:lastModifiedBy>Maguire, Mairéad</cp:lastModifiedBy>
  <cp:revision>2</cp:revision>
  <dcterms:created xsi:type="dcterms:W3CDTF">2025-02-28T12:27:00Z</dcterms:created>
  <dcterms:modified xsi:type="dcterms:W3CDTF">2025-02-28T12:27:00Z</dcterms:modified>
</cp:coreProperties>
</file>