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04" w:type="dxa"/>
        <w:tblInd w:w="-90" w:type="dxa"/>
        <w:tblLayout w:type="fixed"/>
        <w:tblCellMar>
          <w:left w:w="0" w:type="dxa"/>
          <w:right w:w="0" w:type="dxa"/>
        </w:tblCellMar>
        <w:tblLook w:val="0000" w:firstRow="0" w:lastRow="0" w:firstColumn="0" w:lastColumn="0" w:noHBand="0" w:noVBand="0"/>
      </w:tblPr>
      <w:tblGrid>
        <w:gridCol w:w="1091"/>
        <w:gridCol w:w="417"/>
        <w:gridCol w:w="3467"/>
        <w:gridCol w:w="5329"/>
      </w:tblGrid>
      <w:tr w:rsidR="007B6316" w14:paraId="61479749" w14:textId="77777777" w:rsidTr="009C7037">
        <w:trPr>
          <w:cantSplit/>
          <w:trHeight w:val="340"/>
        </w:trPr>
        <w:tc>
          <w:tcPr>
            <w:tcW w:w="1508" w:type="dxa"/>
            <w:gridSpan w:val="2"/>
          </w:tcPr>
          <w:p w14:paraId="0FA4D05D"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7613BAA7" wp14:editId="6DEC9678">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40DA2B2B"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0CB6F0FB"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9C7037" w14:paraId="63D6691B" w14:textId="77777777" w:rsidTr="009C7037">
        <w:trPr>
          <w:cantSplit/>
          <w:trHeight w:val="340"/>
        </w:trPr>
        <w:tc>
          <w:tcPr>
            <w:tcW w:w="1091" w:type="dxa"/>
          </w:tcPr>
          <w:p w14:paraId="1283BE03" w14:textId="77777777" w:rsidR="007B6316" w:rsidRPr="009C7037" w:rsidRDefault="007B6316" w:rsidP="00303D62">
            <w:pPr>
              <w:tabs>
                <w:tab w:val="left" w:pos="4111"/>
              </w:tabs>
              <w:spacing w:before="10"/>
              <w:ind w:left="57"/>
              <w:rPr>
                <w:b/>
                <w:bCs/>
                <w:sz w:val="22"/>
                <w:szCs w:val="22"/>
              </w:rPr>
            </w:pPr>
          </w:p>
        </w:tc>
        <w:tc>
          <w:tcPr>
            <w:tcW w:w="3884" w:type="dxa"/>
            <w:gridSpan w:val="2"/>
          </w:tcPr>
          <w:p w14:paraId="631D418B" w14:textId="77777777" w:rsidR="007B6316" w:rsidRPr="009C7037" w:rsidRDefault="007B6316" w:rsidP="00303D62">
            <w:pPr>
              <w:tabs>
                <w:tab w:val="left" w:pos="4111"/>
              </w:tabs>
              <w:spacing w:before="0"/>
              <w:ind w:left="57"/>
              <w:rPr>
                <w:b/>
                <w:sz w:val="22"/>
                <w:szCs w:val="22"/>
              </w:rPr>
            </w:pPr>
          </w:p>
        </w:tc>
        <w:tc>
          <w:tcPr>
            <w:tcW w:w="5329" w:type="dxa"/>
          </w:tcPr>
          <w:p w14:paraId="74686422" w14:textId="0C49EAE9" w:rsidR="007B6316" w:rsidRPr="009C7037" w:rsidRDefault="007B6316" w:rsidP="007B6316">
            <w:pPr>
              <w:tabs>
                <w:tab w:val="clear" w:pos="794"/>
                <w:tab w:val="clear" w:pos="1191"/>
                <w:tab w:val="clear" w:pos="1588"/>
                <w:tab w:val="clear" w:pos="1985"/>
                <w:tab w:val="left" w:pos="284"/>
              </w:tabs>
              <w:spacing w:after="120"/>
              <w:ind w:left="284" w:hanging="227"/>
              <w:rPr>
                <w:sz w:val="22"/>
                <w:szCs w:val="22"/>
              </w:rPr>
            </w:pPr>
            <w:r w:rsidRPr="009C7037">
              <w:rPr>
                <w:sz w:val="22"/>
                <w:szCs w:val="22"/>
              </w:rPr>
              <w:t>Ginebra,</w:t>
            </w:r>
            <w:r w:rsidR="00FD366A" w:rsidRPr="009C7037">
              <w:rPr>
                <w:color w:val="000000"/>
                <w:sz w:val="22"/>
                <w:szCs w:val="22"/>
                <w:lang w:val="es-ES"/>
              </w:rPr>
              <w:t xml:space="preserve"> 24 de febrero de 2025</w:t>
            </w:r>
          </w:p>
        </w:tc>
      </w:tr>
      <w:tr w:rsidR="00FD366A" w:rsidRPr="009C7037" w14:paraId="6A1DB94A" w14:textId="77777777" w:rsidTr="009C7037">
        <w:trPr>
          <w:cantSplit/>
          <w:trHeight w:val="340"/>
        </w:trPr>
        <w:tc>
          <w:tcPr>
            <w:tcW w:w="1091" w:type="dxa"/>
          </w:tcPr>
          <w:p w14:paraId="338B1B48" w14:textId="77777777" w:rsidR="00FD366A" w:rsidRPr="009C7037" w:rsidRDefault="00FD366A" w:rsidP="00FD366A">
            <w:pPr>
              <w:tabs>
                <w:tab w:val="left" w:pos="4111"/>
              </w:tabs>
              <w:spacing w:before="10"/>
              <w:ind w:left="57"/>
              <w:rPr>
                <w:b/>
                <w:bCs/>
                <w:sz w:val="22"/>
                <w:szCs w:val="22"/>
              </w:rPr>
            </w:pPr>
            <w:r w:rsidRPr="009C7037">
              <w:rPr>
                <w:b/>
                <w:bCs/>
                <w:sz w:val="22"/>
                <w:szCs w:val="22"/>
              </w:rPr>
              <w:t>Ref.:</w:t>
            </w:r>
          </w:p>
          <w:p w14:paraId="7AA27743" w14:textId="77777777" w:rsidR="00FD366A" w:rsidRPr="009C7037" w:rsidRDefault="00FD366A" w:rsidP="00FD366A">
            <w:pPr>
              <w:tabs>
                <w:tab w:val="left" w:pos="4111"/>
              </w:tabs>
              <w:spacing w:before="10"/>
              <w:ind w:left="57"/>
              <w:rPr>
                <w:sz w:val="22"/>
                <w:szCs w:val="22"/>
              </w:rPr>
            </w:pPr>
          </w:p>
        </w:tc>
        <w:tc>
          <w:tcPr>
            <w:tcW w:w="3884" w:type="dxa"/>
            <w:gridSpan w:val="2"/>
          </w:tcPr>
          <w:p w14:paraId="45C64AF0" w14:textId="0D920362" w:rsidR="00FD366A" w:rsidRPr="009C7037" w:rsidRDefault="00FD366A" w:rsidP="00FD366A">
            <w:pPr>
              <w:tabs>
                <w:tab w:val="left" w:pos="4111"/>
              </w:tabs>
              <w:spacing w:before="0"/>
              <w:ind w:left="57"/>
              <w:rPr>
                <w:b/>
                <w:sz w:val="22"/>
                <w:szCs w:val="22"/>
              </w:rPr>
            </w:pPr>
            <w:r w:rsidRPr="009C7037">
              <w:rPr>
                <w:b/>
                <w:sz w:val="22"/>
                <w:szCs w:val="22"/>
              </w:rPr>
              <w:t>Circular TSB 29</w:t>
            </w:r>
          </w:p>
          <w:p w14:paraId="1D5E6E03" w14:textId="386218E7" w:rsidR="00FD366A" w:rsidRPr="009C7037" w:rsidRDefault="00FD366A" w:rsidP="00FD366A">
            <w:pPr>
              <w:tabs>
                <w:tab w:val="left" w:pos="4111"/>
              </w:tabs>
              <w:spacing w:before="0"/>
              <w:ind w:left="57"/>
              <w:rPr>
                <w:b/>
                <w:sz w:val="22"/>
                <w:szCs w:val="22"/>
              </w:rPr>
            </w:pPr>
            <w:r w:rsidRPr="009C7037">
              <w:rPr>
                <w:sz w:val="22"/>
                <w:szCs w:val="22"/>
              </w:rPr>
              <w:t>SG2/MCB</w:t>
            </w:r>
          </w:p>
        </w:tc>
        <w:tc>
          <w:tcPr>
            <w:tcW w:w="5329" w:type="dxa"/>
            <w:vMerge w:val="restart"/>
          </w:tcPr>
          <w:p w14:paraId="332E90EE" w14:textId="77777777" w:rsidR="00FD366A" w:rsidRPr="009C7037" w:rsidRDefault="00FD366A" w:rsidP="00FD366A">
            <w:pPr>
              <w:pStyle w:val="Tabletext0"/>
              <w:ind w:firstLine="76"/>
              <w:rPr>
                <w:szCs w:val="22"/>
                <w:lang w:val="es-ES"/>
              </w:rPr>
            </w:pPr>
            <w:r w:rsidRPr="009C7037">
              <w:rPr>
                <w:b/>
                <w:bCs/>
                <w:color w:val="000000"/>
                <w:szCs w:val="22"/>
                <w:lang w:val="es-ES"/>
              </w:rPr>
              <w:t>Para:</w:t>
            </w:r>
          </w:p>
          <w:p w14:paraId="1C7ACAC9" w14:textId="029969E1" w:rsidR="00FD366A" w:rsidRPr="009C7037" w:rsidRDefault="00FD366A" w:rsidP="00FD366A">
            <w:pPr>
              <w:pStyle w:val="Tabletext0"/>
              <w:tabs>
                <w:tab w:val="clear" w:pos="284"/>
                <w:tab w:val="left" w:pos="501"/>
              </w:tabs>
              <w:ind w:left="501" w:hanging="471"/>
              <w:rPr>
                <w:szCs w:val="22"/>
                <w:lang w:val="es-ES"/>
              </w:rPr>
            </w:pPr>
            <w:r w:rsidRPr="009C7037">
              <w:rPr>
                <w:szCs w:val="22"/>
                <w:lang w:val="es-ES"/>
              </w:rPr>
              <w:t>–</w:t>
            </w:r>
            <w:r w:rsidRPr="009C7037">
              <w:rPr>
                <w:szCs w:val="22"/>
                <w:lang w:val="es-ES"/>
              </w:rPr>
              <w:tab/>
            </w:r>
            <w:r w:rsidRPr="009C7037">
              <w:rPr>
                <w:color w:val="000000"/>
                <w:szCs w:val="22"/>
                <w:lang w:val="es-ES"/>
              </w:rPr>
              <w:t>Las Administraciones de los Estados Miembros de la Unión;</w:t>
            </w:r>
          </w:p>
          <w:p w14:paraId="2DC25012" w14:textId="62056AE4" w:rsidR="00FD366A" w:rsidRPr="009C7037" w:rsidRDefault="00FD366A" w:rsidP="00FD366A">
            <w:pPr>
              <w:pStyle w:val="Tabletext0"/>
              <w:tabs>
                <w:tab w:val="clear" w:pos="284"/>
                <w:tab w:val="left" w:pos="501"/>
              </w:tabs>
              <w:ind w:left="501" w:hanging="471"/>
              <w:rPr>
                <w:szCs w:val="22"/>
                <w:lang w:val="es-ES"/>
              </w:rPr>
            </w:pPr>
            <w:r w:rsidRPr="009C7037">
              <w:rPr>
                <w:szCs w:val="22"/>
                <w:lang w:val="es-ES"/>
              </w:rPr>
              <w:t>–</w:t>
            </w:r>
            <w:r w:rsidRPr="009C7037">
              <w:rPr>
                <w:szCs w:val="22"/>
                <w:lang w:val="es-ES"/>
              </w:rPr>
              <w:tab/>
            </w:r>
            <w:r w:rsidRPr="009C7037">
              <w:rPr>
                <w:color w:val="000000"/>
                <w:szCs w:val="22"/>
                <w:lang w:val="es-ES"/>
              </w:rPr>
              <w:t>El Estado de Palestina (Res.99 (Rev. Dubái, 2018))</w:t>
            </w:r>
          </w:p>
          <w:p w14:paraId="12868E38" w14:textId="77777777" w:rsidR="00FD366A" w:rsidRPr="009C7037" w:rsidRDefault="00FD366A" w:rsidP="00FD366A">
            <w:pPr>
              <w:pStyle w:val="Tabletext0"/>
              <w:ind w:firstLine="76"/>
              <w:rPr>
                <w:szCs w:val="22"/>
                <w:lang w:val="es-ES"/>
              </w:rPr>
            </w:pPr>
            <w:r w:rsidRPr="009C7037">
              <w:rPr>
                <w:b/>
                <w:bCs/>
                <w:color w:val="000000"/>
                <w:szCs w:val="22"/>
                <w:lang w:val="es-ES"/>
              </w:rPr>
              <w:t>Copia a:</w:t>
            </w:r>
          </w:p>
          <w:p w14:paraId="4F0ABF5A" w14:textId="0A1863EE" w:rsidR="00FD366A" w:rsidRPr="009C7037" w:rsidRDefault="00FD366A" w:rsidP="00FD366A">
            <w:pPr>
              <w:pStyle w:val="Tabletext0"/>
              <w:tabs>
                <w:tab w:val="clear" w:pos="284"/>
                <w:tab w:val="left" w:pos="501"/>
              </w:tabs>
              <w:ind w:left="501" w:hanging="471"/>
              <w:rPr>
                <w:szCs w:val="22"/>
                <w:lang w:val="es-ES"/>
              </w:rPr>
            </w:pPr>
            <w:r w:rsidRPr="009C7037">
              <w:rPr>
                <w:szCs w:val="22"/>
                <w:lang w:val="es-ES"/>
              </w:rPr>
              <w:t>–</w:t>
            </w:r>
            <w:r w:rsidRPr="009C7037">
              <w:rPr>
                <w:szCs w:val="22"/>
                <w:lang w:val="es-ES"/>
              </w:rPr>
              <w:tab/>
            </w:r>
            <w:r w:rsidRPr="009C7037">
              <w:rPr>
                <w:color w:val="000000"/>
                <w:szCs w:val="22"/>
                <w:lang w:val="es-ES"/>
              </w:rPr>
              <w:t>Los Miembros de Sector del UIT-T;</w:t>
            </w:r>
          </w:p>
          <w:p w14:paraId="6A5BC4B2" w14:textId="72E1C2F9" w:rsidR="00FD366A" w:rsidRPr="009C7037" w:rsidRDefault="00FD366A" w:rsidP="00FD366A">
            <w:pPr>
              <w:pStyle w:val="Tabletext0"/>
              <w:tabs>
                <w:tab w:val="clear" w:pos="284"/>
                <w:tab w:val="left" w:pos="501"/>
              </w:tabs>
              <w:ind w:left="501" w:hanging="471"/>
              <w:rPr>
                <w:szCs w:val="22"/>
                <w:lang w:val="es-ES"/>
              </w:rPr>
            </w:pPr>
            <w:r w:rsidRPr="009C7037">
              <w:rPr>
                <w:szCs w:val="22"/>
                <w:lang w:val="es-ES"/>
              </w:rPr>
              <w:t>–</w:t>
            </w:r>
            <w:r w:rsidRPr="009C7037">
              <w:rPr>
                <w:szCs w:val="22"/>
                <w:lang w:val="es-ES"/>
              </w:rPr>
              <w:tab/>
            </w:r>
            <w:r w:rsidRPr="009C7037">
              <w:rPr>
                <w:color w:val="000000"/>
                <w:szCs w:val="22"/>
                <w:lang w:val="es-ES"/>
              </w:rPr>
              <w:t>Los Asociados del UIT-T de la Comisión de Estudio 2;</w:t>
            </w:r>
          </w:p>
          <w:p w14:paraId="5D95DB2C" w14:textId="134EF9FA" w:rsidR="00FD366A" w:rsidRPr="009C7037" w:rsidRDefault="00FD366A" w:rsidP="00FD366A">
            <w:pPr>
              <w:pStyle w:val="Tabletext0"/>
              <w:tabs>
                <w:tab w:val="clear" w:pos="284"/>
                <w:tab w:val="left" w:pos="501"/>
              </w:tabs>
              <w:ind w:left="501" w:hanging="471"/>
              <w:rPr>
                <w:szCs w:val="22"/>
                <w:lang w:val="es-ES"/>
              </w:rPr>
            </w:pPr>
            <w:r w:rsidRPr="009C7037">
              <w:rPr>
                <w:szCs w:val="22"/>
                <w:lang w:val="es-ES"/>
              </w:rPr>
              <w:t>–</w:t>
            </w:r>
            <w:r w:rsidRPr="009C7037">
              <w:rPr>
                <w:szCs w:val="22"/>
                <w:lang w:val="es-ES"/>
              </w:rPr>
              <w:tab/>
            </w:r>
            <w:r w:rsidRPr="009C7037">
              <w:rPr>
                <w:color w:val="000000"/>
                <w:szCs w:val="22"/>
                <w:lang w:val="es-ES"/>
              </w:rPr>
              <w:t>Las Instituciones Académicas de la UIT;</w:t>
            </w:r>
          </w:p>
          <w:p w14:paraId="59060026" w14:textId="3C460968" w:rsidR="00FD366A" w:rsidRPr="009C7037" w:rsidRDefault="00FD366A" w:rsidP="00FD366A">
            <w:pPr>
              <w:pStyle w:val="Tabletext0"/>
              <w:tabs>
                <w:tab w:val="clear" w:pos="284"/>
                <w:tab w:val="left" w:pos="501"/>
              </w:tabs>
              <w:ind w:left="501" w:hanging="471"/>
              <w:rPr>
                <w:szCs w:val="22"/>
                <w:lang w:val="es-ES"/>
              </w:rPr>
            </w:pPr>
            <w:r w:rsidRPr="009C7037">
              <w:rPr>
                <w:szCs w:val="22"/>
                <w:lang w:val="es-ES"/>
              </w:rPr>
              <w:t>–</w:t>
            </w:r>
            <w:r w:rsidRPr="009C7037">
              <w:rPr>
                <w:szCs w:val="22"/>
                <w:lang w:val="es-ES"/>
              </w:rPr>
              <w:tab/>
            </w:r>
            <w:r w:rsidRPr="009C7037">
              <w:rPr>
                <w:color w:val="000000"/>
                <w:szCs w:val="22"/>
                <w:lang w:val="es-ES"/>
              </w:rPr>
              <w:t xml:space="preserve">Al </w:t>
            </w:r>
            <w:proofErr w:type="gramStart"/>
            <w:r w:rsidRPr="009C7037">
              <w:rPr>
                <w:color w:val="000000"/>
                <w:szCs w:val="22"/>
                <w:lang w:val="es-ES"/>
              </w:rPr>
              <w:t>Presidente</w:t>
            </w:r>
            <w:proofErr w:type="gramEnd"/>
            <w:r w:rsidRPr="009C7037">
              <w:rPr>
                <w:color w:val="000000"/>
                <w:szCs w:val="22"/>
                <w:lang w:val="es-ES"/>
              </w:rPr>
              <w:t xml:space="preserve"> y a los Vicepresidentes de la Comisión de Estudio 2 del UIT-T;</w:t>
            </w:r>
          </w:p>
          <w:p w14:paraId="5640917D" w14:textId="2E2438E1" w:rsidR="00FD366A" w:rsidRPr="009C7037" w:rsidRDefault="00FD366A" w:rsidP="00FD366A">
            <w:pPr>
              <w:pStyle w:val="Tabletext0"/>
              <w:tabs>
                <w:tab w:val="clear" w:pos="284"/>
                <w:tab w:val="left" w:pos="501"/>
              </w:tabs>
              <w:ind w:left="501" w:hanging="471"/>
              <w:rPr>
                <w:szCs w:val="22"/>
                <w:lang w:val="es-ES"/>
              </w:rPr>
            </w:pPr>
            <w:r w:rsidRPr="009C7037">
              <w:rPr>
                <w:szCs w:val="22"/>
                <w:lang w:val="es-ES"/>
              </w:rPr>
              <w:t>–</w:t>
            </w:r>
            <w:r w:rsidRPr="009C7037">
              <w:rPr>
                <w:szCs w:val="22"/>
                <w:lang w:val="es-ES"/>
              </w:rPr>
              <w:tab/>
            </w:r>
            <w:r w:rsidRPr="009C7037">
              <w:rPr>
                <w:color w:val="000000"/>
                <w:szCs w:val="22"/>
                <w:lang w:val="es-ES"/>
              </w:rPr>
              <w:t xml:space="preserve">El </w:t>
            </w:r>
            <w:proofErr w:type="gramStart"/>
            <w:r w:rsidRPr="009C7037">
              <w:rPr>
                <w:color w:val="000000"/>
                <w:szCs w:val="22"/>
                <w:lang w:val="es-ES"/>
              </w:rPr>
              <w:t>Director</w:t>
            </w:r>
            <w:proofErr w:type="gramEnd"/>
            <w:r w:rsidRPr="009C7037">
              <w:rPr>
                <w:color w:val="000000"/>
                <w:szCs w:val="22"/>
                <w:lang w:val="es-ES"/>
              </w:rPr>
              <w:t xml:space="preserve"> de la Oficina de Desarrollo de las Telecomunicaciones;</w:t>
            </w:r>
          </w:p>
          <w:p w14:paraId="00CD96C5" w14:textId="2195A462" w:rsidR="00FD366A" w:rsidRPr="009C7037" w:rsidRDefault="00FD366A" w:rsidP="00FD366A">
            <w:pPr>
              <w:pStyle w:val="Tabletext0"/>
              <w:tabs>
                <w:tab w:val="clear" w:pos="284"/>
                <w:tab w:val="left" w:pos="501"/>
              </w:tabs>
              <w:ind w:left="501" w:hanging="471"/>
              <w:rPr>
                <w:szCs w:val="22"/>
              </w:rPr>
            </w:pPr>
            <w:r w:rsidRPr="009C7037">
              <w:rPr>
                <w:szCs w:val="22"/>
                <w:lang w:val="es-ES"/>
              </w:rPr>
              <w:t>–</w:t>
            </w:r>
            <w:r w:rsidRPr="009C7037">
              <w:rPr>
                <w:szCs w:val="22"/>
                <w:lang w:val="es-ES"/>
              </w:rPr>
              <w:tab/>
            </w:r>
            <w:r w:rsidRPr="009C7037">
              <w:rPr>
                <w:color w:val="000000"/>
                <w:szCs w:val="22"/>
                <w:lang w:val="es-ES"/>
              </w:rPr>
              <w:t xml:space="preserve">El </w:t>
            </w:r>
            <w:proofErr w:type="gramStart"/>
            <w:r w:rsidRPr="009C7037">
              <w:rPr>
                <w:color w:val="000000"/>
                <w:szCs w:val="22"/>
                <w:lang w:val="es-ES"/>
              </w:rPr>
              <w:t>Director</w:t>
            </w:r>
            <w:proofErr w:type="gramEnd"/>
            <w:r w:rsidRPr="009C7037">
              <w:rPr>
                <w:color w:val="000000"/>
                <w:szCs w:val="22"/>
                <w:lang w:val="es-ES"/>
              </w:rPr>
              <w:t xml:space="preserve"> de la Oficina de Radiocomunicaciones</w:t>
            </w:r>
          </w:p>
        </w:tc>
      </w:tr>
      <w:tr w:rsidR="00FD366A" w:rsidRPr="009C7037" w14:paraId="550AB205" w14:textId="77777777" w:rsidTr="009C7037">
        <w:trPr>
          <w:cantSplit/>
        </w:trPr>
        <w:tc>
          <w:tcPr>
            <w:tcW w:w="1091" w:type="dxa"/>
          </w:tcPr>
          <w:p w14:paraId="115A2ECB" w14:textId="77777777" w:rsidR="00FD366A" w:rsidRPr="009C7037" w:rsidRDefault="00FD366A" w:rsidP="00FD366A">
            <w:pPr>
              <w:tabs>
                <w:tab w:val="left" w:pos="4111"/>
              </w:tabs>
              <w:spacing w:before="10"/>
              <w:ind w:left="57"/>
              <w:rPr>
                <w:sz w:val="22"/>
                <w:szCs w:val="22"/>
              </w:rPr>
            </w:pPr>
            <w:r w:rsidRPr="009C7037">
              <w:rPr>
                <w:sz w:val="22"/>
                <w:szCs w:val="22"/>
              </w:rPr>
              <w:t>Tel.:</w:t>
            </w:r>
          </w:p>
        </w:tc>
        <w:tc>
          <w:tcPr>
            <w:tcW w:w="3884" w:type="dxa"/>
            <w:gridSpan w:val="2"/>
          </w:tcPr>
          <w:p w14:paraId="4BC1D7B2" w14:textId="69CA0769" w:rsidR="00FD366A" w:rsidRPr="009C7037" w:rsidRDefault="00FD366A" w:rsidP="00FD366A">
            <w:pPr>
              <w:tabs>
                <w:tab w:val="left" w:pos="4111"/>
              </w:tabs>
              <w:spacing w:before="0"/>
              <w:ind w:left="57"/>
              <w:rPr>
                <w:rStyle w:val="Hyperlink"/>
                <w:sz w:val="22"/>
                <w:szCs w:val="22"/>
              </w:rPr>
            </w:pPr>
            <w:r w:rsidRPr="009C7037">
              <w:rPr>
                <w:sz w:val="22"/>
                <w:szCs w:val="22"/>
              </w:rPr>
              <w:t>+41 22 730 5901</w:t>
            </w:r>
          </w:p>
        </w:tc>
        <w:tc>
          <w:tcPr>
            <w:tcW w:w="5329" w:type="dxa"/>
            <w:vMerge/>
          </w:tcPr>
          <w:p w14:paraId="667C991C" w14:textId="77777777" w:rsidR="00FD366A" w:rsidRPr="009C7037" w:rsidRDefault="00FD366A" w:rsidP="00FD366A">
            <w:pPr>
              <w:tabs>
                <w:tab w:val="left" w:pos="226"/>
                <w:tab w:val="left" w:pos="510"/>
              </w:tabs>
              <w:spacing w:before="0"/>
              <w:ind w:left="226" w:hanging="169"/>
              <w:rPr>
                <w:b/>
                <w:sz w:val="22"/>
                <w:szCs w:val="22"/>
              </w:rPr>
            </w:pPr>
          </w:p>
        </w:tc>
      </w:tr>
      <w:tr w:rsidR="00FD366A" w:rsidRPr="009C7037" w14:paraId="1F48EFFC" w14:textId="77777777" w:rsidTr="009C7037">
        <w:trPr>
          <w:cantSplit/>
        </w:trPr>
        <w:tc>
          <w:tcPr>
            <w:tcW w:w="1091" w:type="dxa"/>
          </w:tcPr>
          <w:p w14:paraId="165C4468" w14:textId="77777777" w:rsidR="00FD366A" w:rsidRPr="009C7037" w:rsidRDefault="00FD366A" w:rsidP="00FD366A">
            <w:pPr>
              <w:tabs>
                <w:tab w:val="left" w:pos="4111"/>
              </w:tabs>
              <w:spacing w:before="10"/>
              <w:ind w:left="57"/>
              <w:rPr>
                <w:sz w:val="22"/>
                <w:szCs w:val="22"/>
              </w:rPr>
            </w:pPr>
            <w:r w:rsidRPr="009C7037">
              <w:rPr>
                <w:sz w:val="22"/>
                <w:szCs w:val="22"/>
              </w:rPr>
              <w:t>Fax:</w:t>
            </w:r>
          </w:p>
        </w:tc>
        <w:tc>
          <w:tcPr>
            <w:tcW w:w="3884" w:type="dxa"/>
            <w:gridSpan w:val="2"/>
          </w:tcPr>
          <w:p w14:paraId="6CB91468" w14:textId="77777777" w:rsidR="00FD366A" w:rsidRPr="009C7037" w:rsidRDefault="00FD366A" w:rsidP="00FD366A">
            <w:pPr>
              <w:tabs>
                <w:tab w:val="left" w:pos="4111"/>
              </w:tabs>
              <w:spacing w:before="0"/>
              <w:ind w:left="57"/>
              <w:rPr>
                <w:rStyle w:val="Hyperlink"/>
                <w:sz w:val="22"/>
                <w:szCs w:val="22"/>
              </w:rPr>
            </w:pPr>
            <w:r w:rsidRPr="009C7037">
              <w:rPr>
                <w:sz w:val="22"/>
                <w:szCs w:val="22"/>
              </w:rPr>
              <w:t>+41 22 730 5853</w:t>
            </w:r>
          </w:p>
        </w:tc>
        <w:tc>
          <w:tcPr>
            <w:tcW w:w="5329" w:type="dxa"/>
            <w:vMerge/>
          </w:tcPr>
          <w:p w14:paraId="1350D6B1" w14:textId="77777777" w:rsidR="00FD366A" w:rsidRPr="009C7037" w:rsidRDefault="00FD366A" w:rsidP="00FD366A">
            <w:pPr>
              <w:tabs>
                <w:tab w:val="left" w:pos="226"/>
                <w:tab w:val="left" w:pos="510"/>
              </w:tabs>
              <w:spacing w:before="0"/>
              <w:ind w:left="226" w:hanging="169"/>
              <w:rPr>
                <w:b/>
                <w:sz w:val="22"/>
                <w:szCs w:val="22"/>
              </w:rPr>
            </w:pPr>
          </w:p>
        </w:tc>
      </w:tr>
      <w:tr w:rsidR="00FD366A" w:rsidRPr="009C7037" w14:paraId="59A02AC9" w14:textId="77777777" w:rsidTr="009C7037">
        <w:trPr>
          <w:cantSplit/>
          <w:trHeight w:val="3114"/>
        </w:trPr>
        <w:tc>
          <w:tcPr>
            <w:tcW w:w="1091" w:type="dxa"/>
          </w:tcPr>
          <w:p w14:paraId="4C2B6C6A" w14:textId="77777777" w:rsidR="00FD366A" w:rsidRPr="009C7037" w:rsidRDefault="00FD366A" w:rsidP="00FD366A">
            <w:pPr>
              <w:tabs>
                <w:tab w:val="left" w:pos="4111"/>
              </w:tabs>
              <w:spacing w:before="10"/>
              <w:ind w:left="57"/>
              <w:rPr>
                <w:sz w:val="22"/>
                <w:szCs w:val="22"/>
              </w:rPr>
            </w:pPr>
            <w:r w:rsidRPr="009C7037">
              <w:rPr>
                <w:sz w:val="22"/>
                <w:szCs w:val="22"/>
              </w:rPr>
              <w:t>Correo-e:</w:t>
            </w:r>
          </w:p>
        </w:tc>
        <w:tc>
          <w:tcPr>
            <w:tcW w:w="3884" w:type="dxa"/>
            <w:gridSpan w:val="2"/>
          </w:tcPr>
          <w:p w14:paraId="38EAFE7E" w14:textId="201B1825" w:rsidR="00FD366A" w:rsidRPr="009C7037" w:rsidRDefault="00FD366A" w:rsidP="00FD366A">
            <w:pPr>
              <w:tabs>
                <w:tab w:val="left" w:pos="4111"/>
              </w:tabs>
              <w:spacing w:before="0"/>
              <w:ind w:left="57"/>
              <w:rPr>
                <w:sz w:val="22"/>
                <w:szCs w:val="22"/>
              </w:rPr>
            </w:pPr>
            <w:hyperlink r:id="rId12" w:history="1">
              <w:r w:rsidRPr="009C7037">
                <w:rPr>
                  <w:rStyle w:val="Hyperlink"/>
                  <w:sz w:val="22"/>
                  <w:szCs w:val="22"/>
                </w:rPr>
                <w:t>tsbsg2@itu.int</w:t>
              </w:r>
            </w:hyperlink>
          </w:p>
        </w:tc>
        <w:tc>
          <w:tcPr>
            <w:tcW w:w="5329" w:type="dxa"/>
            <w:vMerge/>
          </w:tcPr>
          <w:p w14:paraId="2A31F567" w14:textId="77777777" w:rsidR="00FD366A" w:rsidRPr="009C7037" w:rsidRDefault="00FD366A" w:rsidP="00FD366A">
            <w:pPr>
              <w:tabs>
                <w:tab w:val="clear" w:pos="794"/>
                <w:tab w:val="clear" w:pos="1191"/>
                <w:tab w:val="clear" w:pos="1588"/>
                <w:tab w:val="clear" w:pos="1985"/>
                <w:tab w:val="left" w:pos="226"/>
                <w:tab w:val="left" w:pos="510"/>
              </w:tabs>
              <w:spacing w:before="0"/>
              <w:ind w:left="226" w:hanging="169"/>
              <w:rPr>
                <w:sz w:val="22"/>
                <w:szCs w:val="22"/>
              </w:rPr>
            </w:pPr>
          </w:p>
        </w:tc>
      </w:tr>
      <w:tr w:rsidR="002F1C48" w:rsidRPr="009C7037" w14:paraId="3384A9CE" w14:textId="77777777" w:rsidTr="009C7037">
        <w:trPr>
          <w:cantSplit/>
          <w:trHeight w:val="1170"/>
        </w:trPr>
        <w:tc>
          <w:tcPr>
            <w:tcW w:w="1091" w:type="dxa"/>
          </w:tcPr>
          <w:p w14:paraId="70964DF6" w14:textId="090A1BCD" w:rsidR="002F1C48" w:rsidRPr="009C7037" w:rsidRDefault="002F1C48" w:rsidP="00FD366A">
            <w:pPr>
              <w:tabs>
                <w:tab w:val="left" w:pos="4111"/>
              </w:tabs>
              <w:spacing w:before="10"/>
              <w:ind w:left="57"/>
              <w:rPr>
                <w:b/>
                <w:bCs/>
                <w:sz w:val="22"/>
                <w:szCs w:val="22"/>
              </w:rPr>
            </w:pPr>
            <w:r w:rsidRPr="009C7037">
              <w:rPr>
                <w:b/>
                <w:bCs/>
                <w:sz w:val="22"/>
                <w:szCs w:val="22"/>
              </w:rPr>
              <w:t>Asunto:</w:t>
            </w:r>
          </w:p>
        </w:tc>
        <w:tc>
          <w:tcPr>
            <w:tcW w:w="9213" w:type="dxa"/>
            <w:gridSpan w:val="3"/>
          </w:tcPr>
          <w:p w14:paraId="5139DA9D" w14:textId="60677327" w:rsidR="002F1C48" w:rsidRPr="009C7037" w:rsidRDefault="00FA48CC" w:rsidP="00FD366A">
            <w:pPr>
              <w:tabs>
                <w:tab w:val="left" w:pos="4111"/>
              </w:tabs>
              <w:spacing w:before="0"/>
              <w:rPr>
                <w:bCs/>
                <w:sz w:val="22"/>
                <w:szCs w:val="22"/>
              </w:rPr>
            </w:pPr>
            <w:r w:rsidRPr="009C7037">
              <w:rPr>
                <w:b/>
                <w:bCs/>
                <w:color w:val="000000"/>
                <w:sz w:val="22"/>
                <w:szCs w:val="22"/>
                <w:lang w:val="es-ES"/>
              </w:rPr>
              <w:t>Consulta a los Estados Miembros sobre los proyectos de revisión determinada de las Recomendaciones UIT-T E.118, UIT-T E.156, UIT-T E.164 y el proyecto de nueva Recomendación UIT-T E.371 (antes E.dit) propuestos para aprobación en la reunión de la Comisión de Estudio 2 del UIT-T (Ginebra, 5 de septiembre de 2025)</w:t>
            </w:r>
          </w:p>
        </w:tc>
      </w:tr>
    </w:tbl>
    <w:p w14:paraId="636D5FAB" w14:textId="35D82DCD" w:rsidR="00FA48CC" w:rsidRPr="009C7037" w:rsidRDefault="00FA48CC" w:rsidP="009C7037">
      <w:pPr>
        <w:rPr>
          <w:sz w:val="22"/>
          <w:szCs w:val="22"/>
          <w:lang w:val="es-ES"/>
        </w:rPr>
      </w:pPr>
      <w:bookmarkStart w:id="0" w:name="StartTyping_S"/>
      <w:bookmarkStart w:id="1" w:name="suitetext"/>
      <w:bookmarkStart w:id="2" w:name="text"/>
      <w:bookmarkEnd w:id="0"/>
      <w:bookmarkEnd w:id="1"/>
      <w:bookmarkEnd w:id="2"/>
      <w:r w:rsidRPr="009C7037">
        <w:rPr>
          <w:sz w:val="22"/>
          <w:szCs w:val="22"/>
          <w:lang w:val="es-ES"/>
        </w:rPr>
        <w:t>Muy Señora mía/Muy Señor mío</w:t>
      </w:r>
      <w:r w:rsidR="009C7037">
        <w:rPr>
          <w:sz w:val="22"/>
          <w:szCs w:val="22"/>
          <w:lang w:val="es-ES"/>
        </w:rPr>
        <w:t>,</w:t>
      </w:r>
    </w:p>
    <w:p w14:paraId="75FC14C9" w14:textId="698CCBF3" w:rsidR="00FA48CC" w:rsidRPr="009C7037" w:rsidRDefault="00FA48CC" w:rsidP="00FA48CC">
      <w:pPr>
        <w:rPr>
          <w:sz w:val="22"/>
          <w:szCs w:val="22"/>
          <w:lang w:val="es-ES"/>
        </w:rPr>
      </w:pPr>
      <w:r w:rsidRPr="009C7037">
        <w:rPr>
          <w:sz w:val="22"/>
          <w:szCs w:val="22"/>
          <w:lang w:val="es-ES"/>
        </w:rPr>
        <w:t>1</w:t>
      </w:r>
      <w:r w:rsidRPr="009C7037">
        <w:rPr>
          <w:sz w:val="22"/>
          <w:szCs w:val="22"/>
          <w:lang w:val="es-ES"/>
        </w:rPr>
        <w:tab/>
      </w:r>
      <w:proofErr w:type="gramStart"/>
      <w:r w:rsidRPr="009C7037">
        <w:rPr>
          <w:sz w:val="22"/>
          <w:szCs w:val="22"/>
          <w:lang w:val="es-ES"/>
        </w:rPr>
        <w:t>La</w:t>
      </w:r>
      <w:proofErr w:type="gramEnd"/>
      <w:r w:rsidRPr="009C7037">
        <w:rPr>
          <w:sz w:val="22"/>
          <w:szCs w:val="22"/>
          <w:lang w:val="es-ES"/>
        </w:rPr>
        <w:t xml:space="preserve"> Comisión de Estudio 2 del UIT-T (</w:t>
      </w:r>
      <w:r w:rsidRPr="009C7037">
        <w:rPr>
          <w:i/>
          <w:iCs/>
          <w:sz w:val="22"/>
          <w:szCs w:val="22"/>
          <w:lang w:val="es-ES"/>
        </w:rPr>
        <w:t>Aspectos operativos de las telecomunicaciones y las TIC</w:t>
      </w:r>
      <w:r w:rsidRPr="009C7037">
        <w:rPr>
          <w:sz w:val="22"/>
          <w:szCs w:val="22"/>
          <w:lang w:val="es-ES"/>
        </w:rPr>
        <w:t xml:space="preserve">) tiene previsto aplicar el procedimiento de aprobación tradicional descrito en la Sección 9 de la Resolución 1 (Rev. Nueva Delhi, 2024) de la AMNT para la aprobación de los proyectos de texto mencionados en su próxima reunión del 5 de septiembre de 2025. El orden del día y toda la información pertinente sobre la reunión de la Comisión de Estudio 2 del UIT-T figurarán en la </w:t>
      </w:r>
      <w:hyperlink r:id="rId13" w:history="1">
        <w:r w:rsidRPr="009C7037">
          <w:rPr>
            <w:rStyle w:val="Hyperlink"/>
            <w:sz w:val="22"/>
            <w:szCs w:val="22"/>
            <w:lang w:val="es-ES"/>
          </w:rPr>
          <w:t>Carta Colectiva 3/2</w:t>
        </w:r>
      </w:hyperlink>
      <w:r w:rsidRPr="009C7037">
        <w:rPr>
          <w:sz w:val="22"/>
          <w:szCs w:val="22"/>
          <w:lang w:val="es-ES"/>
        </w:rPr>
        <w:t>.</w:t>
      </w:r>
    </w:p>
    <w:p w14:paraId="62B651E9" w14:textId="4F1F1B4C" w:rsidR="00FA48CC" w:rsidRPr="009C7037" w:rsidRDefault="00FA48CC" w:rsidP="00FA48CC">
      <w:pPr>
        <w:rPr>
          <w:sz w:val="22"/>
          <w:szCs w:val="22"/>
          <w:lang w:val="es-ES"/>
        </w:rPr>
      </w:pPr>
      <w:r w:rsidRPr="009C7037">
        <w:rPr>
          <w:sz w:val="22"/>
          <w:szCs w:val="22"/>
          <w:lang w:val="es-ES"/>
        </w:rPr>
        <w:t>2</w:t>
      </w:r>
      <w:r w:rsidRPr="009C7037">
        <w:rPr>
          <w:sz w:val="22"/>
          <w:szCs w:val="22"/>
          <w:lang w:val="es-ES"/>
        </w:rPr>
        <w:tab/>
      </w:r>
      <w:proofErr w:type="gramStart"/>
      <w:r w:rsidRPr="009C7037">
        <w:rPr>
          <w:sz w:val="22"/>
          <w:szCs w:val="22"/>
          <w:lang w:val="es-ES"/>
        </w:rPr>
        <w:t>El</w:t>
      </w:r>
      <w:proofErr w:type="gramEnd"/>
      <w:r w:rsidRPr="009C7037">
        <w:rPr>
          <w:sz w:val="22"/>
          <w:szCs w:val="22"/>
          <w:lang w:val="es-ES"/>
        </w:rPr>
        <w:t xml:space="preserve"> </w:t>
      </w:r>
      <w:r w:rsidRPr="009C7037">
        <w:rPr>
          <w:b/>
          <w:bCs/>
          <w:sz w:val="22"/>
          <w:szCs w:val="22"/>
          <w:lang w:val="es-ES"/>
        </w:rPr>
        <w:t>Anexo 1</w:t>
      </w:r>
      <w:r w:rsidRPr="009C7037">
        <w:rPr>
          <w:sz w:val="22"/>
          <w:szCs w:val="22"/>
          <w:lang w:val="es-ES"/>
        </w:rPr>
        <w:t xml:space="preserve"> contiene los títulos, resúmenes y ubicaciones de los proyectos de Recomendación UIT-T propuestos para aprobación.</w:t>
      </w:r>
    </w:p>
    <w:p w14:paraId="7A9A7856" w14:textId="157ED3AB" w:rsidR="00D7022C" w:rsidRPr="009C7037" w:rsidRDefault="00FA48CC" w:rsidP="00D7022C">
      <w:pPr>
        <w:rPr>
          <w:sz w:val="22"/>
          <w:szCs w:val="22"/>
          <w:lang w:val="es-ES"/>
        </w:rPr>
      </w:pPr>
      <w:r w:rsidRPr="009C7037">
        <w:rPr>
          <w:sz w:val="22"/>
          <w:szCs w:val="22"/>
          <w:lang w:val="es-ES"/>
        </w:rPr>
        <w:t>3</w:t>
      </w:r>
      <w:r w:rsidRPr="009C7037">
        <w:rPr>
          <w:sz w:val="22"/>
          <w:szCs w:val="22"/>
          <w:lang w:val="es-ES"/>
        </w:rPr>
        <w:tab/>
      </w:r>
      <w:proofErr w:type="gramStart"/>
      <w:r w:rsidRPr="009C7037">
        <w:rPr>
          <w:sz w:val="22"/>
          <w:szCs w:val="22"/>
          <w:lang w:val="es-ES"/>
        </w:rPr>
        <w:t>Con</w:t>
      </w:r>
      <w:proofErr w:type="gramEnd"/>
      <w:r w:rsidRPr="009C7037">
        <w:rPr>
          <w:sz w:val="22"/>
          <w:szCs w:val="22"/>
          <w:lang w:val="es-ES"/>
        </w:rPr>
        <w:t xml:space="preserve"> esta Circular se inicia la consulta oficial con los Estados Miembros de la UIT sobre si estos textos pueden considerarse para aprobación en la próxima reunión, de acuerdo con la cláusula 9.4 de la Resolución 1. Se ruega a los Estados Miembros que cumplimenten y devuelvan el formulario incluido </w:t>
      </w:r>
      <w:r w:rsidR="00D579EB" w:rsidRPr="009C7037">
        <w:rPr>
          <w:sz w:val="22"/>
          <w:szCs w:val="22"/>
          <w:lang w:val="es-ES"/>
        </w:rPr>
        <w:t xml:space="preserve">en </w:t>
      </w:r>
      <w:r w:rsidRPr="009C7037">
        <w:rPr>
          <w:sz w:val="22"/>
          <w:szCs w:val="22"/>
          <w:lang w:val="es-ES"/>
        </w:rPr>
        <w:t xml:space="preserve">el </w:t>
      </w:r>
      <w:r w:rsidRPr="009C7037">
        <w:rPr>
          <w:b/>
          <w:bCs/>
          <w:sz w:val="22"/>
          <w:szCs w:val="22"/>
          <w:lang w:val="es-ES"/>
        </w:rPr>
        <w:t>Anexo 2</w:t>
      </w:r>
      <w:r w:rsidRPr="009C7037">
        <w:rPr>
          <w:sz w:val="22"/>
          <w:szCs w:val="22"/>
          <w:lang w:val="es-ES"/>
        </w:rPr>
        <w:t xml:space="preserve"> antes de las 23.59 horas UTC del </w:t>
      </w:r>
      <w:r w:rsidRPr="009C7037">
        <w:rPr>
          <w:b/>
          <w:bCs/>
          <w:sz w:val="22"/>
          <w:szCs w:val="22"/>
          <w:lang w:val="es-ES"/>
        </w:rPr>
        <w:t>28 de agosto de 2025</w:t>
      </w:r>
      <w:r w:rsidRPr="009C7037">
        <w:rPr>
          <w:sz w:val="22"/>
          <w:szCs w:val="22"/>
          <w:lang w:val="es-ES"/>
        </w:rPr>
        <w:t>.</w:t>
      </w:r>
    </w:p>
    <w:p w14:paraId="24CB6DD3" w14:textId="11CC7E2F" w:rsidR="00E54DD8" w:rsidRPr="009C7037" w:rsidRDefault="00FA48CC" w:rsidP="00E54DD8">
      <w:pPr>
        <w:rPr>
          <w:sz w:val="22"/>
          <w:szCs w:val="22"/>
          <w:lang w:val="es-ES"/>
        </w:rPr>
      </w:pPr>
      <w:r w:rsidRPr="009C7037">
        <w:rPr>
          <w:sz w:val="22"/>
          <w:szCs w:val="22"/>
          <w:lang w:val="es-ES"/>
        </w:rPr>
        <w:t xml:space="preserve">Los Estados Miembros que no otorguen autoridad para proceder deben informar al </w:t>
      </w:r>
      <w:proofErr w:type="gramStart"/>
      <w:r w:rsidRPr="009C7037">
        <w:rPr>
          <w:sz w:val="22"/>
          <w:szCs w:val="22"/>
          <w:lang w:val="es-ES"/>
        </w:rPr>
        <w:t>Director</w:t>
      </w:r>
      <w:proofErr w:type="gramEnd"/>
      <w:r w:rsidRPr="009C7037">
        <w:rPr>
          <w:sz w:val="22"/>
          <w:szCs w:val="22"/>
          <w:lang w:val="es-ES"/>
        </w:rPr>
        <w:t xml:space="preserve"> de la</w:t>
      </w:r>
      <w:r w:rsidR="00B35377" w:rsidRPr="009C7037">
        <w:rPr>
          <w:sz w:val="22"/>
          <w:szCs w:val="22"/>
          <w:lang w:val="es-ES"/>
        </w:rPr>
        <w:t> </w:t>
      </w:r>
      <w:r w:rsidRPr="009C7037">
        <w:rPr>
          <w:sz w:val="22"/>
          <w:szCs w:val="22"/>
          <w:lang w:val="es-ES"/>
        </w:rPr>
        <w:t>TSB de los motivos en que se fundamenta esta opinión e indicar los cambios que podrían permitir el proseguimiento de los trabajos.</w:t>
      </w:r>
    </w:p>
    <w:p w14:paraId="3D5D0A29" w14:textId="09619EEA" w:rsidR="00E54DD8" w:rsidRPr="009C7037" w:rsidRDefault="00FA48CC" w:rsidP="00E54DD8">
      <w:pPr>
        <w:spacing w:before="240"/>
        <w:rPr>
          <w:sz w:val="22"/>
          <w:szCs w:val="22"/>
          <w:lang w:val="es-ES"/>
        </w:rPr>
      </w:pPr>
      <w:r w:rsidRPr="009C7037">
        <w:rPr>
          <w:sz w:val="22"/>
          <w:szCs w:val="22"/>
          <w:lang w:val="es-ES"/>
        </w:rPr>
        <w:t>Le saluda atentamente,</w:t>
      </w:r>
    </w:p>
    <w:p w14:paraId="5C2FA532" w14:textId="4628DF39" w:rsidR="00E54DD8" w:rsidRPr="009C7037" w:rsidRDefault="00ED555E" w:rsidP="009C7037">
      <w:pPr>
        <w:spacing w:before="840"/>
        <w:rPr>
          <w:sz w:val="22"/>
          <w:szCs w:val="22"/>
          <w:lang w:val="es-ES"/>
        </w:rPr>
      </w:pPr>
      <w:r>
        <w:rPr>
          <w:noProof/>
          <w:sz w:val="22"/>
          <w:szCs w:val="22"/>
          <w:lang w:val="es-ES"/>
        </w:rPr>
        <w:drawing>
          <wp:anchor distT="0" distB="0" distL="114300" distR="114300" simplePos="0" relativeHeight="251658240" behindDoc="1" locked="0" layoutInCell="1" allowOverlap="1" wp14:anchorId="2908641A" wp14:editId="7F5223F9">
            <wp:simplePos x="0" y="0"/>
            <wp:positionH relativeFrom="margin">
              <wp:align>left</wp:align>
            </wp:positionH>
            <wp:positionV relativeFrom="paragraph">
              <wp:posOffset>123825</wp:posOffset>
            </wp:positionV>
            <wp:extent cx="825542" cy="330217"/>
            <wp:effectExtent l="0" t="0" r="0" b="0"/>
            <wp:wrapNone/>
            <wp:docPr id="1302554822"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54822" name="Picture 1" descr="A black text on a white backgroun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825542" cy="330217"/>
                    </a:xfrm>
                    <a:prstGeom prst="rect">
                      <a:avLst/>
                    </a:prstGeom>
                  </pic:spPr>
                </pic:pic>
              </a:graphicData>
            </a:graphic>
          </wp:anchor>
        </w:drawing>
      </w:r>
      <w:r w:rsidR="00FA48CC" w:rsidRPr="009C7037">
        <w:rPr>
          <w:sz w:val="22"/>
          <w:szCs w:val="22"/>
          <w:lang w:val="es-ES"/>
        </w:rPr>
        <w:t>Seizo Onoe</w:t>
      </w:r>
      <w:r w:rsidR="00FA48CC" w:rsidRPr="009C7037">
        <w:rPr>
          <w:sz w:val="22"/>
          <w:szCs w:val="22"/>
          <w:lang w:val="es-ES"/>
        </w:rPr>
        <w:br/>
      </w:r>
      <w:proofErr w:type="gramStart"/>
      <w:r w:rsidR="00FA48CC" w:rsidRPr="009C7037">
        <w:rPr>
          <w:sz w:val="22"/>
          <w:szCs w:val="22"/>
          <w:lang w:val="es-ES"/>
        </w:rPr>
        <w:t>Director</w:t>
      </w:r>
      <w:proofErr w:type="gramEnd"/>
      <w:r w:rsidR="00FA48CC" w:rsidRPr="009C7037">
        <w:rPr>
          <w:sz w:val="22"/>
          <w:szCs w:val="22"/>
          <w:lang w:val="es-ES"/>
        </w:rPr>
        <w:t xml:space="preserve"> de la Oficina de Normalización</w:t>
      </w:r>
      <w:r w:rsidR="00FA48CC" w:rsidRPr="009C7037">
        <w:rPr>
          <w:sz w:val="22"/>
          <w:szCs w:val="22"/>
          <w:lang w:val="es-ES"/>
        </w:rPr>
        <w:br/>
        <w:t>de las Telecomunicaciones</w:t>
      </w:r>
    </w:p>
    <w:p w14:paraId="190B05CE" w14:textId="541EAE6F" w:rsidR="00E54DD8" w:rsidRPr="009C7037" w:rsidRDefault="00FA48CC" w:rsidP="00E54DD8">
      <w:pPr>
        <w:spacing w:before="240"/>
        <w:rPr>
          <w:sz w:val="22"/>
          <w:szCs w:val="22"/>
          <w:lang w:val="es-ES"/>
        </w:rPr>
      </w:pPr>
      <w:r w:rsidRPr="009C7037">
        <w:rPr>
          <w:b/>
          <w:bCs/>
          <w:sz w:val="22"/>
          <w:szCs w:val="22"/>
          <w:lang w:val="es-ES"/>
        </w:rPr>
        <w:t>Anexos:</w:t>
      </w:r>
      <w:r w:rsidRPr="009C7037">
        <w:rPr>
          <w:sz w:val="22"/>
          <w:szCs w:val="22"/>
          <w:lang w:val="es-ES"/>
        </w:rPr>
        <w:tab/>
        <w:t>2</w:t>
      </w:r>
    </w:p>
    <w:p w14:paraId="630F6050" w14:textId="5FEEC07E" w:rsidR="00E54DD8" w:rsidRDefault="00E54DD8">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6924A535" w14:textId="26E8929A" w:rsidR="00FA48CC" w:rsidRPr="00FA48C1" w:rsidRDefault="00FA48CC" w:rsidP="00D7022C">
      <w:pPr>
        <w:pStyle w:val="AppendixNotitle"/>
        <w:rPr>
          <w:lang w:val="es-ES"/>
        </w:rPr>
      </w:pPr>
      <w:r>
        <w:rPr>
          <w:lang w:val="es-ES"/>
        </w:rPr>
        <w:lastRenderedPageBreak/>
        <w:t>Anexo 1</w:t>
      </w:r>
      <w:r>
        <w:rPr>
          <w:lang w:val="es-ES"/>
        </w:rPr>
        <w:br/>
        <w:t>Resumen y ubicación de los proyectos de Recomendaciones revisadas determinadas UIT-T E.118, UIT-T E.156, UIT-T E.164 y del proyecto</w:t>
      </w:r>
      <w:r w:rsidR="00B35377">
        <w:rPr>
          <w:lang w:val="es-ES"/>
        </w:rPr>
        <w:br/>
      </w:r>
      <w:r>
        <w:rPr>
          <w:lang w:val="es-ES"/>
        </w:rPr>
        <w:t>de nueva Recomendación UIT-T E.371 (antes E.dit)</w:t>
      </w:r>
    </w:p>
    <w:p w14:paraId="3DE2BEB7" w14:textId="331CB23D" w:rsidR="00FA48CC" w:rsidRPr="00FA48C1" w:rsidRDefault="00FA48CC" w:rsidP="00FA48CC">
      <w:pPr>
        <w:pStyle w:val="Heading1"/>
        <w:numPr>
          <w:ilvl w:val="0"/>
          <w:numId w:val="5"/>
        </w:numPr>
        <w:tabs>
          <w:tab w:val="num" w:pos="360"/>
        </w:tabs>
        <w:ind w:left="794" w:hanging="794"/>
        <w:rPr>
          <w:lang w:val="es-ES"/>
        </w:rPr>
      </w:pPr>
      <w:r>
        <w:rPr>
          <w:bCs/>
          <w:lang w:val="es-ES"/>
        </w:rPr>
        <w:t>Proyecto</w:t>
      </w:r>
      <w:r>
        <w:rPr>
          <w:lang w:val="es-ES"/>
        </w:rPr>
        <w:t xml:space="preserve"> de revisión de la Recomendación UIT-T E.118 [</w:t>
      </w:r>
      <w:hyperlink r:id="rId15" w:history="1">
        <w:r w:rsidRPr="00FA48C1">
          <w:rPr>
            <w:rStyle w:val="Hyperlink"/>
            <w:lang w:val="es-ES"/>
          </w:rPr>
          <w:t>SG2-R4</w:t>
        </w:r>
      </w:hyperlink>
      <w:r>
        <w:rPr>
          <w:lang w:val="es-ES"/>
        </w:rPr>
        <w:t>]</w:t>
      </w:r>
    </w:p>
    <w:p w14:paraId="3EBB51DD" w14:textId="77777777" w:rsidR="00FA48CC" w:rsidRPr="00FA48C1" w:rsidRDefault="00FA48CC" w:rsidP="00FA48CC">
      <w:pPr>
        <w:rPr>
          <w:lang w:val="es-ES"/>
        </w:rPr>
      </w:pPr>
      <w:r>
        <w:rPr>
          <w:lang w:val="es-ES"/>
        </w:rPr>
        <w:t>Recursos de numeración de las tarjetas para identificar cuentas de tarificación de servicios de telecomunicaciones</w:t>
      </w:r>
    </w:p>
    <w:p w14:paraId="33406DE4" w14:textId="77777777" w:rsidR="00FA48CC" w:rsidRPr="00FA48C1" w:rsidRDefault="00FA48CC" w:rsidP="00D7022C">
      <w:pPr>
        <w:pStyle w:val="Headingb0"/>
        <w:rPr>
          <w:sz w:val="22"/>
          <w:szCs w:val="22"/>
          <w:lang w:val="es-ES"/>
        </w:rPr>
      </w:pPr>
      <w:r>
        <w:rPr>
          <w:lang w:val="es-ES"/>
        </w:rPr>
        <w:t>Resumen</w:t>
      </w:r>
    </w:p>
    <w:p w14:paraId="49C49F2A" w14:textId="77777777" w:rsidR="00FA48CC" w:rsidRPr="00FA48C1" w:rsidRDefault="00FA48CC" w:rsidP="00FA48CC">
      <w:pPr>
        <w:rPr>
          <w:sz w:val="22"/>
          <w:szCs w:val="22"/>
          <w:lang w:val="es-ES"/>
        </w:rPr>
      </w:pPr>
      <w:r>
        <w:rPr>
          <w:lang w:val="es-ES"/>
        </w:rPr>
        <w:t>En esta Recomendación se define el formato y los criterios de asignación de números, denominados números de cuenta primarios (PAN), que identifican las cuentas que pueden utilizarse para la tarificación de servicios de telecomunicaciones. En el caso del módulo de identidad de abonado (SIM) y de la SIM integrada (eSIM), el PAN también se conoce como número de identificador de tarjeta de circuito integrado (ICCID) o número de serie del módulo de identidad de abonado (SIM). El PAN es un número único para identificar una tarjeta de circuito integrado universal (UICC), un perfil en una UICC integrada (eUICC) o una tarjeta con cargo a cuenta.</w:t>
      </w:r>
    </w:p>
    <w:p w14:paraId="171AF836" w14:textId="55085C08" w:rsidR="00FA48CC" w:rsidRPr="00FA48C1" w:rsidRDefault="00FA48CC" w:rsidP="00FA48CC">
      <w:pPr>
        <w:rPr>
          <w:sz w:val="22"/>
          <w:szCs w:val="22"/>
          <w:lang w:val="es-ES"/>
        </w:rPr>
      </w:pPr>
      <w:r>
        <w:rPr>
          <w:lang w:val="es-ES"/>
        </w:rPr>
        <w:t>En esta Recomendación se utilizan los identificadores de actividad industrial (MII) asignados al</w:t>
      </w:r>
      <w:r w:rsidR="00B35377">
        <w:rPr>
          <w:lang w:val="es-ES"/>
        </w:rPr>
        <w:t> </w:t>
      </w:r>
      <w:r>
        <w:rPr>
          <w:lang w:val="es-ES"/>
        </w:rPr>
        <w:t>UIT</w:t>
      </w:r>
      <w:r w:rsidR="00B35377">
        <w:rPr>
          <w:lang w:val="es-ES"/>
        </w:rPr>
        <w:noBreakHyphen/>
      </w:r>
      <w:r>
        <w:rPr>
          <w:lang w:val="es-ES"/>
        </w:rPr>
        <w:t>T de conformidad con ISO/CEI 7812-1 para fines de telecomunicaciones.</w:t>
      </w:r>
    </w:p>
    <w:p w14:paraId="00B0DCF4" w14:textId="54ACCEEA" w:rsidR="00FA48CC" w:rsidRPr="00FA48C1" w:rsidRDefault="00FA48CC" w:rsidP="00FA48CC">
      <w:pPr>
        <w:rPr>
          <w:sz w:val="22"/>
          <w:szCs w:val="22"/>
          <w:lang w:val="es-ES"/>
        </w:rPr>
      </w:pPr>
      <w:r>
        <w:rPr>
          <w:lang w:val="es-ES"/>
        </w:rPr>
        <w:t xml:space="preserve">Un PAN es generado por un expedidor, identificado por un número de identificación de expedidor que incluye un número de identificación del expedidor (IIN). Sobre la base de los criterios definidos en esta Recomendación, la TSB asigna los IIN a los IIN globales compartidos o por el administrador o administradores del plan de numeración nacional (NPA) identificados por el indicativo de país para la zona geográfica. Los IIN mundiales compartidos son asignados por el </w:t>
      </w:r>
      <w:proofErr w:type="gramStart"/>
      <w:r>
        <w:rPr>
          <w:lang w:val="es-ES"/>
        </w:rPr>
        <w:t>Director</w:t>
      </w:r>
      <w:proofErr w:type="gramEnd"/>
      <w:r>
        <w:rPr>
          <w:lang w:val="es-ES"/>
        </w:rPr>
        <w:t xml:space="preserve"> de la TSB de acuerdo con UIT-T E.118.1.</w:t>
      </w:r>
    </w:p>
    <w:p w14:paraId="1C192BFF" w14:textId="77777777" w:rsidR="00FA48CC" w:rsidRPr="00FA48C1" w:rsidRDefault="00FA48CC" w:rsidP="00FA48CC">
      <w:pPr>
        <w:rPr>
          <w:sz w:val="22"/>
          <w:szCs w:val="22"/>
          <w:lang w:val="es-ES"/>
        </w:rPr>
      </w:pPr>
      <w:r>
        <w:rPr>
          <w:lang w:val="es-ES"/>
        </w:rPr>
        <w:t>Las tarjetas con cargo a cuenta expedidas de conformidad con esta Recomendación se ajustan a las normas ISO pertinentes.</w:t>
      </w:r>
    </w:p>
    <w:p w14:paraId="0CB9A7B0" w14:textId="1C06CA65" w:rsidR="00FA48CC" w:rsidRPr="00FA48C1" w:rsidRDefault="00FA48CC" w:rsidP="00FA48CC">
      <w:pPr>
        <w:rPr>
          <w:sz w:val="22"/>
          <w:szCs w:val="22"/>
          <w:lang w:val="es-ES"/>
        </w:rPr>
      </w:pPr>
      <w:r>
        <w:rPr>
          <w:lang w:val="es-ES"/>
        </w:rPr>
        <w:t xml:space="preserve">Los números de identificación del expedidor (IIN) </w:t>
      </w:r>
      <w:r w:rsidR="00935739">
        <w:rPr>
          <w:lang w:val="es-ES"/>
        </w:rPr>
        <w:t xml:space="preserve">se </w:t>
      </w:r>
      <w:r>
        <w:rPr>
          <w:lang w:val="es-ES"/>
        </w:rPr>
        <w:t>asignan únicamente con el fin de generar los números de cuenta primarios (PAN), de acuerdo con esta Recomendación.</w:t>
      </w:r>
    </w:p>
    <w:p w14:paraId="4962C5F1" w14:textId="6A90006D" w:rsidR="00FA48CC" w:rsidRPr="00FA48C1" w:rsidRDefault="00FA48CC" w:rsidP="00FA48CC">
      <w:pPr>
        <w:pStyle w:val="Heading1"/>
        <w:numPr>
          <w:ilvl w:val="0"/>
          <w:numId w:val="5"/>
        </w:numPr>
        <w:tabs>
          <w:tab w:val="num" w:pos="360"/>
        </w:tabs>
        <w:ind w:left="794" w:hanging="794"/>
        <w:rPr>
          <w:lang w:val="es-ES"/>
        </w:rPr>
      </w:pPr>
      <w:r>
        <w:rPr>
          <w:bCs/>
          <w:lang w:val="es-ES"/>
        </w:rPr>
        <w:t>Proyecto</w:t>
      </w:r>
      <w:r>
        <w:rPr>
          <w:lang w:val="es-ES"/>
        </w:rPr>
        <w:t xml:space="preserve"> de revisión de la Recomendación UIT-T E.156 [</w:t>
      </w:r>
      <w:hyperlink r:id="rId16" w:history="1">
        <w:r w:rsidRPr="009817E9">
          <w:rPr>
            <w:rStyle w:val="Hyperlink"/>
            <w:lang w:val="es-ES"/>
          </w:rPr>
          <w:t>SG2-R5</w:t>
        </w:r>
      </w:hyperlink>
      <w:r>
        <w:rPr>
          <w:lang w:val="es-ES"/>
        </w:rPr>
        <w:t>]</w:t>
      </w:r>
    </w:p>
    <w:p w14:paraId="6D509D2E" w14:textId="77777777" w:rsidR="00FA48CC" w:rsidRPr="00FA48C1" w:rsidRDefault="00FA48CC" w:rsidP="00FA48CC">
      <w:pPr>
        <w:rPr>
          <w:lang w:val="es-ES"/>
        </w:rPr>
      </w:pPr>
      <w:r>
        <w:rPr>
          <w:lang w:val="es-ES"/>
        </w:rPr>
        <w:t>Directrices para la actuación del UIT-T en caso de denuncia de utilización indebida de recursos de numeración UIT-T E.164</w:t>
      </w:r>
    </w:p>
    <w:p w14:paraId="48AAE226" w14:textId="77777777" w:rsidR="00FA48CC" w:rsidRPr="00FA48C1" w:rsidRDefault="00FA48CC" w:rsidP="00D7022C">
      <w:pPr>
        <w:pStyle w:val="Headingb0"/>
        <w:rPr>
          <w:sz w:val="22"/>
          <w:szCs w:val="22"/>
          <w:lang w:val="es-ES"/>
        </w:rPr>
      </w:pPr>
      <w:r>
        <w:rPr>
          <w:lang w:val="es-ES"/>
        </w:rPr>
        <w:t>Resumen</w:t>
      </w:r>
    </w:p>
    <w:p w14:paraId="5EB2B022" w14:textId="77777777" w:rsidR="00FA48CC" w:rsidRPr="00FA48C1" w:rsidRDefault="00FA48CC" w:rsidP="00FA48CC">
      <w:pPr>
        <w:rPr>
          <w:rFonts w:eastAsia="MS Mincho"/>
          <w:sz w:val="22"/>
          <w:szCs w:val="22"/>
          <w:lang w:val="es-ES"/>
        </w:rPr>
      </w:pPr>
      <w:r>
        <w:rPr>
          <w:lang w:val="es-ES"/>
        </w:rPr>
        <w:t>En la Recomendación UIT-T E.156 se describen los procedimientos para informar y tomar medidas en caso de presunta utilización indebida de números. También se esbozan los procedimientos que debe seguir el Director de la Oficina de Normalización de las Telecomunicaciones al recibir informes de presunta utilización indebida por parte de los miembros, incluidos los métodos para abordar y contrarrestar cualquier presunta utilización indebida cuando dichos informes se señalan a la atención del Director.</w:t>
      </w:r>
    </w:p>
    <w:p w14:paraId="081BEA83" w14:textId="595C2FFE" w:rsidR="00FA48CC" w:rsidRPr="00FA48C1" w:rsidRDefault="00FA48CC" w:rsidP="00935739">
      <w:pPr>
        <w:pStyle w:val="Heading1"/>
        <w:numPr>
          <w:ilvl w:val="0"/>
          <w:numId w:val="5"/>
        </w:numPr>
        <w:tabs>
          <w:tab w:val="num" w:pos="360"/>
        </w:tabs>
        <w:ind w:left="794" w:hanging="794"/>
        <w:rPr>
          <w:lang w:val="es-ES"/>
        </w:rPr>
      </w:pPr>
      <w:r>
        <w:rPr>
          <w:bCs/>
          <w:lang w:val="es-ES"/>
        </w:rPr>
        <w:lastRenderedPageBreak/>
        <w:t>Proyecto</w:t>
      </w:r>
      <w:r>
        <w:rPr>
          <w:lang w:val="es-ES"/>
        </w:rPr>
        <w:t xml:space="preserve"> de revisión de la Recomendación UIT-T E.164 [</w:t>
      </w:r>
      <w:hyperlink r:id="rId17" w:history="1">
        <w:r w:rsidRPr="008F37A0">
          <w:rPr>
            <w:rStyle w:val="Hyperlink"/>
            <w:lang w:val="es-ES"/>
          </w:rPr>
          <w:t>SG2-R6</w:t>
        </w:r>
      </w:hyperlink>
      <w:r>
        <w:rPr>
          <w:lang w:val="es-ES"/>
        </w:rPr>
        <w:t>]</w:t>
      </w:r>
    </w:p>
    <w:p w14:paraId="12C67994" w14:textId="77777777" w:rsidR="00FA48CC" w:rsidRDefault="00FA48CC" w:rsidP="00935739">
      <w:pPr>
        <w:keepNext/>
        <w:keepLines/>
        <w:rPr>
          <w:lang w:val="es-ES"/>
        </w:rPr>
      </w:pPr>
      <w:r>
        <w:rPr>
          <w:lang w:val="es-ES"/>
        </w:rPr>
        <w:t>Plan de numeración de las telecomunicaciones públicas internacionales</w:t>
      </w:r>
    </w:p>
    <w:p w14:paraId="51CE3C36" w14:textId="3CAEA396" w:rsidR="00FA48CC" w:rsidRPr="00FA48CC" w:rsidRDefault="00FA48CC" w:rsidP="00935739">
      <w:pPr>
        <w:pStyle w:val="Headingb0"/>
        <w:keepLines/>
        <w:rPr>
          <w:lang w:val="es-ES"/>
        </w:rPr>
      </w:pPr>
      <w:r>
        <w:rPr>
          <w:lang w:val="es-ES"/>
        </w:rPr>
        <w:t>Resumen</w:t>
      </w:r>
    </w:p>
    <w:p w14:paraId="6FE8B510" w14:textId="77777777" w:rsidR="00FA48CC" w:rsidRPr="00FA48C1" w:rsidRDefault="00FA48CC" w:rsidP="00935739">
      <w:pPr>
        <w:keepNext/>
        <w:keepLines/>
        <w:rPr>
          <w:sz w:val="22"/>
          <w:szCs w:val="22"/>
          <w:lang w:val="es-ES"/>
        </w:rPr>
      </w:pPr>
      <w:r w:rsidRPr="00645122">
        <w:rPr>
          <w:lang w:val="es-ES"/>
        </w:rPr>
        <w:t>La Recomendación UIT-T E.164 define la estructura de numeración y la funcionalidad de las siete categorías de números utilizadas en las telecomunicaciones públicas internacionales. Estas categorías incluyen zonas geográficas, servicios globales, sistemas móviles satelitales y otros servicios internacionales, así como redes, grupos de países, recursos para ensayos e IoT/M2M. Para cada categoría, se especifican los componentes de la estructura de numeración y el análisis de cifras necesario para el correcto encaminamiento de las llamadas.</w:t>
      </w:r>
      <w:r>
        <w:rPr>
          <w:lang w:val="es-ES"/>
        </w:rPr>
        <w:t xml:space="preserve"> El Anexo A proporciona información adicional sobre la estructura y función de los números de telecomunicaciones públicas internacionales (en adelante denominados "números E.164 internacionales").</w:t>
      </w:r>
    </w:p>
    <w:p w14:paraId="4D7711A9" w14:textId="7B850B9F" w:rsidR="00FA48CC" w:rsidRPr="00FA48C1" w:rsidRDefault="00FA48CC" w:rsidP="00FA48CC">
      <w:pPr>
        <w:pStyle w:val="Heading1"/>
        <w:numPr>
          <w:ilvl w:val="0"/>
          <w:numId w:val="5"/>
        </w:numPr>
        <w:tabs>
          <w:tab w:val="num" w:pos="360"/>
        </w:tabs>
        <w:ind w:left="794" w:hanging="794"/>
        <w:rPr>
          <w:lang w:val="es-ES"/>
        </w:rPr>
      </w:pPr>
      <w:r>
        <w:rPr>
          <w:bCs/>
          <w:lang w:val="es-ES"/>
        </w:rPr>
        <w:t xml:space="preserve">Proyecto de nueva Recomendación UIT-T E.371 (antes E.dit) </w:t>
      </w:r>
      <w:r>
        <w:rPr>
          <w:lang w:val="es-ES"/>
        </w:rPr>
        <w:t>[</w:t>
      </w:r>
      <w:hyperlink r:id="rId18" w:history="1">
        <w:r w:rsidRPr="00B35377">
          <w:rPr>
            <w:rStyle w:val="Hyperlink"/>
            <w:lang w:val="es-ES"/>
          </w:rPr>
          <w:t>SG2-R7</w:t>
        </w:r>
      </w:hyperlink>
      <w:r>
        <w:rPr>
          <w:lang w:val="es-ES"/>
        </w:rPr>
        <w:t>]</w:t>
      </w:r>
    </w:p>
    <w:p w14:paraId="6BED5B21" w14:textId="3A1BDCEE" w:rsidR="00FA48CC" w:rsidRPr="00FA48C1" w:rsidRDefault="00FA48CC" w:rsidP="00FA48CC">
      <w:pPr>
        <w:keepNext/>
        <w:keepLines/>
        <w:rPr>
          <w:sz w:val="22"/>
          <w:szCs w:val="22"/>
          <w:lang w:val="es-ES"/>
        </w:rPr>
      </w:pPr>
      <w:r>
        <w:rPr>
          <w:lang w:val="es-ES"/>
        </w:rPr>
        <w:t>Tráfico considerado inadmisible</w:t>
      </w:r>
    </w:p>
    <w:p w14:paraId="0BCDFFEC" w14:textId="77777777" w:rsidR="00FA48CC" w:rsidRPr="00FA48C1" w:rsidRDefault="00FA48CC" w:rsidP="00D7022C">
      <w:pPr>
        <w:pStyle w:val="Headingb0"/>
        <w:rPr>
          <w:sz w:val="22"/>
          <w:szCs w:val="22"/>
          <w:lang w:val="es-ES"/>
        </w:rPr>
      </w:pPr>
      <w:r>
        <w:rPr>
          <w:lang w:val="es-ES"/>
        </w:rPr>
        <w:t>Resumen</w:t>
      </w:r>
    </w:p>
    <w:p w14:paraId="78DFA8D1" w14:textId="59F76E33" w:rsidR="00FA48CC" w:rsidRPr="00FA48C1" w:rsidRDefault="00FA48CC" w:rsidP="00FA48CC">
      <w:pPr>
        <w:rPr>
          <w:sz w:val="22"/>
          <w:szCs w:val="22"/>
          <w:lang w:val="es-ES"/>
        </w:rPr>
      </w:pPr>
      <w:r>
        <w:rPr>
          <w:lang w:val="es-ES"/>
        </w:rPr>
        <w:t>La Recomendación E.371 define el tráfico considerado inadmisible, ilegal o contrario a las condiciones del servicio. Puede incluir diversas actividades, como el r</w:t>
      </w:r>
      <w:r w:rsidRPr="002D3F07">
        <w:rPr>
          <w:lang w:val="es-ES"/>
        </w:rPr>
        <w:t>edireccionamiento fraudulento de llamadas</w:t>
      </w:r>
      <w:r>
        <w:rPr>
          <w:lang w:val="es-ES"/>
        </w:rPr>
        <w:t>, la derivación de servicios superpuestos (OTT), estafa wangiri o cualquier otro comportamiento que infrinja las normas y reglamentos de cualquier país.</w:t>
      </w:r>
    </w:p>
    <w:p w14:paraId="375C60F3" w14:textId="77777777" w:rsidR="00FA48CC" w:rsidRPr="00FA48C1" w:rsidRDefault="00FA48CC" w:rsidP="00FA48CC">
      <w:pPr>
        <w:rPr>
          <w:sz w:val="22"/>
          <w:szCs w:val="22"/>
          <w:lang w:val="es-ES"/>
        </w:rPr>
      </w:pPr>
      <w:r>
        <w:rPr>
          <w:lang w:val="es-ES"/>
        </w:rPr>
        <w:t>El tráfico considerado inadmisible puede tener graves implicaciones legales, éticas y de privacidad, lo que conlleva pérdidas financieras, información personal comprometida, así como la invasión de la privacidad.</w:t>
      </w:r>
    </w:p>
    <w:p w14:paraId="6E000A0A" w14:textId="77777777" w:rsidR="00FA48CC" w:rsidRDefault="00FA48CC" w:rsidP="00D7022C">
      <w:pPr>
        <w:rPr>
          <w:lang w:val="es-ES"/>
        </w:rPr>
        <w:sectPr w:rsidR="00FA48CC" w:rsidSect="00FA48CC">
          <w:headerReference w:type="default" r:id="rId19"/>
          <w:footerReference w:type="first" r:id="rId20"/>
          <w:pgSz w:w="11907" w:h="16834" w:code="9"/>
          <w:pgMar w:top="567" w:right="1089" w:bottom="426" w:left="1089" w:header="567" w:footer="567" w:gutter="0"/>
          <w:paperSrc w:first="7" w:other="7"/>
          <w:cols w:space="720"/>
          <w:titlePg/>
          <w:docGrid w:linePitch="299"/>
        </w:sectPr>
      </w:pPr>
      <w:r>
        <w:rPr>
          <w:lang w:val="es-ES"/>
        </w:rPr>
        <w:t>La Recomendación destaca la importancia de comprender el tráfico inadmisible y sus posibles consecuencias. Se destaca el impacto negativo en la seguridad, la privacidad y la experiencia del usuario, así como la calidad de servicio (QoS) y la calidad de la experiencia (QoE). Las secciones de soluciones y casos de uso de la Recomendación proporcionan medidas prácticas para combatir eficazmente el tráfico inadmisible.</w:t>
      </w:r>
    </w:p>
    <w:p w14:paraId="1426DDFD" w14:textId="135B0C03" w:rsidR="00935739" w:rsidRPr="00FA48C1" w:rsidRDefault="00935739" w:rsidP="00F76ACF">
      <w:pPr>
        <w:pStyle w:val="AppendixNotitle"/>
        <w:spacing w:before="240" w:after="240"/>
        <w:rPr>
          <w:lang w:val="es-ES"/>
        </w:rPr>
      </w:pPr>
      <w:r>
        <w:rPr>
          <w:lang w:val="es-ES"/>
        </w:rPr>
        <w:lastRenderedPageBreak/>
        <w:t>Anexo 2</w:t>
      </w:r>
      <w:r>
        <w:rPr>
          <w:lang w:val="es-ES"/>
        </w:rPr>
        <w:br/>
        <w:t>Asunto: Respuesta de los Estados Miembros a la Circular 29 de la TSB: Consulta sobre los proyectos de Recomendación revisada determinada UIT-T E.118, UIT-T E.156 y UIT-T E.164 y el proyecto de nueva Recomendación UIT-T E.371 (antes E.dit)</w:t>
      </w:r>
    </w:p>
    <w:tbl>
      <w:tblPr>
        <w:tblW w:w="10065" w:type="dxa"/>
        <w:tblLayout w:type="fixed"/>
        <w:tblLook w:val="04A0" w:firstRow="1" w:lastRow="0" w:firstColumn="1" w:lastColumn="0" w:noHBand="0" w:noVBand="1"/>
      </w:tblPr>
      <w:tblGrid>
        <w:gridCol w:w="1276"/>
        <w:gridCol w:w="4253"/>
        <w:gridCol w:w="1311"/>
        <w:gridCol w:w="3225"/>
      </w:tblGrid>
      <w:tr w:rsidR="00935739" w:rsidRPr="00334DF2" w14:paraId="0260DA21" w14:textId="77777777" w:rsidTr="0002788A">
        <w:tc>
          <w:tcPr>
            <w:tcW w:w="1276" w:type="dxa"/>
            <w:shd w:val="clear" w:color="auto" w:fill="auto"/>
          </w:tcPr>
          <w:p w14:paraId="321EF6F2" w14:textId="77777777" w:rsidR="00935739" w:rsidRPr="00B558D2" w:rsidRDefault="00935739" w:rsidP="0002788A">
            <w:pPr>
              <w:pStyle w:val="TableText"/>
              <w:jc w:val="right"/>
              <w:rPr>
                <w:szCs w:val="24"/>
              </w:rPr>
            </w:pPr>
            <w:r>
              <w:rPr>
                <w:b/>
                <w:bCs/>
                <w:color w:val="000000"/>
                <w:lang w:val="es-ES"/>
              </w:rPr>
              <w:t>A:</w:t>
            </w:r>
          </w:p>
        </w:tc>
        <w:tc>
          <w:tcPr>
            <w:tcW w:w="4253" w:type="dxa"/>
            <w:tcBorders>
              <w:right w:val="single" w:sz="8" w:space="0" w:color="auto"/>
            </w:tcBorders>
            <w:shd w:val="clear" w:color="auto" w:fill="auto"/>
          </w:tcPr>
          <w:p w14:paraId="68F4790E" w14:textId="77777777" w:rsidR="00935739" w:rsidRPr="00AC2C0A" w:rsidRDefault="00935739" w:rsidP="0002788A">
            <w:pPr>
              <w:pStyle w:val="TableText"/>
            </w:pPr>
            <w:r>
              <w:t>E</w:t>
            </w:r>
            <w:r w:rsidRPr="00AC2C0A">
              <w:t>l Director de la Oficina de Normalización de las Telecomunicaciones,</w:t>
            </w:r>
            <w:r>
              <w:br/>
            </w:r>
            <w:r w:rsidRPr="00AC2C0A">
              <w:t>Unión Internacional de Telecomunicaciones</w:t>
            </w:r>
            <w:r>
              <w:br/>
            </w:r>
            <w:r w:rsidRPr="00AC2C0A">
              <w:t>Place des Nations</w:t>
            </w:r>
            <w:r>
              <w:br/>
            </w:r>
            <w:r w:rsidRPr="00AC2C0A">
              <w:t>CH 1211 Ginebra 20, Suiza</w:t>
            </w:r>
          </w:p>
        </w:tc>
        <w:tc>
          <w:tcPr>
            <w:tcW w:w="1311" w:type="dxa"/>
            <w:tcBorders>
              <w:left w:val="single" w:sz="8" w:space="0" w:color="auto"/>
            </w:tcBorders>
            <w:shd w:val="clear" w:color="auto" w:fill="auto"/>
          </w:tcPr>
          <w:p w14:paraId="05D4F172" w14:textId="77777777" w:rsidR="00935739" w:rsidRPr="00AC2C0A" w:rsidRDefault="00935739" w:rsidP="0002788A">
            <w:pPr>
              <w:pStyle w:val="TableText"/>
              <w:jc w:val="right"/>
              <w:rPr>
                <w:b/>
                <w:bCs/>
                <w:szCs w:val="22"/>
                <w:lang w:val="fr-FR"/>
              </w:rPr>
            </w:pPr>
            <w:r w:rsidRPr="00AC2C0A">
              <w:rPr>
                <w:b/>
                <w:bCs/>
                <w:szCs w:val="22"/>
                <w:lang w:val="fr-FR"/>
              </w:rPr>
              <w:t>De:</w:t>
            </w:r>
          </w:p>
        </w:tc>
        <w:tc>
          <w:tcPr>
            <w:tcW w:w="3225" w:type="dxa"/>
            <w:shd w:val="clear" w:color="auto" w:fill="auto"/>
          </w:tcPr>
          <w:p w14:paraId="553F5058" w14:textId="77777777" w:rsidR="00935739" w:rsidRPr="00AC2C0A" w:rsidRDefault="00935739" w:rsidP="0002788A">
            <w:pPr>
              <w:pStyle w:val="TableText"/>
              <w:rPr>
                <w:sz w:val="20"/>
                <w:szCs w:val="22"/>
                <w:highlight w:val="green"/>
                <w:lang w:val="es-ES"/>
              </w:rPr>
            </w:pPr>
            <w:r w:rsidRPr="00935739">
              <w:rPr>
                <w:szCs w:val="22"/>
                <w:highlight w:val="green"/>
                <w:lang w:val="es-ES"/>
              </w:rPr>
              <w:t>[Nombre]</w:t>
            </w:r>
          </w:p>
          <w:p w14:paraId="78FA2711" w14:textId="77777777" w:rsidR="00935739" w:rsidRPr="00AC2C0A" w:rsidRDefault="00935739" w:rsidP="0002788A">
            <w:pPr>
              <w:pStyle w:val="TableText"/>
              <w:rPr>
                <w:sz w:val="20"/>
                <w:szCs w:val="22"/>
                <w:highlight w:val="green"/>
                <w:lang w:val="es-ES"/>
              </w:rPr>
            </w:pPr>
            <w:r w:rsidRPr="00935739">
              <w:rPr>
                <w:szCs w:val="22"/>
                <w:highlight w:val="green"/>
                <w:lang w:val="es-ES"/>
              </w:rPr>
              <w:t>[Cargo oficial/título]</w:t>
            </w:r>
          </w:p>
          <w:p w14:paraId="2FB9B4FB" w14:textId="77777777" w:rsidR="00935739" w:rsidRPr="00FA48C1" w:rsidRDefault="00935739" w:rsidP="0002788A">
            <w:pPr>
              <w:pStyle w:val="TableText"/>
              <w:rPr>
                <w:szCs w:val="24"/>
                <w:lang w:val="es-ES"/>
              </w:rPr>
            </w:pPr>
            <w:r w:rsidRPr="00935739">
              <w:rPr>
                <w:szCs w:val="22"/>
                <w:highlight w:val="green"/>
                <w:lang w:val="es-ES"/>
              </w:rPr>
              <w:t>[Dirección]</w:t>
            </w:r>
          </w:p>
        </w:tc>
      </w:tr>
      <w:tr w:rsidR="00935739" w:rsidRPr="00B558D2" w14:paraId="6F98FB1D" w14:textId="77777777" w:rsidTr="0002788A">
        <w:tc>
          <w:tcPr>
            <w:tcW w:w="1276" w:type="dxa"/>
            <w:shd w:val="clear" w:color="auto" w:fill="auto"/>
          </w:tcPr>
          <w:p w14:paraId="589CC867" w14:textId="77777777" w:rsidR="00935739" w:rsidRPr="00D7022C" w:rsidRDefault="00935739" w:rsidP="0002788A">
            <w:pPr>
              <w:pStyle w:val="TableText"/>
              <w:jc w:val="right"/>
              <w:rPr>
                <w:b/>
                <w:bCs/>
                <w:sz w:val="24"/>
                <w:szCs w:val="24"/>
                <w:lang w:val="fr-FR"/>
              </w:rPr>
            </w:pPr>
            <w:r w:rsidRPr="00AC2C0A">
              <w:rPr>
                <w:b/>
                <w:bCs/>
                <w:szCs w:val="22"/>
                <w:lang w:val="fr-FR"/>
              </w:rPr>
              <w:t>Fax:</w:t>
            </w:r>
          </w:p>
        </w:tc>
        <w:tc>
          <w:tcPr>
            <w:tcW w:w="4253" w:type="dxa"/>
            <w:tcBorders>
              <w:right w:val="single" w:sz="8" w:space="0" w:color="auto"/>
            </w:tcBorders>
            <w:shd w:val="clear" w:color="auto" w:fill="auto"/>
          </w:tcPr>
          <w:p w14:paraId="11C0FBE7" w14:textId="77777777" w:rsidR="00935739" w:rsidRPr="00AC2C0A" w:rsidRDefault="00935739" w:rsidP="0002788A">
            <w:pPr>
              <w:pStyle w:val="TableText"/>
            </w:pPr>
            <w:r w:rsidRPr="00AC2C0A">
              <w:t>+41-22-730-5853</w:t>
            </w:r>
          </w:p>
        </w:tc>
        <w:tc>
          <w:tcPr>
            <w:tcW w:w="1311" w:type="dxa"/>
            <w:tcBorders>
              <w:left w:val="single" w:sz="8" w:space="0" w:color="auto"/>
            </w:tcBorders>
            <w:shd w:val="clear" w:color="auto" w:fill="auto"/>
          </w:tcPr>
          <w:p w14:paraId="338C874A" w14:textId="77777777" w:rsidR="00935739" w:rsidRPr="00AC2C0A" w:rsidRDefault="00935739" w:rsidP="0002788A">
            <w:pPr>
              <w:pStyle w:val="TableText"/>
              <w:jc w:val="right"/>
              <w:rPr>
                <w:b/>
                <w:bCs/>
                <w:szCs w:val="22"/>
                <w:lang w:val="fr-FR"/>
              </w:rPr>
            </w:pPr>
            <w:r w:rsidRPr="00AC2C0A">
              <w:rPr>
                <w:b/>
                <w:bCs/>
                <w:szCs w:val="22"/>
                <w:lang w:val="fr-FR"/>
              </w:rPr>
              <w:t>Fax:</w:t>
            </w:r>
          </w:p>
        </w:tc>
        <w:tc>
          <w:tcPr>
            <w:tcW w:w="3225" w:type="dxa"/>
            <w:shd w:val="clear" w:color="auto" w:fill="auto"/>
          </w:tcPr>
          <w:p w14:paraId="312EE877" w14:textId="77777777" w:rsidR="00935739" w:rsidRPr="00B558D2" w:rsidRDefault="00935739" w:rsidP="0002788A">
            <w:pPr>
              <w:spacing w:before="0"/>
              <w:rPr>
                <w:szCs w:val="24"/>
              </w:rPr>
            </w:pPr>
          </w:p>
        </w:tc>
      </w:tr>
      <w:tr w:rsidR="00935739" w:rsidRPr="00B558D2" w14:paraId="4938059E" w14:textId="77777777" w:rsidTr="0002788A">
        <w:tc>
          <w:tcPr>
            <w:tcW w:w="1276" w:type="dxa"/>
            <w:shd w:val="clear" w:color="auto" w:fill="auto"/>
          </w:tcPr>
          <w:p w14:paraId="5AE6783A" w14:textId="79CE7C48" w:rsidR="00935739" w:rsidRPr="00AC2C0A" w:rsidRDefault="00935739" w:rsidP="0002788A">
            <w:pPr>
              <w:pStyle w:val="TableText"/>
              <w:jc w:val="right"/>
              <w:rPr>
                <w:b/>
                <w:bCs/>
                <w:szCs w:val="22"/>
                <w:lang w:val="fr-FR"/>
              </w:rPr>
            </w:pPr>
            <w:r w:rsidRPr="00AC2C0A">
              <w:rPr>
                <w:b/>
                <w:bCs/>
                <w:szCs w:val="22"/>
                <w:lang w:val="fr-FR"/>
              </w:rPr>
              <w:t>Correo</w:t>
            </w:r>
            <w:r w:rsidR="005F7742">
              <w:rPr>
                <w:szCs w:val="22"/>
                <w:lang w:val="es-ES"/>
              </w:rPr>
              <w:t>-</w:t>
            </w:r>
            <w:r w:rsidRPr="00AC2C0A">
              <w:rPr>
                <w:b/>
                <w:bCs/>
                <w:szCs w:val="22"/>
                <w:lang w:val="fr-FR"/>
              </w:rPr>
              <w:t>e:</w:t>
            </w:r>
          </w:p>
        </w:tc>
        <w:tc>
          <w:tcPr>
            <w:tcW w:w="4253" w:type="dxa"/>
            <w:tcBorders>
              <w:right w:val="single" w:sz="8" w:space="0" w:color="auto"/>
            </w:tcBorders>
            <w:shd w:val="clear" w:color="auto" w:fill="auto"/>
          </w:tcPr>
          <w:p w14:paraId="569F2A1A" w14:textId="77777777" w:rsidR="00935739" w:rsidRDefault="00935739" w:rsidP="0002788A">
            <w:pPr>
              <w:pStyle w:val="TableText"/>
              <w:rPr>
                <w:color w:val="000000"/>
                <w:lang w:val="es-ES"/>
              </w:rPr>
            </w:pPr>
            <w:hyperlink r:id="rId21" w:history="1">
              <w:r w:rsidRPr="00AC2C0A">
                <w:rPr>
                  <w:rStyle w:val="Hyperlink"/>
                </w:rPr>
                <w:t>tsbdir@itu.int</w:t>
              </w:r>
            </w:hyperlink>
          </w:p>
        </w:tc>
        <w:tc>
          <w:tcPr>
            <w:tcW w:w="1311" w:type="dxa"/>
            <w:tcBorders>
              <w:left w:val="single" w:sz="8" w:space="0" w:color="auto"/>
            </w:tcBorders>
            <w:shd w:val="clear" w:color="auto" w:fill="auto"/>
          </w:tcPr>
          <w:p w14:paraId="331F09E7" w14:textId="77777777" w:rsidR="00935739" w:rsidRPr="00AC2C0A" w:rsidRDefault="00935739" w:rsidP="0002788A">
            <w:pPr>
              <w:pStyle w:val="TableText"/>
              <w:jc w:val="right"/>
              <w:rPr>
                <w:b/>
                <w:bCs/>
                <w:szCs w:val="22"/>
                <w:lang w:val="fr-FR"/>
              </w:rPr>
            </w:pPr>
            <w:r w:rsidRPr="00AC2C0A">
              <w:rPr>
                <w:b/>
                <w:bCs/>
                <w:szCs w:val="22"/>
                <w:lang w:val="fr-FR"/>
              </w:rPr>
              <w:t>Correo-e:</w:t>
            </w:r>
          </w:p>
        </w:tc>
        <w:tc>
          <w:tcPr>
            <w:tcW w:w="3225" w:type="dxa"/>
            <w:shd w:val="clear" w:color="auto" w:fill="auto"/>
          </w:tcPr>
          <w:p w14:paraId="48CBB052" w14:textId="77777777" w:rsidR="00935739" w:rsidRPr="00B558D2" w:rsidRDefault="00935739" w:rsidP="0002788A">
            <w:pPr>
              <w:spacing w:before="0"/>
              <w:rPr>
                <w:szCs w:val="24"/>
              </w:rPr>
            </w:pPr>
          </w:p>
        </w:tc>
      </w:tr>
      <w:tr w:rsidR="00935739" w:rsidRPr="00B558D2" w14:paraId="2A6E5D6C" w14:textId="77777777" w:rsidTr="0002788A">
        <w:tc>
          <w:tcPr>
            <w:tcW w:w="1276" w:type="dxa"/>
            <w:shd w:val="clear" w:color="auto" w:fill="auto"/>
          </w:tcPr>
          <w:p w14:paraId="053C5159" w14:textId="77777777" w:rsidR="00935739" w:rsidRPr="00B558D2" w:rsidRDefault="00935739" w:rsidP="0002788A">
            <w:pPr>
              <w:spacing w:before="0"/>
              <w:jc w:val="right"/>
              <w:rPr>
                <w:szCs w:val="24"/>
              </w:rPr>
            </w:pPr>
          </w:p>
        </w:tc>
        <w:tc>
          <w:tcPr>
            <w:tcW w:w="4253" w:type="dxa"/>
            <w:tcBorders>
              <w:right w:val="single" w:sz="8" w:space="0" w:color="auto"/>
            </w:tcBorders>
            <w:shd w:val="clear" w:color="auto" w:fill="auto"/>
          </w:tcPr>
          <w:p w14:paraId="760979BA" w14:textId="77777777" w:rsidR="00935739" w:rsidRPr="00B558D2" w:rsidRDefault="00935739" w:rsidP="0002788A">
            <w:pPr>
              <w:spacing w:before="0"/>
              <w:rPr>
                <w:szCs w:val="24"/>
              </w:rPr>
            </w:pPr>
          </w:p>
        </w:tc>
        <w:tc>
          <w:tcPr>
            <w:tcW w:w="1311" w:type="dxa"/>
            <w:tcBorders>
              <w:left w:val="single" w:sz="8" w:space="0" w:color="auto"/>
            </w:tcBorders>
            <w:shd w:val="clear" w:color="auto" w:fill="auto"/>
          </w:tcPr>
          <w:p w14:paraId="648FCFD3" w14:textId="77777777" w:rsidR="00935739" w:rsidRPr="00AC2C0A" w:rsidRDefault="00935739" w:rsidP="0002788A">
            <w:pPr>
              <w:pStyle w:val="TableText"/>
              <w:jc w:val="right"/>
              <w:rPr>
                <w:b/>
                <w:bCs/>
                <w:szCs w:val="22"/>
                <w:lang w:val="fr-FR"/>
              </w:rPr>
            </w:pPr>
            <w:r w:rsidRPr="00AC2C0A">
              <w:rPr>
                <w:b/>
                <w:bCs/>
                <w:szCs w:val="22"/>
                <w:lang w:val="fr-FR"/>
              </w:rPr>
              <w:t>Fecha:</w:t>
            </w:r>
          </w:p>
        </w:tc>
        <w:tc>
          <w:tcPr>
            <w:tcW w:w="3225" w:type="dxa"/>
            <w:shd w:val="clear" w:color="auto" w:fill="auto"/>
          </w:tcPr>
          <w:p w14:paraId="7C24CA35" w14:textId="77777777" w:rsidR="00935739" w:rsidRPr="00DB3285" w:rsidRDefault="00935739" w:rsidP="0002788A">
            <w:pPr>
              <w:pStyle w:val="TableText"/>
              <w:rPr>
                <w:szCs w:val="24"/>
                <w:highlight w:val="green"/>
              </w:rPr>
            </w:pPr>
            <w:r w:rsidRPr="00AC2C0A">
              <w:rPr>
                <w:szCs w:val="22"/>
                <w:highlight w:val="green"/>
                <w:lang w:val="fr-FR"/>
              </w:rPr>
              <w:t>[Lugar,] [Fecha]</w:t>
            </w:r>
          </w:p>
        </w:tc>
      </w:tr>
    </w:tbl>
    <w:p w14:paraId="6702CFF9" w14:textId="77777777" w:rsidR="00935739" w:rsidRPr="00FA48C1" w:rsidRDefault="00935739" w:rsidP="00935739">
      <w:pPr>
        <w:spacing w:before="240"/>
        <w:rPr>
          <w:szCs w:val="24"/>
          <w:lang w:val="es-ES"/>
        </w:rPr>
      </w:pPr>
      <w:r>
        <w:rPr>
          <w:lang w:val="es-ES"/>
        </w:rPr>
        <w:t>Muy Señora mía/Muy Señor mío:</w:t>
      </w:r>
    </w:p>
    <w:p w14:paraId="71F17831" w14:textId="77777777" w:rsidR="00935739" w:rsidRPr="00FA48C1" w:rsidRDefault="00935739" w:rsidP="00935739">
      <w:pPr>
        <w:spacing w:after="120"/>
        <w:ind w:right="-194"/>
        <w:rPr>
          <w:szCs w:val="24"/>
          <w:lang w:val="es-ES"/>
        </w:rPr>
      </w:pPr>
      <w:r>
        <w:rPr>
          <w:lang w:val="es-ES"/>
        </w:rPr>
        <w:t>En lo que respecta a la consulta a los Estados Miembros sobre el proyecto de texto determinado que figura en la Circular 29 de la TSB, deseo informarle de la opinión de esta Administración, que se refleja en el siguiente cuadro.</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7993"/>
      </w:tblGrid>
      <w:tr w:rsidR="00935739" w:rsidRPr="00334DF2" w14:paraId="3672C6C0" w14:textId="77777777" w:rsidTr="0002788A">
        <w:trPr>
          <w:cantSplit/>
          <w:tblHeader/>
        </w:trPr>
        <w:tc>
          <w:tcPr>
            <w:tcW w:w="2067" w:type="dxa"/>
            <w:shd w:val="clear" w:color="auto" w:fill="auto"/>
            <w:vAlign w:val="center"/>
          </w:tcPr>
          <w:p w14:paraId="579CEFDA" w14:textId="77777777" w:rsidR="00935739" w:rsidRPr="00FA48C1" w:rsidRDefault="00935739" w:rsidP="0002788A">
            <w:pPr>
              <w:spacing w:after="120"/>
              <w:jc w:val="center"/>
              <w:rPr>
                <w:b/>
                <w:bCs/>
                <w:szCs w:val="24"/>
                <w:lang w:val="es-ES"/>
              </w:rPr>
            </w:pPr>
          </w:p>
        </w:tc>
        <w:tc>
          <w:tcPr>
            <w:tcW w:w="7993" w:type="dxa"/>
            <w:shd w:val="clear" w:color="auto" w:fill="auto"/>
            <w:vAlign w:val="center"/>
          </w:tcPr>
          <w:p w14:paraId="3AAA685F" w14:textId="77777777" w:rsidR="00935739" w:rsidRPr="00B35377" w:rsidRDefault="00935739" w:rsidP="0002788A">
            <w:pPr>
              <w:pStyle w:val="TableHead"/>
            </w:pPr>
            <w:r w:rsidRPr="00B35377">
              <w:t>Seleccione una de las dos casillas</w:t>
            </w:r>
          </w:p>
        </w:tc>
      </w:tr>
      <w:tr w:rsidR="00935739" w:rsidRPr="00334DF2" w14:paraId="62E26693" w14:textId="77777777" w:rsidTr="0002788A">
        <w:trPr>
          <w:cantSplit/>
          <w:trHeight w:val="748"/>
        </w:trPr>
        <w:tc>
          <w:tcPr>
            <w:tcW w:w="2067" w:type="dxa"/>
            <w:vMerge w:val="restart"/>
            <w:shd w:val="clear" w:color="auto" w:fill="auto"/>
            <w:vAlign w:val="center"/>
          </w:tcPr>
          <w:p w14:paraId="6C3F7D1A" w14:textId="77777777" w:rsidR="00935739" w:rsidRPr="00AC2C0A" w:rsidRDefault="00935739" w:rsidP="0002788A">
            <w:pPr>
              <w:pStyle w:val="TableText"/>
              <w:jc w:val="center"/>
              <w:rPr>
                <w:b/>
                <w:bCs/>
                <w:color w:val="000000"/>
                <w:lang w:val="es-ES"/>
              </w:rPr>
            </w:pPr>
            <w:r w:rsidRPr="00935739">
              <w:rPr>
                <w:b/>
                <w:szCs w:val="22"/>
                <w:lang w:val="es-ES"/>
              </w:rPr>
              <w:t>Proyecto de revisión de la Recomendación UIT-T E.118</w:t>
            </w:r>
          </w:p>
        </w:tc>
        <w:tc>
          <w:tcPr>
            <w:tcW w:w="7993" w:type="dxa"/>
            <w:shd w:val="clear" w:color="auto" w:fill="auto"/>
            <w:vAlign w:val="center"/>
          </w:tcPr>
          <w:p w14:paraId="5AAF47FA" w14:textId="734CCB53" w:rsidR="00935739" w:rsidRPr="00FA48C1" w:rsidRDefault="00ED555E" w:rsidP="0002788A">
            <w:pPr>
              <w:pStyle w:val="TableText"/>
              <w:tabs>
                <w:tab w:val="clear" w:pos="284"/>
              </w:tabs>
              <w:spacing w:before="0" w:after="0"/>
              <w:ind w:left="567" w:hanging="567"/>
              <w:rPr>
                <w:szCs w:val="24"/>
                <w:lang w:val="es-ES"/>
              </w:rPr>
            </w:pPr>
            <w:sdt>
              <w:sdtPr>
                <w:rPr>
                  <w:sz w:val="30"/>
                  <w:szCs w:val="30"/>
                  <w:lang w:val="es-ES"/>
                </w:rPr>
                <w:id w:val="-705943451"/>
                <w14:checkbox>
                  <w14:checked w14:val="0"/>
                  <w14:checkedState w14:val="2612" w14:font="MS Gothic"/>
                  <w14:uncheckedState w14:val="2610" w14:font="MS Gothic"/>
                </w14:checkbox>
              </w:sdtPr>
              <w:sdtEndPr/>
              <w:sdtContent>
                <w:r w:rsidR="00935739" w:rsidRPr="00FA48C1">
                  <w:rPr>
                    <w:rFonts w:ascii="MS Gothic" w:eastAsia="MS Gothic" w:hAnsi="MS Gothic"/>
                    <w:color w:val="000000"/>
                    <w:sz w:val="30"/>
                    <w:szCs w:val="30"/>
                    <w:lang w:val="es-ES"/>
                  </w:rPr>
                  <w:t>☐</w:t>
                </w:r>
              </w:sdtContent>
            </w:sdt>
            <w:r w:rsidR="00935739">
              <w:rPr>
                <w:color w:val="000000"/>
                <w:lang w:val="es-ES"/>
              </w:rPr>
              <w:tab/>
            </w:r>
            <w:r w:rsidR="00935739">
              <w:rPr>
                <w:b/>
                <w:bCs/>
                <w:color w:val="000000"/>
                <w:lang w:val="es-ES"/>
              </w:rPr>
              <w:t xml:space="preserve">Otorga autoridad </w:t>
            </w:r>
            <w:r w:rsidR="00935739">
              <w:rPr>
                <w:color w:val="000000"/>
                <w:lang w:val="es-ES"/>
              </w:rPr>
              <w:t>a la CE</w:t>
            </w:r>
            <w:r w:rsidR="00A15EFA">
              <w:rPr>
                <w:color w:val="000000"/>
                <w:lang w:val="es-ES"/>
              </w:rPr>
              <w:t> </w:t>
            </w:r>
            <w:r w:rsidR="00935739">
              <w:rPr>
                <w:color w:val="000000"/>
                <w:lang w:val="es-ES"/>
              </w:rPr>
              <w:t>2 a fin de examinar este texto para aprobación (en cuyo caso seleccionará una de las dos opciones):</w:t>
            </w:r>
          </w:p>
          <w:p w14:paraId="116933A4" w14:textId="77777777" w:rsidR="00935739" w:rsidRPr="00FA48C1" w:rsidRDefault="00ED555E" w:rsidP="0002788A">
            <w:pPr>
              <w:pStyle w:val="TableText"/>
              <w:tabs>
                <w:tab w:val="clear" w:pos="284"/>
                <w:tab w:val="clear" w:pos="567"/>
                <w:tab w:val="clear" w:pos="851"/>
              </w:tabs>
              <w:ind w:left="593"/>
              <w:rPr>
                <w:szCs w:val="24"/>
                <w:lang w:val="es-ES"/>
              </w:rPr>
            </w:pPr>
            <w:sdt>
              <w:sdtPr>
                <w:rPr>
                  <w:sz w:val="30"/>
                  <w:szCs w:val="30"/>
                  <w:lang w:val="es-ES"/>
                </w:rPr>
                <w:id w:val="-1010522499"/>
                <w14:checkbox>
                  <w14:checked w14:val="0"/>
                  <w14:checkedState w14:val="2612" w14:font="MS Gothic"/>
                  <w14:uncheckedState w14:val="2610" w14:font="MS Gothic"/>
                </w14:checkbox>
              </w:sdtPr>
              <w:sdtEndPr/>
              <w:sdtContent>
                <w:r w:rsidR="00935739">
                  <w:rPr>
                    <w:rFonts w:ascii="MS Gothic" w:eastAsia="MS Gothic" w:hAnsi="MS Gothic" w:hint="eastAsia"/>
                    <w:sz w:val="30"/>
                    <w:szCs w:val="30"/>
                    <w:lang w:val="es-ES"/>
                  </w:rPr>
                  <w:t>☐</w:t>
                </w:r>
              </w:sdtContent>
            </w:sdt>
            <w:r w:rsidR="00935739">
              <w:rPr>
                <w:color w:val="000000"/>
                <w:lang w:val="es-ES"/>
              </w:rPr>
              <w:tab/>
            </w:r>
            <w:r w:rsidR="00935739" w:rsidRPr="00935739">
              <w:rPr>
                <w:sz w:val="24"/>
                <w:szCs w:val="24"/>
                <w:lang w:val="es-ES"/>
              </w:rPr>
              <w:t>Sin</w:t>
            </w:r>
            <w:r w:rsidR="00935739">
              <w:rPr>
                <w:color w:val="000000"/>
                <w:lang w:val="es-ES"/>
              </w:rPr>
              <w:t xml:space="preserve"> comentarios o cambios sugeridos</w:t>
            </w:r>
          </w:p>
          <w:p w14:paraId="0BEECAB0" w14:textId="77777777" w:rsidR="00935739" w:rsidRPr="00FA48C1" w:rsidRDefault="00ED555E" w:rsidP="0002788A">
            <w:pPr>
              <w:pStyle w:val="TableText"/>
              <w:tabs>
                <w:tab w:val="clear" w:pos="284"/>
                <w:tab w:val="clear" w:pos="567"/>
                <w:tab w:val="clear" w:pos="851"/>
              </w:tabs>
              <w:ind w:left="593"/>
              <w:rPr>
                <w:szCs w:val="24"/>
                <w:lang w:val="es-ES"/>
              </w:rPr>
            </w:pPr>
            <w:sdt>
              <w:sdtPr>
                <w:rPr>
                  <w:sz w:val="30"/>
                  <w:szCs w:val="30"/>
                  <w:lang w:val="es-ES"/>
                </w:rPr>
                <w:id w:val="2105455475"/>
                <w14:checkbox>
                  <w14:checked w14:val="0"/>
                  <w14:checkedState w14:val="2612" w14:font="MS Gothic"/>
                  <w14:uncheckedState w14:val="2610" w14:font="MS Gothic"/>
                </w14:checkbox>
              </w:sdtPr>
              <w:sdtEndPr/>
              <w:sdtContent>
                <w:r w:rsidR="00935739" w:rsidRPr="00FA48C1">
                  <w:rPr>
                    <w:rFonts w:ascii="MS Gothic" w:eastAsia="MS Gothic" w:hAnsi="MS Gothic"/>
                    <w:color w:val="000000"/>
                    <w:sz w:val="30"/>
                    <w:szCs w:val="30"/>
                    <w:lang w:val="es-ES"/>
                  </w:rPr>
                  <w:t>☐</w:t>
                </w:r>
              </w:sdtContent>
            </w:sdt>
            <w:r w:rsidR="00935739">
              <w:rPr>
                <w:color w:val="000000"/>
                <w:lang w:val="es-ES"/>
              </w:rPr>
              <w:tab/>
              <w:t>Se adjuntan los comentarios o cambios sugeridos</w:t>
            </w:r>
          </w:p>
        </w:tc>
      </w:tr>
      <w:tr w:rsidR="00935739" w:rsidRPr="00334DF2" w14:paraId="61AC4E85" w14:textId="77777777" w:rsidTr="0002788A">
        <w:trPr>
          <w:cantSplit/>
          <w:trHeight w:val="747"/>
        </w:trPr>
        <w:tc>
          <w:tcPr>
            <w:tcW w:w="2067" w:type="dxa"/>
            <w:vMerge/>
            <w:shd w:val="clear" w:color="auto" w:fill="auto"/>
            <w:vAlign w:val="center"/>
          </w:tcPr>
          <w:p w14:paraId="22860ECA" w14:textId="77777777" w:rsidR="00935739" w:rsidRPr="00FA48C1" w:rsidRDefault="00935739" w:rsidP="0002788A">
            <w:pPr>
              <w:spacing w:before="60" w:after="60"/>
              <w:jc w:val="center"/>
              <w:rPr>
                <w:b/>
                <w:bCs/>
                <w:szCs w:val="24"/>
                <w:lang w:val="es-ES"/>
              </w:rPr>
            </w:pPr>
          </w:p>
        </w:tc>
        <w:tc>
          <w:tcPr>
            <w:tcW w:w="7993" w:type="dxa"/>
            <w:shd w:val="clear" w:color="auto" w:fill="auto"/>
            <w:vAlign w:val="center"/>
          </w:tcPr>
          <w:p w14:paraId="0BF218C1" w14:textId="64212CE1" w:rsidR="00935739" w:rsidRPr="00FA48C1" w:rsidRDefault="00ED555E" w:rsidP="0002788A">
            <w:pPr>
              <w:pStyle w:val="TableText"/>
              <w:tabs>
                <w:tab w:val="clear" w:pos="284"/>
              </w:tabs>
              <w:spacing w:before="0" w:after="0"/>
              <w:ind w:left="567" w:hanging="567"/>
              <w:rPr>
                <w:sz w:val="20"/>
                <w:lang w:val="es-ES"/>
              </w:rPr>
            </w:pPr>
            <w:sdt>
              <w:sdtPr>
                <w:rPr>
                  <w:sz w:val="30"/>
                  <w:szCs w:val="30"/>
                  <w:lang w:val="es-ES"/>
                </w:rPr>
                <w:id w:val="-1767383137"/>
                <w14:checkbox>
                  <w14:checked w14:val="0"/>
                  <w14:checkedState w14:val="2612" w14:font="MS Gothic"/>
                  <w14:uncheckedState w14:val="2610" w14:font="MS Gothic"/>
                </w14:checkbox>
              </w:sdtPr>
              <w:sdtEndPr/>
              <w:sdtContent>
                <w:r w:rsidR="00935739" w:rsidRPr="00FA48C1">
                  <w:rPr>
                    <w:rFonts w:ascii="MS Gothic" w:eastAsia="MS Gothic" w:hAnsi="MS Gothic"/>
                    <w:color w:val="000000"/>
                    <w:sz w:val="30"/>
                    <w:szCs w:val="30"/>
                    <w:lang w:val="es-ES"/>
                  </w:rPr>
                  <w:t>☐</w:t>
                </w:r>
              </w:sdtContent>
            </w:sdt>
            <w:r w:rsidR="00935739">
              <w:rPr>
                <w:color w:val="000000"/>
                <w:lang w:val="es-ES"/>
              </w:rPr>
              <w:tab/>
            </w:r>
            <w:r w:rsidR="00935739">
              <w:rPr>
                <w:b/>
                <w:bCs/>
                <w:color w:val="000000"/>
                <w:lang w:val="es-ES"/>
              </w:rPr>
              <w:t>No otorga autoridad</w:t>
            </w:r>
            <w:r w:rsidR="00935739">
              <w:rPr>
                <w:color w:val="000000"/>
                <w:lang w:val="es-ES"/>
              </w:rPr>
              <w:t xml:space="preserve"> a la CE</w:t>
            </w:r>
            <w:r w:rsidR="00A15EFA">
              <w:rPr>
                <w:color w:val="000000"/>
                <w:lang w:val="es-ES"/>
              </w:rPr>
              <w:t> </w:t>
            </w:r>
            <w:r w:rsidR="00935739">
              <w:rPr>
                <w:color w:val="000000"/>
                <w:lang w:val="es-ES"/>
              </w:rPr>
              <w:t>2 a fin de examinar este texto para aprobación (se adjuntan los motivos en que se fundamenta esta opinión y las modificaciones que podrían permitir el proseguimiento de los trabajos)</w:t>
            </w:r>
          </w:p>
        </w:tc>
      </w:tr>
      <w:tr w:rsidR="00935739" w:rsidRPr="00334DF2" w14:paraId="018B2FFE" w14:textId="77777777" w:rsidTr="0002788A">
        <w:trPr>
          <w:cantSplit/>
          <w:trHeight w:val="748"/>
        </w:trPr>
        <w:tc>
          <w:tcPr>
            <w:tcW w:w="2067" w:type="dxa"/>
            <w:vMerge w:val="restart"/>
            <w:shd w:val="clear" w:color="auto" w:fill="auto"/>
            <w:vAlign w:val="center"/>
          </w:tcPr>
          <w:p w14:paraId="2A4D3D2D" w14:textId="77777777" w:rsidR="00935739" w:rsidRPr="00FA48C1" w:rsidRDefault="00935739" w:rsidP="0002788A">
            <w:pPr>
              <w:pStyle w:val="TableText"/>
              <w:jc w:val="center"/>
              <w:rPr>
                <w:b/>
                <w:bCs/>
                <w:szCs w:val="24"/>
                <w:lang w:val="es-ES"/>
              </w:rPr>
            </w:pPr>
            <w:r>
              <w:rPr>
                <w:b/>
                <w:bCs/>
                <w:color w:val="000000"/>
                <w:lang w:val="es-ES"/>
              </w:rPr>
              <w:t>Proyecto de revisión de la Recomendación UIT-T E.156</w:t>
            </w:r>
          </w:p>
        </w:tc>
        <w:tc>
          <w:tcPr>
            <w:tcW w:w="7993" w:type="dxa"/>
            <w:shd w:val="clear" w:color="auto" w:fill="auto"/>
            <w:vAlign w:val="center"/>
          </w:tcPr>
          <w:p w14:paraId="7030C0A9" w14:textId="67C3AC25" w:rsidR="00935739" w:rsidRPr="00FA48C1" w:rsidRDefault="00ED555E" w:rsidP="0002788A">
            <w:pPr>
              <w:pStyle w:val="TableText"/>
              <w:tabs>
                <w:tab w:val="clear" w:pos="284"/>
              </w:tabs>
              <w:spacing w:before="0" w:after="0"/>
              <w:ind w:left="567" w:hanging="567"/>
              <w:rPr>
                <w:szCs w:val="24"/>
                <w:lang w:val="es-ES"/>
              </w:rPr>
            </w:pPr>
            <w:sdt>
              <w:sdtPr>
                <w:rPr>
                  <w:sz w:val="30"/>
                  <w:szCs w:val="30"/>
                  <w:lang w:val="es-ES"/>
                </w:rPr>
                <w:id w:val="-755747431"/>
                <w14:checkbox>
                  <w14:checked w14:val="0"/>
                  <w14:checkedState w14:val="2612" w14:font="MS Gothic"/>
                  <w14:uncheckedState w14:val="2610" w14:font="MS Gothic"/>
                </w14:checkbox>
              </w:sdtPr>
              <w:sdtEndPr/>
              <w:sdtContent>
                <w:r w:rsidR="00935739" w:rsidRPr="00FA48C1">
                  <w:rPr>
                    <w:rFonts w:ascii="MS Gothic" w:eastAsia="MS Gothic" w:hAnsi="MS Gothic"/>
                    <w:color w:val="000000"/>
                    <w:sz w:val="30"/>
                    <w:szCs w:val="30"/>
                    <w:lang w:val="es-ES"/>
                  </w:rPr>
                  <w:t>☐</w:t>
                </w:r>
              </w:sdtContent>
            </w:sdt>
            <w:r w:rsidR="00935739">
              <w:rPr>
                <w:color w:val="000000"/>
                <w:lang w:val="es-ES"/>
              </w:rPr>
              <w:tab/>
            </w:r>
            <w:r w:rsidR="00935739">
              <w:rPr>
                <w:b/>
                <w:bCs/>
                <w:color w:val="000000"/>
                <w:lang w:val="es-ES"/>
              </w:rPr>
              <w:t>Otorga autoridad</w:t>
            </w:r>
            <w:r w:rsidR="00935739">
              <w:rPr>
                <w:color w:val="000000"/>
                <w:lang w:val="es-ES"/>
              </w:rPr>
              <w:t xml:space="preserve"> a la CE</w:t>
            </w:r>
            <w:r w:rsidR="00A15EFA">
              <w:rPr>
                <w:color w:val="000000"/>
                <w:lang w:val="es-ES"/>
              </w:rPr>
              <w:t> </w:t>
            </w:r>
            <w:r w:rsidR="00935739">
              <w:rPr>
                <w:color w:val="000000"/>
                <w:lang w:val="es-ES"/>
              </w:rPr>
              <w:t>2 a fin de examinar este texto para aprobación (en cuyo caso seleccionará una de las dos opciones):</w:t>
            </w:r>
          </w:p>
          <w:p w14:paraId="195C0104" w14:textId="77777777" w:rsidR="00935739" w:rsidRPr="00FA48C1" w:rsidRDefault="00ED555E" w:rsidP="0002788A">
            <w:pPr>
              <w:pStyle w:val="TableText"/>
              <w:tabs>
                <w:tab w:val="clear" w:pos="284"/>
                <w:tab w:val="clear" w:pos="567"/>
                <w:tab w:val="clear" w:pos="851"/>
              </w:tabs>
              <w:ind w:left="593"/>
              <w:rPr>
                <w:szCs w:val="24"/>
                <w:lang w:val="es-ES"/>
              </w:rPr>
            </w:pPr>
            <w:sdt>
              <w:sdtPr>
                <w:rPr>
                  <w:sz w:val="30"/>
                  <w:szCs w:val="30"/>
                  <w:lang w:val="es-ES"/>
                </w:rPr>
                <w:id w:val="1989660429"/>
                <w14:checkbox>
                  <w14:checked w14:val="0"/>
                  <w14:checkedState w14:val="2612" w14:font="MS Gothic"/>
                  <w14:uncheckedState w14:val="2610" w14:font="MS Gothic"/>
                </w14:checkbox>
              </w:sdtPr>
              <w:sdtEndPr/>
              <w:sdtContent>
                <w:r w:rsidR="00935739" w:rsidRPr="00FA48C1">
                  <w:rPr>
                    <w:rFonts w:ascii="MS Gothic" w:eastAsia="MS Gothic" w:hAnsi="MS Gothic" w:hint="eastAsia"/>
                    <w:color w:val="000000"/>
                    <w:sz w:val="30"/>
                    <w:szCs w:val="30"/>
                    <w:lang w:val="es-ES"/>
                  </w:rPr>
                  <w:t>☐</w:t>
                </w:r>
              </w:sdtContent>
            </w:sdt>
            <w:r w:rsidR="00935739">
              <w:rPr>
                <w:color w:val="000000"/>
                <w:lang w:val="es-ES"/>
              </w:rPr>
              <w:tab/>
            </w:r>
            <w:r w:rsidR="00935739" w:rsidRPr="00935739">
              <w:rPr>
                <w:sz w:val="24"/>
                <w:szCs w:val="24"/>
                <w:lang w:val="es-ES"/>
              </w:rPr>
              <w:t>Sin</w:t>
            </w:r>
            <w:r w:rsidR="00935739">
              <w:rPr>
                <w:color w:val="000000"/>
                <w:lang w:val="es-ES"/>
              </w:rPr>
              <w:t xml:space="preserve"> comentarios o cambios sugeridos</w:t>
            </w:r>
          </w:p>
          <w:p w14:paraId="799FC666" w14:textId="77777777" w:rsidR="00935739" w:rsidRPr="00FA48C1" w:rsidRDefault="00ED555E" w:rsidP="0002788A">
            <w:pPr>
              <w:pStyle w:val="TableText"/>
              <w:tabs>
                <w:tab w:val="clear" w:pos="284"/>
                <w:tab w:val="clear" w:pos="567"/>
                <w:tab w:val="clear" w:pos="851"/>
              </w:tabs>
              <w:ind w:left="593"/>
              <w:rPr>
                <w:szCs w:val="24"/>
                <w:lang w:val="es-ES"/>
              </w:rPr>
            </w:pPr>
            <w:sdt>
              <w:sdtPr>
                <w:rPr>
                  <w:sz w:val="30"/>
                  <w:szCs w:val="30"/>
                  <w:lang w:val="es-ES"/>
                </w:rPr>
                <w:id w:val="-1397732791"/>
                <w14:checkbox>
                  <w14:checked w14:val="0"/>
                  <w14:checkedState w14:val="2612" w14:font="MS Gothic"/>
                  <w14:uncheckedState w14:val="2610" w14:font="MS Gothic"/>
                </w14:checkbox>
              </w:sdtPr>
              <w:sdtEndPr/>
              <w:sdtContent>
                <w:r w:rsidR="00935739" w:rsidRPr="00FA48C1">
                  <w:rPr>
                    <w:rFonts w:ascii="MS Gothic" w:eastAsia="MS Gothic" w:hAnsi="MS Gothic"/>
                    <w:color w:val="000000"/>
                    <w:sz w:val="30"/>
                    <w:szCs w:val="30"/>
                    <w:lang w:val="es-ES"/>
                  </w:rPr>
                  <w:t>☐</w:t>
                </w:r>
              </w:sdtContent>
            </w:sdt>
            <w:r w:rsidR="00935739">
              <w:rPr>
                <w:color w:val="000000"/>
                <w:lang w:val="es-ES"/>
              </w:rPr>
              <w:tab/>
              <w:t>Se adjuntan los comentarios o cambios sugeridos</w:t>
            </w:r>
          </w:p>
        </w:tc>
      </w:tr>
      <w:tr w:rsidR="00935739" w:rsidRPr="00334DF2" w14:paraId="61195B77" w14:textId="77777777" w:rsidTr="0002788A">
        <w:trPr>
          <w:cantSplit/>
          <w:trHeight w:val="747"/>
        </w:trPr>
        <w:tc>
          <w:tcPr>
            <w:tcW w:w="2067" w:type="dxa"/>
            <w:vMerge/>
            <w:shd w:val="clear" w:color="auto" w:fill="auto"/>
            <w:vAlign w:val="center"/>
          </w:tcPr>
          <w:p w14:paraId="53BCDD58" w14:textId="77777777" w:rsidR="00935739" w:rsidRPr="00FA48C1" w:rsidRDefault="00935739" w:rsidP="0002788A">
            <w:pPr>
              <w:spacing w:before="60" w:after="60"/>
              <w:jc w:val="center"/>
              <w:rPr>
                <w:b/>
                <w:bCs/>
                <w:szCs w:val="24"/>
                <w:lang w:val="es-ES"/>
              </w:rPr>
            </w:pPr>
          </w:p>
        </w:tc>
        <w:tc>
          <w:tcPr>
            <w:tcW w:w="7993" w:type="dxa"/>
            <w:shd w:val="clear" w:color="auto" w:fill="auto"/>
            <w:vAlign w:val="center"/>
          </w:tcPr>
          <w:p w14:paraId="0F844A0C" w14:textId="58B003AC" w:rsidR="00935739" w:rsidRPr="00FA48C1" w:rsidRDefault="00ED555E" w:rsidP="0002788A">
            <w:pPr>
              <w:pStyle w:val="TableText"/>
              <w:tabs>
                <w:tab w:val="clear" w:pos="284"/>
              </w:tabs>
              <w:spacing w:before="0" w:after="0"/>
              <w:ind w:left="567" w:hanging="567"/>
              <w:rPr>
                <w:sz w:val="20"/>
                <w:lang w:val="es-ES"/>
              </w:rPr>
            </w:pPr>
            <w:sdt>
              <w:sdtPr>
                <w:rPr>
                  <w:sz w:val="30"/>
                  <w:szCs w:val="30"/>
                  <w:lang w:val="es-ES"/>
                </w:rPr>
                <w:id w:val="1092050182"/>
                <w14:checkbox>
                  <w14:checked w14:val="0"/>
                  <w14:checkedState w14:val="2612" w14:font="MS Gothic"/>
                  <w14:uncheckedState w14:val="2610" w14:font="MS Gothic"/>
                </w14:checkbox>
              </w:sdtPr>
              <w:sdtEndPr/>
              <w:sdtContent>
                <w:r w:rsidR="00935739" w:rsidRPr="00FA48C1">
                  <w:rPr>
                    <w:rFonts w:ascii="MS Gothic" w:eastAsia="MS Gothic" w:hAnsi="MS Gothic"/>
                    <w:color w:val="000000"/>
                    <w:sz w:val="30"/>
                    <w:szCs w:val="30"/>
                    <w:lang w:val="es-ES"/>
                  </w:rPr>
                  <w:t>☐</w:t>
                </w:r>
              </w:sdtContent>
            </w:sdt>
            <w:r w:rsidR="00935739">
              <w:rPr>
                <w:color w:val="000000"/>
                <w:lang w:val="es-ES"/>
              </w:rPr>
              <w:tab/>
            </w:r>
            <w:r w:rsidR="00935739">
              <w:rPr>
                <w:b/>
                <w:bCs/>
                <w:color w:val="000000"/>
                <w:lang w:val="es-ES"/>
              </w:rPr>
              <w:t>No otorga autoridad</w:t>
            </w:r>
            <w:r w:rsidR="00935739">
              <w:rPr>
                <w:color w:val="000000"/>
                <w:lang w:val="es-ES"/>
              </w:rPr>
              <w:t xml:space="preserve"> a la CE</w:t>
            </w:r>
            <w:r w:rsidR="00A15EFA">
              <w:rPr>
                <w:color w:val="000000"/>
                <w:lang w:val="es-ES"/>
              </w:rPr>
              <w:t> </w:t>
            </w:r>
            <w:r w:rsidR="00935739">
              <w:rPr>
                <w:color w:val="000000"/>
                <w:lang w:val="es-ES"/>
              </w:rPr>
              <w:t>2 a fin de examinar este texto para aprobación (se adjuntan los motivos en que se fundamenta esta opinión y las modificaciones que podrían permitir el proseguimiento de los trabajos)</w:t>
            </w:r>
          </w:p>
        </w:tc>
      </w:tr>
    </w:tbl>
    <w:p w14:paraId="0528FC92" w14:textId="60307969" w:rsidR="00F76ACF" w:rsidRDefault="00F76ACF"/>
    <w:p w14:paraId="3EAE8E6E" w14:textId="77777777" w:rsidR="00F76ACF" w:rsidRDefault="00F76ACF">
      <w:pPr>
        <w:tabs>
          <w:tab w:val="clear" w:pos="794"/>
          <w:tab w:val="clear" w:pos="1191"/>
          <w:tab w:val="clear" w:pos="1588"/>
          <w:tab w:val="clear" w:pos="1985"/>
        </w:tabs>
        <w:overflowPunct/>
        <w:autoSpaceDE/>
        <w:autoSpaceDN/>
        <w:adjustRightInd/>
        <w:spacing w:before="0"/>
        <w:textAlignment w:val="auto"/>
      </w:pPr>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7993"/>
      </w:tblGrid>
      <w:tr w:rsidR="00935739" w:rsidRPr="00334DF2" w14:paraId="4515A904" w14:textId="77777777" w:rsidTr="0002788A">
        <w:trPr>
          <w:cantSplit/>
          <w:trHeight w:val="748"/>
        </w:trPr>
        <w:tc>
          <w:tcPr>
            <w:tcW w:w="2067" w:type="dxa"/>
            <w:vMerge w:val="restart"/>
            <w:shd w:val="clear" w:color="auto" w:fill="auto"/>
            <w:vAlign w:val="center"/>
          </w:tcPr>
          <w:p w14:paraId="24D6CB69" w14:textId="77777777" w:rsidR="00935739" w:rsidRPr="00FA48C1" w:rsidRDefault="00935739" w:rsidP="0002788A">
            <w:pPr>
              <w:pStyle w:val="TableText"/>
              <w:jc w:val="center"/>
              <w:rPr>
                <w:b/>
                <w:bCs/>
                <w:szCs w:val="24"/>
                <w:lang w:val="es-ES"/>
              </w:rPr>
            </w:pPr>
            <w:r>
              <w:rPr>
                <w:b/>
                <w:bCs/>
                <w:color w:val="000000"/>
                <w:lang w:val="es-ES"/>
              </w:rPr>
              <w:lastRenderedPageBreak/>
              <w:t>Proyecto de revisión de la Recomendación UIT-T E.164</w:t>
            </w:r>
          </w:p>
        </w:tc>
        <w:tc>
          <w:tcPr>
            <w:tcW w:w="7993" w:type="dxa"/>
            <w:shd w:val="clear" w:color="auto" w:fill="auto"/>
            <w:vAlign w:val="center"/>
          </w:tcPr>
          <w:p w14:paraId="5F463330" w14:textId="7389BD77" w:rsidR="00935739" w:rsidRPr="00FA48C1" w:rsidRDefault="00ED555E" w:rsidP="00820296">
            <w:pPr>
              <w:pStyle w:val="TableText"/>
              <w:keepNext/>
              <w:keepLines/>
              <w:tabs>
                <w:tab w:val="clear" w:pos="284"/>
              </w:tabs>
              <w:spacing w:before="0" w:after="0"/>
              <w:ind w:left="567" w:hanging="567"/>
              <w:rPr>
                <w:szCs w:val="24"/>
                <w:lang w:val="es-ES"/>
              </w:rPr>
            </w:pPr>
            <w:sdt>
              <w:sdtPr>
                <w:rPr>
                  <w:sz w:val="30"/>
                  <w:szCs w:val="30"/>
                  <w:lang w:val="es-ES"/>
                </w:rPr>
                <w:id w:val="1418286232"/>
                <w14:checkbox>
                  <w14:checked w14:val="0"/>
                  <w14:checkedState w14:val="2612" w14:font="MS Gothic"/>
                  <w14:uncheckedState w14:val="2610" w14:font="MS Gothic"/>
                </w14:checkbox>
              </w:sdtPr>
              <w:sdtEndPr/>
              <w:sdtContent>
                <w:r w:rsidR="00935739" w:rsidRPr="00FA48C1">
                  <w:rPr>
                    <w:rFonts w:ascii="MS Gothic" w:eastAsia="MS Gothic" w:hAnsi="MS Gothic"/>
                    <w:color w:val="000000"/>
                    <w:sz w:val="30"/>
                    <w:szCs w:val="30"/>
                    <w:lang w:val="es-ES"/>
                  </w:rPr>
                  <w:t>☐</w:t>
                </w:r>
              </w:sdtContent>
            </w:sdt>
            <w:r w:rsidR="00935739">
              <w:rPr>
                <w:color w:val="000000"/>
                <w:lang w:val="es-ES"/>
              </w:rPr>
              <w:tab/>
            </w:r>
            <w:r w:rsidR="00935739">
              <w:rPr>
                <w:b/>
                <w:bCs/>
                <w:color w:val="000000"/>
                <w:lang w:val="es-ES"/>
              </w:rPr>
              <w:t xml:space="preserve">Otorga autoridad </w:t>
            </w:r>
            <w:r w:rsidR="00935739">
              <w:rPr>
                <w:color w:val="000000"/>
                <w:lang w:val="es-ES"/>
              </w:rPr>
              <w:t>a la CE</w:t>
            </w:r>
            <w:r w:rsidR="00A15EFA">
              <w:rPr>
                <w:color w:val="000000"/>
                <w:lang w:val="es-ES"/>
              </w:rPr>
              <w:t> </w:t>
            </w:r>
            <w:r w:rsidR="00935739">
              <w:rPr>
                <w:color w:val="000000"/>
                <w:lang w:val="es-ES"/>
              </w:rPr>
              <w:t>2 a fin de examinar este texto para aprobación (en cuyo caso seleccionará una de las dos opciones):</w:t>
            </w:r>
          </w:p>
          <w:p w14:paraId="2326B38C" w14:textId="77777777" w:rsidR="00935739" w:rsidRPr="00FA48C1" w:rsidRDefault="00ED555E" w:rsidP="00820296">
            <w:pPr>
              <w:pStyle w:val="TableText"/>
              <w:keepNext/>
              <w:keepLines/>
              <w:tabs>
                <w:tab w:val="clear" w:pos="284"/>
                <w:tab w:val="clear" w:pos="567"/>
                <w:tab w:val="clear" w:pos="851"/>
              </w:tabs>
              <w:ind w:left="593"/>
              <w:rPr>
                <w:szCs w:val="24"/>
                <w:lang w:val="es-ES"/>
              </w:rPr>
            </w:pPr>
            <w:sdt>
              <w:sdtPr>
                <w:rPr>
                  <w:sz w:val="30"/>
                  <w:szCs w:val="30"/>
                  <w:lang w:val="es-ES"/>
                </w:rPr>
                <w:id w:val="1301653621"/>
                <w14:checkbox>
                  <w14:checked w14:val="0"/>
                  <w14:checkedState w14:val="2612" w14:font="MS Gothic"/>
                  <w14:uncheckedState w14:val="2610" w14:font="MS Gothic"/>
                </w14:checkbox>
              </w:sdtPr>
              <w:sdtEndPr/>
              <w:sdtContent>
                <w:r w:rsidR="00935739" w:rsidRPr="00FA48C1">
                  <w:rPr>
                    <w:rFonts w:ascii="MS Gothic" w:eastAsia="MS Gothic" w:hAnsi="MS Gothic"/>
                    <w:color w:val="000000"/>
                    <w:sz w:val="30"/>
                    <w:szCs w:val="30"/>
                    <w:lang w:val="es-ES"/>
                  </w:rPr>
                  <w:t>☐</w:t>
                </w:r>
              </w:sdtContent>
            </w:sdt>
            <w:r w:rsidR="00935739">
              <w:rPr>
                <w:color w:val="000000"/>
                <w:lang w:val="es-ES"/>
              </w:rPr>
              <w:tab/>
              <w:t>Sin comentarios o cambios sugeridos</w:t>
            </w:r>
          </w:p>
          <w:p w14:paraId="31347913" w14:textId="26221915" w:rsidR="00935739" w:rsidRPr="00533DB1" w:rsidRDefault="00ED555E" w:rsidP="00820296">
            <w:pPr>
              <w:pStyle w:val="TableText"/>
              <w:keepNext/>
              <w:keepLines/>
              <w:tabs>
                <w:tab w:val="clear" w:pos="284"/>
                <w:tab w:val="clear" w:pos="567"/>
                <w:tab w:val="clear" w:pos="851"/>
              </w:tabs>
              <w:ind w:left="593"/>
              <w:rPr>
                <w:sz w:val="30"/>
                <w:szCs w:val="30"/>
                <w:lang w:val="es-ES"/>
              </w:rPr>
            </w:pPr>
            <w:sdt>
              <w:sdtPr>
                <w:rPr>
                  <w:sz w:val="30"/>
                  <w:szCs w:val="30"/>
                  <w:lang w:val="es-ES"/>
                </w:rPr>
                <w:id w:val="-147287803"/>
                <w14:checkbox>
                  <w14:checked w14:val="1"/>
                  <w14:checkedState w14:val="2612" w14:font="MS Gothic"/>
                  <w14:uncheckedState w14:val="2610" w14:font="MS Gothic"/>
                </w14:checkbox>
              </w:sdtPr>
              <w:sdtEndPr/>
              <w:sdtContent>
                <w:r w:rsidR="00820296">
                  <w:rPr>
                    <w:rFonts w:ascii="MS Gothic" w:eastAsia="MS Gothic" w:hAnsi="MS Gothic" w:hint="eastAsia"/>
                    <w:sz w:val="30"/>
                    <w:szCs w:val="30"/>
                    <w:lang w:val="es-ES"/>
                  </w:rPr>
                  <w:t>☒</w:t>
                </w:r>
              </w:sdtContent>
            </w:sdt>
            <w:r w:rsidR="00935739">
              <w:rPr>
                <w:color w:val="000000"/>
                <w:lang w:val="es-ES"/>
              </w:rPr>
              <w:tab/>
              <w:t>Se adjuntan los comentarios o cambios sugeridos</w:t>
            </w:r>
          </w:p>
        </w:tc>
      </w:tr>
      <w:tr w:rsidR="00935739" w:rsidRPr="00334DF2" w14:paraId="7C5145E8" w14:textId="77777777" w:rsidTr="0002788A">
        <w:trPr>
          <w:cantSplit/>
          <w:trHeight w:val="747"/>
        </w:trPr>
        <w:tc>
          <w:tcPr>
            <w:tcW w:w="2067" w:type="dxa"/>
            <w:vMerge/>
            <w:shd w:val="clear" w:color="auto" w:fill="auto"/>
            <w:vAlign w:val="center"/>
          </w:tcPr>
          <w:p w14:paraId="6B01D37F" w14:textId="77777777" w:rsidR="00935739" w:rsidRPr="00FA48C1" w:rsidRDefault="00935739" w:rsidP="0002788A">
            <w:pPr>
              <w:spacing w:before="60" w:after="60"/>
              <w:jc w:val="center"/>
              <w:rPr>
                <w:b/>
                <w:bCs/>
                <w:szCs w:val="24"/>
                <w:lang w:val="es-ES"/>
              </w:rPr>
            </w:pPr>
          </w:p>
        </w:tc>
        <w:tc>
          <w:tcPr>
            <w:tcW w:w="7993" w:type="dxa"/>
            <w:shd w:val="clear" w:color="auto" w:fill="auto"/>
            <w:vAlign w:val="center"/>
          </w:tcPr>
          <w:p w14:paraId="401B8F32" w14:textId="06367239" w:rsidR="00935739" w:rsidRPr="00FA48C1" w:rsidRDefault="00ED555E" w:rsidP="00820296">
            <w:pPr>
              <w:pStyle w:val="TableText"/>
              <w:keepNext/>
              <w:keepLines/>
              <w:tabs>
                <w:tab w:val="clear" w:pos="284"/>
              </w:tabs>
              <w:spacing w:before="0" w:after="0"/>
              <w:ind w:left="567" w:hanging="567"/>
              <w:rPr>
                <w:sz w:val="20"/>
                <w:lang w:val="es-ES"/>
              </w:rPr>
            </w:pPr>
            <w:sdt>
              <w:sdtPr>
                <w:rPr>
                  <w:sz w:val="30"/>
                  <w:szCs w:val="30"/>
                  <w:lang w:val="es-ES"/>
                </w:rPr>
                <w:id w:val="-896435567"/>
                <w14:checkbox>
                  <w14:checked w14:val="0"/>
                  <w14:checkedState w14:val="2612" w14:font="MS Gothic"/>
                  <w14:uncheckedState w14:val="2610" w14:font="MS Gothic"/>
                </w14:checkbox>
              </w:sdtPr>
              <w:sdtEndPr/>
              <w:sdtContent>
                <w:r w:rsidR="00935739" w:rsidRPr="00FA48C1">
                  <w:rPr>
                    <w:rFonts w:ascii="MS Gothic" w:eastAsia="MS Gothic" w:hAnsi="MS Gothic"/>
                    <w:color w:val="000000"/>
                    <w:sz w:val="30"/>
                    <w:szCs w:val="30"/>
                    <w:lang w:val="es-ES"/>
                  </w:rPr>
                  <w:t>☐</w:t>
                </w:r>
              </w:sdtContent>
            </w:sdt>
            <w:r w:rsidR="00935739">
              <w:rPr>
                <w:color w:val="000000"/>
                <w:lang w:val="es-ES"/>
              </w:rPr>
              <w:tab/>
            </w:r>
            <w:r w:rsidR="00935739">
              <w:rPr>
                <w:b/>
                <w:bCs/>
                <w:color w:val="000000"/>
                <w:lang w:val="es-ES"/>
              </w:rPr>
              <w:t>No otorga autoridad</w:t>
            </w:r>
            <w:r w:rsidR="00935739">
              <w:rPr>
                <w:color w:val="000000"/>
                <w:lang w:val="es-ES"/>
              </w:rPr>
              <w:t xml:space="preserve"> a la CE</w:t>
            </w:r>
            <w:r w:rsidR="00A15EFA">
              <w:rPr>
                <w:color w:val="000000"/>
                <w:lang w:val="es-ES"/>
              </w:rPr>
              <w:t> </w:t>
            </w:r>
            <w:r w:rsidR="00935739">
              <w:rPr>
                <w:color w:val="000000"/>
                <w:lang w:val="es-ES"/>
              </w:rPr>
              <w:t>2 a fin de examinar este texto para aprobación (se adjuntan los motivos en que se fundamenta esta opinión y las modificaciones que podrían permitir el proseguimiento de los trabajos)</w:t>
            </w:r>
          </w:p>
        </w:tc>
      </w:tr>
      <w:tr w:rsidR="00935739" w:rsidRPr="00334DF2" w14:paraId="2ECFFBB3" w14:textId="77777777" w:rsidTr="0002788A">
        <w:trPr>
          <w:cantSplit/>
          <w:trHeight w:val="748"/>
        </w:trPr>
        <w:tc>
          <w:tcPr>
            <w:tcW w:w="2067" w:type="dxa"/>
            <w:vMerge w:val="restart"/>
            <w:shd w:val="clear" w:color="auto" w:fill="auto"/>
            <w:vAlign w:val="center"/>
          </w:tcPr>
          <w:p w14:paraId="54F3BFD4" w14:textId="77777777" w:rsidR="00935739" w:rsidRPr="00FA48C1" w:rsidRDefault="00935739" w:rsidP="0002788A">
            <w:pPr>
              <w:pStyle w:val="TableText"/>
              <w:jc w:val="center"/>
              <w:rPr>
                <w:b/>
                <w:bCs/>
                <w:szCs w:val="24"/>
                <w:lang w:val="es-ES"/>
              </w:rPr>
            </w:pPr>
            <w:r w:rsidRPr="00AC2C0A">
              <w:rPr>
                <w:b/>
                <w:sz w:val="24"/>
                <w:szCs w:val="24"/>
                <w:lang w:val="es-ES"/>
              </w:rPr>
              <w:t>Proyecto</w:t>
            </w:r>
            <w:r>
              <w:rPr>
                <w:b/>
                <w:bCs/>
                <w:color w:val="000000"/>
                <w:lang w:val="es-ES"/>
              </w:rPr>
              <w:t xml:space="preserve"> de nueva Recomendación UIT-T E.371 (antes E.dit)</w:t>
            </w:r>
          </w:p>
        </w:tc>
        <w:tc>
          <w:tcPr>
            <w:tcW w:w="7993" w:type="dxa"/>
            <w:shd w:val="clear" w:color="auto" w:fill="auto"/>
            <w:vAlign w:val="center"/>
          </w:tcPr>
          <w:p w14:paraId="26130D3F" w14:textId="71C8AF13" w:rsidR="00935739" w:rsidRPr="00FA48C1" w:rsidRDefault="00ED555E" w:rsidP="0002788A">
            <w:pPr>
              <w:pStyle w:val="TableText"/>
              <w:tabs>
                <w:tab w:val="clear" w:pos="284"/>
              </w:tabs>
              <w:spacing w:before="0" w:after="0"/>
              <w:ind w:left="567" w:hanging="567"/>
              <w:rPr>
                <w:szCs w:val="24"/>
                <w:lang w:val="es-ES"/>
              </w:rPr>
            </w:pPr>
            <w:sdt>
              <w:sdtPr>
                <w:rPr>
                  <w:sz w:val="30"/>
                  <w:szCs w:val="30"/>
                  <w:lang w:val="es-ES"/>
                </w:rPr>
                <w:id w:val="1495607551"/>
                <w14:checkbox>
                  <w14:checked w14:val="0"/>
                  <w14:checkedState w14:val="2612" w14:font="MS Gothic"/>
                  <w14:uncheckedState w14:val="2610" w14:font="MS Gothic"/>
                </w14:checkbox>
              </w:sdtPr>
              <w:sdtEndPr/>
              <w:sdtContent>
                <w:r w:rsidR="00935739" w:rsidRPr="00FA48C1">
                  <w:rPr>
                    <w:rFonts w:ascii="MS Gothic" w:eastAsia="MS Gothic" w:hAnsi="MS Gothic"/>
                    <w:color w:val="000000"/>
                    <w:sz w:val="30"/>
                    <w:szCs w:val="30"/>
                    <w:lang w:val="es-ES"/>
                  </w:rPr>
                  <w:t>☐</w:t>
                </w:r>
              </w:sdtContent>
            </w:sdt>
            <w:r w:rsidR="00935739">
              <w:rPr>
                <w:color w:val="000000"/>
                <w:lang w:val="es-ES"/>
              </w:rPr>
              <w:tab/>
            </w:r>
            <w:r w:rsidR="00935739">
              <w:rPr>
                <w:b/>
                <w:bCs/>
                <w:color w:val="000000"/>
                <w:lang w:val="es-ES"/>
              </w:rPr>
              <w:t xml:space="preserve">Otorga autoridad </w:t>
            </w:r>
            <w:r w:rsidR="00935739">
              <w:rPr>
                <w:color w:val="000000"/>
                <w:lang w:val="es-ES"/>
              </w:rPr>
              <w:t>a la CE</w:t>
            </w:r>
            <w:r w:rsidR="00A15EFA">
              <w:rPr>
                <w:color w:val="000000"/>
                <w:lang w:val="es-ES"/>
              </w:rPr>
              <w:t> </w:t>
            </w:r>
            <w:r w:rsidR="00935739">
              <w:rPr>
                <w:color w:val="000000"/>
                <w:lang w:val="es-ES"/>
              </w:rPr>
              <w:t>2 a fin de examinar este texto para aprobación (en cuyo caso seleccionará una de las dos opciones):</w:t>
            </w:r>
          </w:p>
          <w:p w14:paraId="43EFEC93" w14:textId="77777777" w:rsidR="00935739" w:rsidRPr="00FA48C1" w:rsidRDefault="00ED555E" w:rsidP="0002788A">
            <w:pPr>
              <w:pStyle w:val="TableText"/>
              <w:tabs>
                <w:tab w:val="clear" w:pos="284"/>
                <w:tab w:val="clear" w:pos="567"/>
                <w:tab w:val="clear" w:pos="851"/>
              </w:tabs>
              <w:ind w:left="593"/>
              <w:rPr>
                <w:szCs w:val="24"/>
                <w:lang w:val="es-ES"/>
              </w:rPr>
            </w:pPr>
            <w:sdt>
              <w:sdtPr>
                <w:rPr>
                  <w:sz w:val="30"/>
                  <w:szCs w:val="30"/>
                  <w:lang w:val="es-ES"/>
                </w:rPr>
                <w:id w:val="355704490"/>
                <w14:checkbox>
                  <w14:checked w14:val="0"/>
                  <w14:checkedState w14:val="2612" w14:font="MS Gothic"/>
                  <w14:uncheckedState w14:val="2610" w14:font="MS Gothic"/>
                </w14:checkbox>
              </w:sdtPr>
              <w:sdtEndPr/>
              <w:sdtContent>
                <w:r w:rsidR="00935739" w:rsidRPr="00FA48C1">
                  <w:rPr>
                    <w:rFonts w:ascii="MS Gothic" w:eastAsia="MS Gothic" w:hAnsi="MS Gothic" w:hint="eastAsia"/>
                    <w:color w:val="000000"/>
                    <w:sz w:val="30"/>
                    <w:szCs w:val="30"/>
                    <w:lang w:val="es-ES"/>
                  </w:rPr>
                  <w:t>☐</w:t>
                </w:r>
              </w:sdtContent>
            </w:sdt>
            <w:r w:rsidR="00935739">
              <w:rPr>
                <w:color w:val="000000"/>
                <w:lang w:val="es-ES"/>
              </w:rPr>
              <w:tab/>
              <w:t>Sin comentarios o cambios sugeridos</w:t>
            </w:r>
          </w:p>
          <w:p w14:paraId="66539034" w14:textId="77777777" w:rsidR="00935739" w:rsidRPr="00FA48C1" w:rsidRDefault="00ED555E" w:rsidP="0002788A">
            <w:pPr>
              <w:pStyle w:val="TableText"/>
              <w:tabs>
                <w:tab w:val="clear" w:pos="284"/>
                <w:tab w:val="clear" w:pos="567"/>
                <w:tab w:val="clear" w:pos="851"/>
              </w:tabs>
              <w:ind w:left="593"/>
              <w:rPr>
                <w:szCs w:val="24"/>
                <w:lang w:val="es-ES"/>
              </w:rPr>
            </w:pPr>
            <w:sdt>
              <w:sdtPr>
                <w:rPr>
                  <w:sz w:val="30"/>
                  <w:szCs w:val="30"/>
                  <w:lang w:val="es-ES"/>
                </w:rPr>
                <w:id w:val="771133568"/>
                <w14:checkbox>
                  <w14:checked w14:val="0"/>
                  <w14:checkedState w14:val="2612" w14:font="MS Gothic"/>
                  <w14:uncheckedState w14:val="2610" w14:font="MS Gothic"/>
                </w14:checkbox>
              </w:sdtPr>
              <w:sdtEndPr/>
              <w:sdtContent>
                <w:r w:rsidR="00935739" w:rsidRPr="00FA48C1">
                  <w:rPr>
                    <w:rFonts w:ascii="MS Gothic" w:eastAsia="MS Gothic" w:hAnsi="MS Gothic"/>
                    <w:color w:val="000000"/>
                    <w:sz w:val="30"/>
                    <w:szCs w:val="30"/>
                    <w:lang w:val="es-ES"/>
                  </w:rPr>
                  <w:t>☐</w:t>
                </w:r>
              </w:sdtContent>
            </w:sdt>
            <w:r w:rsidR="00935739">
              <w:rPr>
                <w:color w:val="000000"/>
                <w:lang w:val="es-ES"/>
              </w:rPr>
              <w:tab/>
              <w:t>Se adjuntan los comentarios o cambios sugeridos</w:t>
            </w:r>
          </w:p>
        </w:tc>
      </w:tr>
      <w:tr w:rsidR="00935739" w:rsidRPr="00334DF2" w14:paraId="64493E42" w14:textId="77777777" w:rsidTr="0002788A">
        <w:trPr>
          <w:cantSplit/>
          <w:trHeight w:val="747"/>
        </w:trPr>
        <w:tc>
          <w:tcPr>
            <w:tcW w:w="2067" w:type="dxa"/>
            <w:vMerge/>
            <w:shd w:val="clear" w:color="auto" w:fill="auto"/>
            <w:vAlign w:val="center"/>
          </w:tcPr>
          <w:p w14:paraId="7BF7CF93" w14:textId="77777777" w:rsidR="00935739" w:rsidRPr="00FA48C1" w:rsidRDefault="00935739" w:rsidP="0002788A">
            <w:pPr>
              <w:spacing w:before="60" w:after="60"/>
              <w:jc w:val="center"/>
              <w:rPr>
                <w:b/>
                <w:bCs/>
                <w:szCs w:val="24"/>
                <w:lang w:val="es-ES"/>
              </w:rPr>
            </w:pPr>
          </w:p>
        </w:tc>
        <w:tc>
          <w:tcPr>
            <w:tcW w:w="7993" w:type="dxa"/>
            <w:shd w:val="clear" w:color="auto" w:fill="auto"/>
            <w:vAlign w:val="center"/>
          </w:tcPr>
          <w:p w14:paraId="6CE33A87" w14:textId="3AF158D9" w:rsidR="00935739" w:rsidRPr="00FA48C1" w:rsidRDefault="00ED555E" w:rsidP="0002788A">
            <w:pPr>
              <w:pStyle w:val="TableText"/>
              <w:tabs>
                <w:tab w:val="clear" w:pos="284"/>
              </w:tabs>
              <w:spacing w:before="0" w:after="0"/>
              <w:ind w:left="567" w:hanging="567"/>
              <w:rPr>
                <w:sz w:val="20"/>
                <w:lang w:val="es-ES"/>
              </w:rPr>
            </w:pPr>
            <w:sdt>
              <w:sdtPr>
                <w:rPr>
                  <w:sz w:val="30"/>
                  <w:szCs w:val="30"/>
                  <w:lang w:val="es-ES"/>
                </w:rPr>
                <w:id w:val="-805781548"/>
                <w14:checkbox>
                  <w14:checked w14:val="0"/>
                  <w14:checkedState w14:val="2612" w14:font="MS Gothic"/>
                  <w14:uncheckedState w14:val="2610" w14:font="MS Gothic"/>
                </w14:checkbox>
              </w:sdtPr>
              <w:sdtEndPr/>
              <w:sdtContent>
                <w:r w:rsidR="00935739" w:rsidRPr="00FA48C1">
                  <w:rPr>
                    <w:rFonts w:ascii="MS Gothic" w:eastAsia="MS Gothic" w:hAnsi="MS Gothic"/>
                    <w:color w:val="000000"/>
                    <w:sz w:val="30"/>
                    <w:szCs w:val="30"/>
                    <w:lang w:val="es-ES"/>
                  </w:rPr>
                  <w:t>☐</w:t>
                </w:r>
              </w:sdtContent>
            </w:sdt>
            <w:r w:rsidR="00935739">
              <w:rPr>
                <w:color w:val="000000"/>
                <w:lang w:val="es-ES"/>
              </w:rPr>
              <w:tab/>
            </w:r>
            <w:r w:rsidR="00935739">
              <w:rPr>
                <w:b/>
                <w:bCs/>
                <w:color w:val="000000"/>
                <w:lang w:val="es-ES"/>
              </w:rPr>
              <w:t xml:space="preserve">No otorga autoridad </w:t>
            </w:r>
            <w:r w:rsidR="00935739">
              <w:rPr>
                <w:color w:val="000000"/>
                <w:lang w:val="es-ES"/>
              </w:rPr>
              <w:t>a la CE</w:t>
            </w:r>
            <w:r w:rsidR="00A15EFA">
              <w:rPr>
                <w:color w:val="000000"/>
                <w:lang w:val="es-ES"/>
              </w:rPr>
              <w:t> </w:t>
            </w:r>
            <w:r w:rsidR="00935739">
              <w:rPr>
                <w:color w:val="000000"/>
                <w:lang w:val="es-ES"/>
              </w:rPr>
              <w:t>2 a fin de examinar este texto para aprobación (se adjuntan los motivos en que se fundamenta esta opinión y las modificaciones que podrían permitir el proseguimiento de los trabajos)</w:t>
            </w:r>
          </w:p>
        </w:tc>
      </w:tr>
    </w:tbl>
    <w:p w14:paraId="68E6557F" w14:textId="77777777" w:rsidR="00935739" w:rsidRPr="00FA48C1" w:rsidRDefault="00935739" w:rsidP="00935739">
      <w:pPr>
        <w:keepNext/>
        <w:keepLines/>
        <w:spacing w:before="240" w:after="840"/>
        <w:rPr>
          <w:lang w:val="es-ES"/>
        </w:rPr>
      </w:pPr>
      <w:r>
        <w:rPr>
          <w:lang w:val="es-ES"/>
        </w:rPr>
        <w:t>Le saluda atentamente,</w:t>
      </w:r>
    </w:p>
    <w:p w14:paraId="676ADC13" w14:textId="77777777" w:rsidR="00935739" w:rsidRPr="0046177D" w:rsidRDefault="00935739" w:rsidP="00935739">
      <w:pPr>
        <w:rPr>
          <w:szCs w:val="24"/>
          <w:highlight w:val="green"/>
          <w:lang w:val="es-ES"/>
        </w:rPr>
      </w:pPr>
      <w:r w:rsidRPr="0046177D">
        <w:rPr>
          <w:highlight w:val="green"/>
          <w:lang w:val="es-ES"/>
        </w:rPr>
        <w:t>[Nombre]</w:t>
      </w:r>
    </w:p>
    <w:p w14:paraId="0989B72C" w14:textId="77777777" w:rsidR="00935739" w:rsidRPr="00FA48C1" w:rsidRDefault="00935739" w:rsidP="00935739">
      <w:pPr>
        <w:rPr>
          <w:szCs w:val="24"/>
          <w:lang w:val="es-ES"/>
        </w:rPr>
      </w:pPr>
      <w:r w:rsidRPr="0046177D">
        <w:rPr>
          <w:highlight w:val="green"/>
          <w:lang w:val="es-ES"/>
        </w:rPr>
        <w:t>[Cargo oficial/título]</w:t>
      </w:r>
    </w:p>
    <w:p w14:paraId="0344C68A" w14:textId="77777777" w:rsidR="00935739" w:rsidRDefault="00935739" w:rsidP="00935739">
      <w:r w:rsidRPr="00AC2C0A">
        <w:rPr>
          <w:lang w:val="es-ES"/>
        </w:rPr>
        <w:t>Administración de</w:t>
      </w:r>
      <w:r>
        <w:rPr>
          <w:lang w:val="es-ES"/>
        </w:rPr>
        <w:t xml:space="preserve"> </w:t>
      </w:r>
      <w:r w:rsidRPr="0046177D">
        <w:rPr>
          <w:highlight w:val="green"/>
          <w:lang w:val="es-ES"/>
        </w:rPr>
        <w:t>[Estado Miembro]</w:t>
      </w:r>
    </w:p>
    <w:p w14:paraId="00814E6A" w14:textId="77777777" w:rsidR="00935739" w:rsidRPr="00935739" w:rsidRDefault="00935739" w:rsidP="00935739">
      <w:pPr>
        <w:pStyle w:val="Reasons"/>
        <w:rPr>
          <w:lang w:val="es-ES"/>
        </w:rPr>
      </w:pPr>
    </w:p>
    <w:p w14:paraId="7BA9E769" w14:textId="77777777" w:rsidR="00935739" w:rsidRPr="00AC2C0A" w:rsidRDefault="00935739" w:rsidP="00935739">
      <w:pPr>
        <w:jc w:val="center"/>
      </w:pPr>
      <w:r>
        <w:t>______________</w:t>
      </w:r>
    </w:p>
    <w:sectPr w:rsidR="00935739" w:rsidRPr="00AC2C0A" w:rsidSect="00B87E9E">
      <w:headerReference w:type="even" r:id="rId22"/>
      <w:headerReference w:type="default" r:id="rId23"/>
      <w:footerReference w:type="even" r:id="rId24"/>
      <w:footerReference w:type="default" r:id="rId25"/>
      <w:headerReference w:type="first" r:id="rId26"/>
      <w:footerReference w:type="first" r:id="rId2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DA6F3" w14:textId="77777777" w:rsidR="0010672C" w:rsidRDefault="0010672C">
      <w:r>
        <w:separator/>
      </w:r>
    </w:p>
  </w:endnote>
  <w:endnote w:type="continuationSeparator" w:id="0">
    <w:p w14:paraId="72F88E78" w14:textId="77777777" w:rsidR="0010672C" w:rsidRDefault="0010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DDC15" w14:textId="739DD21F" w:rsidR="00FA48CC" w:rsidRPr="00935739" w:rsidRDefault="00935739" w:rsidP="00935739">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5C74" w14:textId="77777777" w:rsidR="00C116FE" w:rsidRDefault="00C11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89620" w14:textId="3126A69F" w:rsidR="006969B4" w:rsidRPr="009A0BA0" w:rsidRDefault="006969B4" w:rsidP="009A0BA0">
    <w:pPr>
      <w:pStyle w:val="Footer"/>
      <w:rPr>
        <w:sz w:val="16"/>
        <w:szCs w:val="16"/>
        <w:lang w:val="fr-C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301FA" w14:textId="479A8754" w:rsidR="0014464D" w:rsidRPr="00935739" w:rsidRDefault="0014464D" w:rsidP="00935739">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08CA9" w14:textId="77777777" w:rsidR="0010672C" w:rsidRDefault="0010672C">
      <w:r>
        <w:t>____________________</w:t>
      </w:r>
    </w:p>
  </w:footnote>
  <w:footnote w:type="continuationSeparator" w:id="0">
    <w:p w14:paraId="46A6EC10" w14:textId="77777777" w:rsidR="0010672C" w:rsidRDefault="00106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666D" w14:textId="77777777" w:rsidR="00FA48CC" w:rsidRPr="009C7037" w:rsidRDefault="00FA48CC" w:rsidP="006C22A7">
    <w:pPr>
      <w:pStyle w:val="Header"/>
      <w:spacing w:after="240"/>
      <w:rPr>
        <w:sz w:val="20"/>
        <w:szCs w:val="18"/>
      </w:rPr>
    </w:pPr>
    <w:r w:rsidRPr="009C7037">
      <w:rPr>
        <w:sz w:val="20"/>
        <w:szCs w:val="18"/>
      </w:rPr>
      <w:t xml:space="preserve">- </w:t>
    </w:r>
    <w:r w:rsidRPr="009C7037">
      <w:rPr>
        <w:sz w:val="20"/>
        <w:szCs w:val="18"/>
      </w:rPr>
      <w:fldChar w:fldCharType="begin"/>
    </w:r>
    <w:r w:rsidRPr="009C7037">
      <w:rPr>
        <w:sz w:val="20"/>
        <w:szCs w:val="18"/>
      </w:rPr>
      <w:instrText xml:space="preserve"> PAGE   \* MERGEFORMAT </w:instrText>
    </w:r>
    <w:r w:rsidRPr="009C7037">
      <w:rPr>
        <w:sz w:val="20"/>
        <w:szCs w:val="18"/>
      </w:rPr>
      <w:fldChar w:fldCharType="separate"/>
    </w:r>
    <w:r w:rsidRPr="009C7037">
      <w:rPr>
        <w:noProof/>
        <w:sz w:val="20"/>
        <w:szCs w:val="18"/>
      </w:rPr>
      <w:t>4</w:t>
    </w:r>
    <w:r w:rsidRPr="009C7037">
      <w:rPr>
        <w:noProof/>
        <w:sz w:val="20"/>
        <w:szCs w:val="18"/>
      </w:rPr>
      <w:fldChar w:fldCharType="end"/>
    </w:r>
    <w:r w:rsidRPr="009C7037">
      <w:rPr>
        <w:noProof/>
        <w:sz w:val="20"/>
        <w:szCs w:val="18"/>
      </w:rPr>
      <w:t xml:space="preserve"> -</w:t>
    </w:r>
    <w:r w:rsidRPr="009C7037">
      <w:rPr>
        <w:noProof/>
        <w:sz w:val="20"/>
        <w:szCs w:val="18"/>
      </w:rPr>
      <w:br/>
    </w:r>
    <w:r w:rsidRPr="009C7037">
      <w:rPr>
        <w:sz w:val="20"/>
        <w:szCs w:val="18"/>
      </w:rPr>
      <w:t>TSB Circular 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47A7" w14:textId="77777777" w:rsidR="00C116FE" w:rsidRDefault="00C11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6091B" w14:textId="77777777" w:rsidR="00F76ACF" w:rsidRPr="009C7037" w:rsidRDefault="00F76ACF" w:rsidP="00F76ACF">
    <w:pPr>
      <w:pStyle w:val="Header"/>
      <w:spacing w:after="240"/>
      <w:rPr>
        <w:sz w:val="20"/>
        <w:szCs w:val="18"/>
      </w:rPr>
    </w:pPr>
    <w:r w:rsidRPr="009C7037">
      <w:rPr>
        <w:sz w:val="20"/>
        <w:szCs w:val="18"/>
      </w:rPr>
      <w:t xml:space="preserve">- </w:t>
    </w:r>
    <w:r w:rsidRPr="009C7037">
      <w:rPr>
        <w:sz w:val="20"/>
        <w:szCs w:val="18"/>
      </w:rPr>
      <w:fldChar w:fldCharType="begin"/>
    </w:r>
    <w:r w:rsidRPr="009C7037">
      <w:rPr>
        <w:sz w:val="20"/>
        <w:szCs w:val="18"/>
      </w:rPr>
      <w:instrText xml:space="preserve"> PAGE   \* MERGEFORMAT </w:instrText>
    </w:r>
    <w:r w:rsidRPr="009C7037">
      <w:rPr>
        <w:sz w:val="20"/>
        <w:szCs w:val="18"/>
      </w:rPr>
      <w:fldChar w:fldCharType="separate"/>
    </w:r>
    <w:r w:rsidRPr="009C7037">
      <w:rPr>
        <w:sz w:val="20"/>
        <w:szCs w:val="18"/>
      </w:rPr>
      <w:t>3</w:t>
    </w:r>
    <w:r w:rsidRPr="009C7037">
      <w:rPr>
        <w:noProof/>
        <w:sz w:val="20"/>
        <w:szCs w:val="18"/>
      </w:rPr>
      <w:fldChar w:fldCharType="end"/>
    </w:r>
    <w:r w:rsidRPr="009C7037">
      <w:rPr>
        <w:noProof/>
        <w:sz w:val="20"/>
        <w:szCs w:val="18"/>
      </w:rPr>
      <w:t xml:space="preserve"> -</w:t>
    </w:r>
    <w:r w:rsidRPr="009C7037">
      <w:rPr>
        <w:noProof/>
        <w:sz w:val="20"/>
        <w:szCs w:val="18"/>
      </w:rPr>
      <w:br/>
    </w:r>
    <w:r w:rsidRPr="009C7037">
      <w:rPr>
        <w:sz w:val="20"/>
        <w:szCs w:val="18"/>
      </w:rPr>
      <w:t>TSB Circular 29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AD901" w14:textId="77777777" w:rsidR="00F76ACF" w:rsidRPr="009C7037" w:rsidRDefault="00F76ACF" w:rsidP="00F76ACF">
    <w:pPr>
      <w:pStyle w:val="Header"/>
      <w:spacing w:after="240"/>
      <w:rPr>
        <w:sz w:val="20"/>
        <w:szCs w:val="18"/>
      </w:rPr>
    </w:pPr>
    <w:r w:rsidRPr="009C7037">
      <w:rPr>
        <w:sz w:val="20"/>
        <w:szCs w:val="18"/>
      </w:rPr>
      <w:t xml:space="preserve">- </w:t>
    </w:r>
    <w:r w:rsidRPr="009C7037">
      <w:rPr>
        <w:sz w:val="20"/>
        <w:szCs w:val="18"/>
      </w:rPr>
      <w:fldChar w:fldCharType="begin"/>
    </w:r>
    <w:r w:rsidRPr="009C7037">
      <w:rPr>
        <w:sz w:val="20"/>
        <w:szCs w:val="18"/>
      </w:rPr>
      <w:instrText xml:space="preserve"> PAGE   \* MERGEFORMAT </w:instrText>
    </w:r>
    <w:r w:rsidRPr="009C7037">
      <w:rPr>
        <w:sz w:val="20"/>
        <w:szCs w:val="18"/>
      </w:rPr>
      <w:fldChar w:fldCharType="separate"/>
    </w:r>
    <w:r w:rsidRPr="009C7037">
      <w:rPr>
        <w:sz w:val="20"/>
        <w:szCs w:val="18"/>
      </w:rPr>
      <w:t>3</w:t>
    </w:r>
    <w:r w:rsidRPr="009C7037">
      <w:rPr>
        <w:noProof/>
        <w:sz w:val="20"/>
        <w:szCs w:val="18"/>
      </w:rPr>
      <w:fldChar w:fldCharType="end"/>
    </w:r>
    <w:r w:rsidRPr="009C7037">
      <w:rPr>
        <w:noProof/>
        <w:sz w:val="20"/>
        <w:szCs w:val="18"/>
      </w:rPr>
      <w:t xml:space="preserve"> -</w:t>
    </w:r>
    <w:r w:rsidRPr="009C7037">
      <w:rPr>
        <w:noProof/>
        <w:sz w:val="20"/>
        <w:szCs w:val="18"/>
      </w:rPr>
      <w:br/>
    </w:r>
    <w:r w:rsidRPr="009C7037">
      <w:rPr>
        <w:sz w:val="20"/>
        <w:szCs w:val="18"/>
      </w:rPr>
      <w:t>TSB Circular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4"/>
  </w:num>
  <w:num w:numId="3" w16cid:durableId="1069613404">
    <w:abstractNumId w:val="2"/>
  </w:num>
  <w:num w:numId="4" w16cid:durableId="374936234">
    <w:abstractNumId w:val="1"/>
  </w:num>
  <w:num w:numId="5" w16cid:durableId="570241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B6"/>
    <w:rsid w:val="00002529"/>
    <w:rsid w:val="00085662"/>
    <w:rsid w:val="000C382F"/>
    <w:rsid w:val="0010672C"/>
    <w:rsid w:val="001173CC"/>
    <w:rsid w:val="001350B9"/>
    <w:rsid w:val="0014464D"/>
    <w:rsid w:val="00156EB6"/>
    <w:rsid w:val="001A54CC"/>
    <w:rsid w:val="00257FB4"/>
    <w:rsid w:val="002E11B8"/>
    <w:rsid w:val="002E496E"/>
    <w:rsid w:val="002F1C48"/>
    <w:rsid w:val="00303D62"/>
    <w:rsid w:val="00325609"/>
    <w:rsid w:val="00335367"/>
    <w:rsid w:val="00370C2D"/>
    <w:rsid w:val="003D1E8D"/>
    <w:rsid w:val="003D673B"/>
    <w:rsid w:val="003F2855"/>
    <w:rsid w:val="00401C20"/>
    <w:rsid w:val="004A7957"/>
    <w:rsid w:val="004C4144"/>
    <w:rsid w:val="00533DB1"/>
    <w:rsid w:val="0055719E"/>
    <w:rsid w:val="005F7742"/>
    <w:rsid w:val="006969B4"/>
    <w:rsid w:val="006E4F7B"/>
    <w:rsid w:val="00781E2A"/>
    <w:rsid w:val="007933A2"/>
    <w:rsid w:val="007B6316"/>
    <w:rsid w:val="007D1A94"/>
    <w:rsid w:val="00814503"/>
    <w:rsid w:val="00820296"/>
    <w:rsid w:val="008258C2"/>
    <w:rsid w:val="008505BD"/>
    <w:rsid w:val="008509A2"/>
    <w:rsid w:val="00850C78"/>
    <w:rsid w:val="00876165"/>
    <w:rsid w:val="00884D12"/>
    <w:rsid w:val="008C17AD"/>
    <w:rsid w:val="008D02CD"/>
    <w:rsid w:val="0091370C"/>
    <w:rsid w:val="00935739"/>
    <w:rsid w:val="0095172A"/>
    <w:rsid w:val="00952CBB"/>
    <w:rsid w:val="009A0BA0"/>
    <w:rsid w:val="009C7037"/>
    <w:rsid w:val="00A15EFA"/>
    <w:rsid w:val="00A54E47"/>
    <w:rsid w:val="00AB6E3A"/>
    <w:rsid w:val="00AC2C0A"/>
    <w:rsid w:val="00AE7093"/>
    <w:rsid w:val="00B35377"/>
    <w:rsid w:val="00B422BC"/>
    <w:rsid w:val="00B43F77"/>
    <w:rsid w:val="00B55A3E"/>
    <w:rsid w:val="00B87E9E"/>
    <w:rsid w:val="00B95F0A"/>
    <w:rsid w:val="00B96180"/>
    <w:rsid w:val="00C116FE"/>
    <w:rsid w:val="00C17AC0"/>
    <w:rsid w:val="00C34772"/>
    <w:rsid w:val="00C53F2B"/>
    <w:rsid w:val="00C5465A"/>
    <w:rsid w:val="00C70F76"/>
    <w:rsid w:val="00D54642"/>
    <w:rsid w:val="00D579EB"/>
    <w:rsid w:val="00D7022C"/>
    <w:rsid w:val="00D834E7"/>
    <w:rsid w:val="00D849B1"/>
    <w:rsid w:val="00DD77C9"/>
    <w:rsid w:val="00DF3538"/>
    <w:rsid w:val="00E54DD8"/>
    <w:rsid w:val="00E839B0"/>
    <w:rsid w:val="00E92C09"/>
    <w:rsid w:val="00ED555E"/>
    <w:rsid w:val="00F14380"/>
    <w:rsid w:val="00F6461F"/>
    <w:rsid w:val="00F76ACF"/>
    <w:rsid w:val="00FA2BAB"/>
    <w:rsid w:val="00FA48CC"/>
    <w:rsid w:val="00FC416A"/>
    <w:rsid w:val="00FD2B2D"/>
    <w:rsid w:val="00FD36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A6CED"/>
  <w15:docId w15:val="{3F6DA122-9865-4038-9A7A-F11B8FA5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FD366A"/>
    <w:rPr>
      <w:color w:val="605E5C"/>
      <w:shd w:val="clear" w:color="auto" w:fill="E1DFDD"/>
    </w:rPr>
  </w:style>
  <w:style w:type="paragraph" w:customStyle="1" w:styleId="Annextitle0">
    <w:name w:val="Annex_title"/>
    <w:basedOn w:val="Normal"/>
    <w:next w:val="Normal"/>
    <w:rsid w:val="00FA48CC"/>
    <w:pPr>
      <w:keepNext/>
      <w:keepLines/>
      <w:spacing w:before="240" w:after="280"/>
      <w:jc w:val="center"/>
    </w:pPr>
    <w:rPr>
      <w:rFonts w:ascii="Calibri" w:hAnsi="Calibri"/>
      <w:b/>
      <w:sz w:val="28"/>
      <w:lang w:val="en-GB"/>
    </w:rPr>
  </w:style>
  <w:style w:type="character" w:customStyle="1" w:styleId="Heading2Char">
    <w:name w:val="Heading 2 Char"/>
    <w:basedOn w:val="DefaultParagraphFont"/>
    <w:link w:val="Heading2"/>
    <w:rsid w:val="00FA48CC"/>
    <w:rPr>
      <w:rFonts w:asciiTheme="minorHAnsi" w:hAnsiTheme="minorHAnsi"/>
      <w:b/>
      <w:sz w:val="24"/>
      <w:lang w:val="es-ES_tradnl" w:eastAsia="en-US"/>
    </w:rPr>
  </w:style>
  <w:style w:type="paragraph" w:customStyle="1" w:styleId="Reasons">
    <w:name w:val="Reasons"/>
    <w:basedOn w:val="Normal"/>
    <w:qFormat/>
    <w:rsid w:val="00AC2C0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5-SG02-COL-0003/en" TargetMode="External"/><Relationship Id="rId18" Type="http://schemas.openxmlformats.org/officeDocument/2006/relationships/hyperlink" Target="https://www.itu.int/md/T25-SG02-R-0007/e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tsbdir@itu.int" TargetMode="External"/><Relationship Id="rId7" Type="http://schemas.openxmlformats.org/officeDocument/2006/relationships/settings" Target="settings.xml"/><Relationship Id="rId12" Type="http://schemas.openxmlformats.org/officeDocument/2006/relationships/hyperlink" Target="mailto:tsbsg2@itu.int" TargetMode="External"/><Relationship Id="rId17" Type="http://schemas.openxmlformats.org/officeDocument/2006/relationships/hyperlink" Target="https://www.itu.int/md/T25-SG02-R-0006/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md/T25-SG02-R-0005/es"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T25-SG02-R-0004/es"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aescusa\AppData\Roaming\Microsoft\Templates\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9260596c918b5a47adf064c2fbf85241">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41348940f8f33eeb3bbfe35db975f72a"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ec9dbc-0c64-4cc3-b3ee-679ad8bc4f75}"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90B75-E179-40AF-8441-33A77A8DBC54}">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2.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customXml/itemProps3.xml><?xml version="1.0" encoding="utf-8"?>
<ds:datastoreItem xmlns:ds="http://schemas.openxmlformats.org/officeDocument/2006/customXml" ds:itemID="{5F2682E2-5801-4F69-943C-0F94B4308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E6C36E-6F45-4E0A-91A9-169431761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139</TotalTime>
  <Pages>5</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10306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Villaescusa Cerezo, Sara</dc:creator>
  <cp:lastModifiedBy>Braud, Olivia</cp:lastModifiedBy>
  <cp:revision>13</cp:revision>
  <cp:lastPrinted>2025-02-27T16:15:00Z</cp:lastPrinted>
  <dcterms:created xsi:type="dcterms:W3CDTF">2025-02-26T10:16:00Z</dcterms:created>
  <dcterms:modified xsi:type="dcterms:W3CDTF">2025-02-27T16:16:00Z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0x010100D1E61AAD99A901438D9BC061B6D8E5BF</vt:lpwstr>
  </property>
  <property fmtid="{D5CDD505-2E9C-101B-9397-08002B2CF9AE}" pid="3" name="MediaServiceImageTags">
    <vt:lpwstr/>
  </property>
</Properties>
</file>