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14"/>
        <w:gridCol w:w="5236"/>
      </w:tblGrid>
      <w:tr w:rsidR="00EF6A23" w:rsidRPr="00477970" w14:paraId="3FDAE1F3" w14:textId="77777777" w:rsidTr="003F083D">
        <w:trPr>
          <w:cantSplit/>
        </w:trPr>
        <w:tc>
          <w:tcPr>
            <w:tcW w:w="0" w:type="auto"/>
            <w:vAlign w:val="center"/>
          </w:tcPr>
          <w:p w14:paraId="3DE42CAA" w14:textId="77777777" w:rsidR="00EF6A23" w:rsidRPr="00477970" w:rsidRDefault="00EF6A23" w:rsidP="00D14F31">
            <w:pPr>
              <w:tabs>
                <w:tab w:val="right" w:pos="8732"/>
              </w:tabs>
              <w:spacing w:before="0"/>
              <w:rPr>
                <w:b/>
                <w:bCs/>
                <w:iCs/>
                <w:color w:val="FFFFFF"/>
                <w:sz w:val="30"/>
                <w:szCs w:val="30"/>
              </w:rPr>
            </w:pPr>
            <w:r w:rsidRPr="00477970">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77970" w:rsidRDefault="00EF6A23" w:rsidP="00EF6A23">
            <w:pPr>
              <w:spacing w:before="0"/>
              <w:rPr>
                <w:rFonts w:cs="Times New Roman Bold"/>
                <w:b/>
                <w:bCs/>
                <w:iCs/>
                <w:smallCaps/>
                <w:sz w:val="34"/>
                <w:szCs w:val="34"/>
              </w:rPr>
            </w:pPr>
            <w:r w:rsidRPr="00477970">
              <w:rPr>
                <w:rFonts w:cs="Times New Roman Bold"/>
                <w:b/>
                <w:bCs/>
                <w:iCs/>
                <w:smallCaps/>
                <w:sz w:val="34"/>
                <w:szCs w:val="34"/>
              </w:rPr>
              <w:t>Union internationale des télécommunications</w:t>
            </w:r>
          </w:p>
          <w:p w14:paraId="089E66D0" w14:textId="77777777" w:rsidR="00EF6A23" w:rsidRPr="00477970" w:rsidRDefault="00EF6A23" w:rsidP="00EF6A23">
            <w:pPr>
              <w:spacing w:before="0"/>
              <w:rPr>
                <w:color w:val="FFFFFF"/>
                <w:sz w:val="26"/>
                <w:szCs w:val="26"/>
              </w:rPr>
            </w:pPr>
            <w:r w:rsidRPr="00477970">
              <w:rPr>
                <w:rFonts w:cs="Times New Roman Bold"/>
                <w:b/>
                <w:bCs/>
                <w:iCs/>
                <w:smallCaps/>
                <w:sz w:val="28"/>
                <w:szCs w:val="28"/>
              </w:rPr>
              <w:t>B</w:t>
            </w:r>
            <w:r w:rsidRPr="00477970">
              <w:rPr>
                <w:b/>
                <w:bCs/>
                <w:iCs/>
                <w:smallCaps/>
                <w:sz w:val="28"/>
                <w:szCs w:val="28"/>
              </w:rPr>
              <w:t>ureau de la Normalisation des Télécommunications</w:t>
            </w:r>
          </w:p>
        </w:tc>
      </w:tr>
      <w:tr w:rsidR="00036F4F" w:rsidRPr="009B5653" w14:paraId="18B25741" w14:textId="77777777" w:rsidTr="008F6157">
        <w:trPr>
          <w:cantSplit/>
        </w:trPr>
        <w:tc>
          <w:tcPr>
            <w:tcW w:w="0" w:type="auto"/>
          </w:tcPr>
          <w:p w14:paraId="4B1AFD72" w14:textId="77777777" w:rsidR="00036F4F" w:rsidRPr="009B5653" w:rsidRDefault="00036F4F" w:rsidP="00A5280F">
            <w:pPr>
              <w:tabs>
                <w:tab w:val="left" w:pos="4111"/>
              </w:tabs>
              <w:spacing w:before="10"/>
              <w:ind w:left="57"/>
              <w:rPr>
                <w:sz w:val="22"/>
                <w:szCs w:val="22"/>
              </w:rPr>
            </w:pPr>
          </w:p>
        </w:tc>
        <w:tc>
          <w:tcPr>
            <w:tcW w:w="3286" w:type="dxa"/>
          </w:tcPr>
          <w:p w14:paraId="6579D3E8" w14:textId="77777777" w:rsidR="00036F4F" w:rsidRPr="009B5653" w:rsidRDefault="00036F4F" w:rsidP="00A5280F">
            <w:pPr>
              <w:tabs>
                <w:tab w:val="left" w:pos="4111"/>
              </w:tabs>
              <w:spacing w:before="10"/>
              <w:ind w:left="57"/>
              <w:rPr>
                <w:b/>
                <w:sz w:val="22"/>
                <w:szCs w:val="22"/>
              </w:rPr>
            </w:pPr>
          </w:p>
        </w:tc>
        <w:tc>
          <w:tcPr>
            <w:tcW w:w="5164" w:type="dxa"/>
          </w:tcPr>
          <w:p w14:paraId="0DC34ECA" w14:textId="44CE63A8" w:rsidR="00036F4F" w:rsidRPr="009B5653" w:rsidRDefault="00036F4F" w:rsidP="00A5645A">
            <w:pPr>
              <w:tabs>
                <w:tab w:val="clear" w:pos="794"/>
                <w:tab w:val="clear" w:pos="1191"/>
                <w:tab w:val="clear" w:pos="1588"/>
                <w:tab w:val="clear" w:pos="1985"/>
                <w:tab w:val="left" w:pos="284"/>
              </w:tabs>
              <w:spacing w:after="120"/>
              <w:ind w:left="284" w:hanging="227"/>
              <w:rPr>
                <w:sz w:val="22"/>
                <w:szCs w:val="22"/>
              </w:rPr>
            </w:pPr>
            <w:r w:rsidRPr="009B5653">
              <w:rPr>
                <w:sz w:val="22"/>
                <w:szCs w:val="22"/>
              </w:rPr>
              <w:t>Genève, le</w:t>
            </w:r>
            <w:r w:rsidR="004419E9" w:rsidRPr="009B5653">
              <w:rPr>
                <w:sz w:val="22"/>
                <w:szCs w:val="22"/>
              </w:rPr>
              <w:t xml:space="preserve"> </w:t>
            </w:r>
            <w:r w:rsidR="0038721D" w:rsidRPr="009B5653">
              <w:rPr>
                <w:sz w:val="22"/>
                <w:szCs w:val="22"/>
              </w:rPr>
              <w:t>24 février 2025</w:t>
            </w:r>
          </w:p>
        </w:tc>
      </w:tr>
      <w:tr w:rsidR="008F6157" w:rsidRPr="009B5653" w14:paraId="16CDDFEF" w14:textId="77777777" w:rsidTr="008F6157">
        <w:trPr>
          <w:cantSplit/>
          <w:trHeight w:val="340"/>
        </w:trPr>
        <w:tc>
          <w:tcPr>
            <w:tcW w:w="0" w:type="auto"/>
          </w:tcPr>
          <w:p w14:paraId="3EFF375D" w14:textId="58556577" w:rsidR="008F6157" w:rsidRPr="009B5653" w:rsidRDefault="008F6157" w:rsidP="00307FB4">
            <w:pPr>
              <w:tabs>
                <w:tab w:val="left" w:pos="4111"/>
              </w:tabs>
              <w:spacing w:before="10"/>
              <w:ind w:left="57"/>
              <w:rPr>
                <w:b/>
                <w:bCs/>
                <w:sz w:val="22"/>
                <w:szCs w:val="22"/>
              </w:rPr>
            </w:pPr>
            <w:proofErr w:type="gramStart"/>
            <w:r w:rsidRPr="009B5653">
              <w:rPr>
                <w:b/>
                <w:bCs/>
                <w:sz w:val="22"/>
                <w:szCs w:val="22"/>
              </w:rPr>
              <w:t>Réf.:</w:t>
            </w:r>
            <w:proofErr w:type="gramEnd"/>
          </w:p>
        </w:tc>
        <w:tc>
          <w:tcPr>
            <w:tcW w:w="3286" w:type="dxa"/>
          </w:tcPr>
          <w:p w14:paraId="5FFBBC9B" w14:textId="20CEF4A9" w:rsidR="008F6157" w:rsidRPr="009B5653" w:rsidRDefault="008F6157" w:rsidP="00A5280F">
            <w:pPr>
              <w:tabs>
                <w:tab w:val="left" w:pos="4111"/>
              </w:tabs>
              <w:spacing w:before="10"/>
              <w:ind w:left="57"/>
              <w:rPr>
                <w:b/>
                <w:sz w:val="22"/>
                <w:szCs w:val="22"/>
              </w:rPr>
            </w:pPr>
            <w:r w:rsidRPr="009B5653">
              <w:rPr>
                <w:b/>
                <w:sz w:val="22"/>
                <w:szCs w:val="22"/>
              </w:rPr>
              <w:t>Circulaire TSB 29</w:t>
            </w:r>
          </w:p>
          <w:p w14:paraId="577F6DA2" w14:textId="78E422F7" w:rsidR="008F6157" w:rsidRPr="009B5653" w:rsidRDefault="008F6157" w:rsidP="00307FB4">
            <w:pPr>
              <w:tabs>
                <w:tab w:val="left" w:pos="4111"/>
              </w:tabs>
              <w:spacing w:before="10"/>
              <w:ind w:left="57"/>
              <w:rPr>
                <w:sz w:val="22"/>
                <w:szCs w:val="22"/>
              </w:rPr>
            </w:pPr>
            <w:r w:rsidRPr="009B5653">
              <w:rPr>
                <w:sz w:val="22"/>
                <w:szCs w:val="22"/>
              </w:rPr>
              <w:t>CE 2/MCB</w:t>
            </w:r>
          </w:p>
        </w:tc>
        <w:tc>
          <w:tcPr>
            <w:tcW w:w="5164" w:type="dxa"/>
            <w:vMerge w:val="restart"/>
          </w:tcPr>
          <w:p w14:paraId="35271D8E" w14:textId="49F48F64" w:rsidR="008F6157" w:rsidRPr="009B5653" w:rsidRDefault="008F6157" w:rsidP="00307FB4">
            <w:pPr>
              <w:tabs>
                <w:tab w:val="left" w:pos="4111"/>
              </w:tabs>
              <w:spacing w:before="0"/>
              <w:ind w:left="426" w:hanging="426"/>
              <w:rPr>
                <w:sz w:val="22"/>
                <w:szCs w:val="22"/>
              </w:rPr>
            </w:pPr>
            <w:bookmarkStart w:id="0" w:name="Addressee_F"/>
            <w:bookmarkEnd w:id="0"/>
            <w:r w:rsidRPr="009B5653">
              <w:rPr>
                <w:sz w:val="22"/>
                <w:szCs w:val="22"/>
              </w:rPr>
              <w:t>–</w:t>
            </w:r>
            <w:r w:rsidRPr="009B5653">
              <w:rPr>
                <w:sz w:val="22"/>
                <w:szCs w:val="22"/>
              </w:rPr>
              <w:tab/>
              <w:t xml:space="preserve">Aux Administrations des États Membres de </w:t>
            </w:r>
            <w:proofErr w:type="gramStart"/>
            <w:r w:rsidRPr="009B5653">
              <w:rPr>
                <w:sz w:val="22"/>
                <w:szCs w:val="22"/>
              </w:rPr>
              <w:t>l'Union;</w:t>
            </w:r>
            <w:proofErr w:type="gramEnd"/>
          </w:p>
          <w:p w14:paraId="75D8F769" w14:textId="77777777" w:rsidR="008F6157" w:rsidRPr="009B5653" w:rsidRDefault="008F6157" w:rsidP="0038721D">
            <w:pPr>
              <w:tabs>
                <w:tab w:val="left" w:pos="4111"/>
              </w:tabs>
              <w:spacing w:before="0"/>
              <w:ind w:left="426" w:hanging="426"/>
              <w:rPr>
                <w:sz w:val="22"/>
                <w:szCs w:val="22"/>
              </w:rPr>
            </w:pPr>
            <w:r w:rsidRPr="009B5653">
              <w:rPr>
                <w:sz w:val="22"/>
                <w:szCs w:val="22"/>
              </w:rPr>
              <w:t>–</w:t>
            </w:r>
            <w:r w:rsidRPr="009B5653">
              <w:rPr>
                <w:sz w:val="22"/>
                <w:szCs w:val="22"/>
              </w:rPr>
              <w:tab/>
              <w:t>À l'État de Palestine (Résolution 99 (Rév. Dubaï, 2018)</w:t>
            </w:r>
            <w:proofErr w:type="gramStart"/>
            <w:r w:rsidRPr="009B5653">
              <w:rPr>
                <w:sz w:val="22"/>
                <w:szCs w:val="22"/>
              </w:rPr>
              <w:t>);</w:t>
            </w:r>
            <w:proofErr w:type="gramEnd"/>
          </w:p>
          <w:p w14:paraId="1F98763A" w14:textId="77777777" w:rsidR="008F6157" w:rsidRPr="009B5653" w:rsidRDefault="008F6157" w:rsidP="00307FB4">
            <w:pPr>
              <w:tabs>
                <w:tab w:val="clear" w:pos="794"/>
                <w:tab w:val="left" w:pos="226"/>
                <w:tab w:val="left" w:pos="4111"/>
              </w:tabs>
              <w:spacing w:before="0"/>
              <w:ind w:left="226" w:hanging="226"/>
              <w:rPr>
                <w:b/>
                <w:bCs/>
                <w:sz w:val="22"/>
                <w:szCs w:val="22"/>
              </w:rPr>
            </w:pPr>
            <w:proofErr w:type="gramStart"/>
            <w:r w:rsidRPr="009B5653">
              <w:rPr>
                <w:b/>
                <w:bCs/>
                <w:sz w:val="22"/>
                <w:szCs w:val="22"/>
              </w:rPr>
              <w:t>Copie:</w:t>
            </w:r>
            <w:proofErr w:type="gramEnd"/>
          </w:p>
          <w:p w14:paraId="36FC44F2" w14:textId="77777777" w:rsidR="008F6157" w:rsidRPr="009B5653" w:rsidRDefault="008F6157" w:rsidP="0038721D">
            <w:pPr>
              <w:tabs>
                <w:tab w:val="clear" w:pos="794"/>
                <w:tab w:val="left" w:pos="4111"/>
              </w:tabs>
              <w:spacing w:before="0"/>
              <w:ind w:left="426" w:hanging="426"/>
              <w:rPr>
                <w:sz w:val="22"/>
                <w:szCs w:val="22"/>
              </w:rPr>
            </w:pPr>
            <w:r w:rsidRPr="009B5653">
              <w:rPr>
                <w:sz w:val="22"/>
                <w:szCs w:val="22"/>
              </w:rPr>
              <w:t>–</w:t>
            </w:r>
            <w:r w:rsidRPr="009B5653">
              <w:rPr>
                <w:sz w:val="22"/>
                <w:szCs w:val="22"/>
              </w:rPr>
              <w:tab/>
              <w:t>Aux Membres du Secteur de l'UIT-</w:t>
            </w:r>
            <w:proofErr w:type="gramStart"/>
            <w:r w:rsidRPr="009B5653">
              <w:rPr>
                <w:sz w:val="22"/>
                <w:szCs w:val="22"/>
              </w:rPr>
              <w:t>T;</w:t>
            </w:r>
            <w:proofErr w:type="gramEnd"/>
          </w:p>
          <w:p w14:paraId="06EDC266" w14:textId="77777777" w:rsidR="008F6157" w:rsidRPr="009B5653" w:rsidRDefault="008F6157" w:rsidP="0038721D">
            <w:pPr>
              <w:tabs>
                <w:tab w:val="clear" w:pos="794"/>
                <w:tab w:val="left" w:pos="4111"/>
              </w:tabs>
              <w:spacing w:before="0"/>
              <w:ind w:left="426" w:hanging="426"/>
              <w:rPr>
                <w:sz w:val="22"/>
                <w:szCs w:val="22"/>
              </w:rPr>
            </w:pPr>
            <w:r w:rsidRPr="009B5653">
              <w:rPr>
                <w:sz w:val="22"/>
                <w:szCs w:val="22"/>
              </w:rPr>
              <w:t>–</w:t>
            </w:r>
            <w:r w:rsidRPr="009B5653">
              <w:rPr>
                <w:sz w:val="22"/>
                <w:szCs w:val="22"/>
              </w:rPr>
              <w:tab/>
              <w:t>Aux Associés de la Commission d'études 2 de l'UIT-</w:t>
            </w:r>
            <w:proofErr w:type="gramStart"/>
            <w:r w:rsidRPr="009B5653">
              <w:rPr>
                <w:sz w:val="22"/>
                <w:szCs w:val="22"/>
              </w:rPr>
              <w:t>T;</w:t>
            </w:r>
            <w:proofErr w:type="gramEnd"/>
          </w:p>
          <w:p w14:paraId="6A47654B" w14:textId="77777777" w:rsidR="008F6157" w:rsidRPr="009B5653" w:rsidRDefault="008F6157" w:rsidP="0038721D">
            <w:pPr>
              <w:tabs>
                <w:tab w:val="clear" w:pos="794"/>
                <w:tab w:val="left" w:pos="4111"/>
              </w:tabs>
              <w:spacing w:before="0"/>
              <w:ind w:left="426" w:hanging="426"/>
              <w:rPr>
                <w:sz w:val="22"/>
                <w:szCs w:val="22"/>
              </w:rPr>
            </w:pPr>
            <w:r w:rsidRPr="009B5653">
              <w:rPr>
                <w:sz w:val="22"/>
                <w:szCs w:val="22"/>
              </w:rPr>
              <w:t>–</w:t>
            </w:r>
            <w:r w:rsidRPr="009B5653">
              <w:rPr>
                <w:sz w:val="22"/>
                <w:szCs w:val="22"/>
              </w:rPr>
              <w:tab/>
              <w:t xml:space="preserve">Aux établissements universitaires participant aux travaux de </w:t>
            </w:r>
            <w:proofErr w:type="gramStart"/>
            <w:r w:rsidRPr="009B5653">
              <w:rPr>
                <w:sz w:val="22"/>
                <w:szCs w:val="22"/>
              </w:rPr>
              <w:t>l'UIT;</w:t>
            </w:r>
            <w:proofErr w:type="gramEnd"/>
          </w:p>
          <w:p w14:paraId="5005EED3" w14:textId="77777777" w:rsidR="008F6157" w:rsidRPr="009B5653" w:rsidRDefault="008F6157" w:rsidP="0038721D">
            <w:pPr>
              <w:tabs>
                <w:tab w:val="clear" w:pos="794"/>
                <w:tab w:val="left" w:pos="4111"/>
              </w:tabs>
              <w:spacing w:before="0"/>
              <w:ind w:left="426" w:hanging="426"/>
              <w:rPr>
                <w:sz w:val="22"/>
                <w:szCs w:val="22"/>
              </w:rPr>
            </w:pPr>
            <w:r w:rsidRPr="009B5653">
              <w:rPr>
                <w:sz w:val="22"/>
                <w:szCs w:val="22"/>
              </w:rPr>
              <w:t>–</w:t>
            </w:r>
            <w:r w:rsidRPr="009B5653">
              <w:rPr>
                <w:sz w:val="22"/>
                <w:szCs w:val="22"/>
              </w:rPr>
              <w:tab/>
              <w:t>Au Président et aux Vice-Présidents de la Commission d'études 2 de l'UIT-</w:t>
            </w:r>
            <w:proofErr w:type="gramStart"/>
            <w:r w:rsidRPr="009B5653">
              <w:rPr>
                <w:sz w:val="22"/>
                <w:szCs w:val="22"/>
              </w:rPr>
              <w:t>T;</w:t>
            </w:r>
            <w:proofErr w:type="gramEnd"/>
          </w:p>
          <w:p w14:paraId="0EA7E2CE" w14:textId="77777777" w:rsidR="008F6157" w:rsidRPr="009B5653" w:rsidRDefault="008F6157" w:rsidP="0038721D">
            <w:pPr>
              <w:tabs>
                <w:tab w:val="clear" w:pos="794"/>
                <w:tab w:val="left" w:pos="4111"/>
              </w:tabs>
              <w:spacing w:before="0"/>
              <w:ind w:left="426" w:hanging="426"/>
              <w:rPr>
                <w:sz w:val="22"/>
                <w:szCs w:val="22"/>
              </w:rPr>
            </w:pPr>
            <w:r w:rsidRPr="009B5653">
              <w:rPr>
                <w:sz w:val="22"/>
                <w:szCs w:val="22"/>
              </w:rPr>
              <w:t>–</w:t>
            </w:r>
            <w:r w:rsidRPr="009B5653">
              <w:rPr>
                <w:sz w:val="22"/>
                <w:szCs w:val="22"/>
              </w:rPr>
              <w:tab/>
              <w:t xml:space="preserve">Au Directeur du Bureau de développement des </w:t>
            </w:r>
            <w:proofErr w:type="gramStart"/>
            <w:r w:rsidRPr="009B5653">
              <w:rPr>
                <w:sz w:val="22"/>
                <w:szCs w:val="22"/>
              </w:rPr>
              <w:t>télécommunications;</w:t>
            </w:r>
            <w:proofErr w:type="gramEnd"/>
          </w:p>
          <w:p w14:paraId="461460AE" w14:textId="59B4BD9E" w:rsidR="008F6157" w:rsidRPr="009B5653" w:rsidRDefault="008F6157" w:rsidP="0038721D">
            <w:pPr>
              <w:tabs>
                <w:tab w:val="left" w:pos="4111"/>
              </w:tabs>
              <w:spacing w:before="0"/>
              <w:ind w:left="426" w:hanging="426"/>
              <w:rPr>
                <w:sz w:val="22"/>
                <w:szCs w:val="22"/>
              </w:rPr>
            </w:pPr>
            <w:r w:rsidRPr="009B5653">
              <w:rPr>
                <w:sz w:val="22"/>
                <w:szCs w:val="22"/>
              </w:rPr>
              <w:t>–</w:t>
            </w:r>
            <w:r w:rsidRPr="009B5653">
              <w:rPr>
                <w:sz w:val="22"/>
                <w:szCs w:val="22"/>
              </w:rPr>
              <w:tab/>
              <w:t>Au Directeur du Bureau des radiocommunications</w:t>
            </w:r>
          </w:p>
        </w:tc>
      </w:tr>
      <w:tr w:rsidR="008F6157" w:rsidRPr="009B5653" w14:paraId="724FD23E" w14:textId="77777777" w:rsidTr="008F6157">
        <w:trPr>
          <w:cantSplit/>
        </w:trPr>
        <w:tc>
          <w:tcPr>
            <w:tcW w:w="0" w:type="auto"/>
          </w:tcPr>
          <w:p w14:paraId="73149CCD" w14:textId="77777777" w:rsidR="008F6157" w:rsidRPr="008F6157" w:rsidRDefault="008F6157" w:rsidP="00A5280F">
            <w:pPr>
              <w:tabs>
                <w:tab w:val="left" w:pos="4111"/>
              </w:tabs>
              <w:spacing w:before="10"/>
              <w:ind w:left="57"/>
              <w:rPr>
                <w:sz w:val="22"/>
                <w:szCs w:val="22"/>
              </w:rPr>
            </w:pPr>
            <w:proofErr w:type="gramStart"/>
            <w:r w:rsidRPr="008F6157">
              <w:rPr>
                <w:sz w:val="22"/>
                <w:szCs w:val="22"/>
              </w:rPr>
              <w:t>Tél.:</w:t>
            </w:r>
            <w:proofErr w:type="gramEnd"/>
          </w:p>
        </w:tc>
        <w:tc>
          <w:tcPr>
            <w:tcW w:w="3286" w:type="dxa"/>
          </w:tcPr>
          <w:p w14:paraId="78D06186" w14:textId="0AEE52D1" w:rsidR="008F6157" w:rsidRPr="009B5653" w:rsidRDefault="008F6157" w:rsidP="00A5280F">
            <w:pPr>
              <w:tabs>
                <w:tab w:val="left" w:pos="4111"/>
              </w:tabs>
              <w:spacing w:before="0"/>
              <w:ind w:left="57"/>
              <w:rPr>
                <w:sz w:val="22"/>
                <w:szCs w:val="22"/>
              </w:rPr>
            </w:pPr>
            <w:r w:rsidRPr="009B5653">
              <w:rPr>
                <w:sz w:val="22"/>
                <w:szCs w:val="22"/>
              </w:rPr>
              <w:t>+41 22 730 5901</w:t>
            </w:r>
          </w:p>
        </w:tc>
        <w:tc>
          <w:tcPr>
            <w:tcW w:w="5164" w:type="dxa"/>
            <w:vMerge/>
          </w:tcPr>
          <w:p w14:paraId="6D3A5806" w14:textId="2B79AC6F" w:rsidR="008F6157" w:rsidRPr="009B5653" w:rsidRDefault="008F6157" w:rsidP="0038721D">
            <w:pPr>
              <w:tabs>
                <w:tab w:val="left" w:pos="4111"/>
              </w:tabs>
              <w:spacing w:before="0"/>
              <w:ind w:left="426" w:hanging="426"/>
              <w:rPr>
                <w:b/>
                <w:sz w:val="22"/>
                <w:szCs w:val="22"/>
              </w:rPr>
            </w:pPr>
          </w:p>
        </w:tc>
      </w:tr>
      <w:tr w:rsidR="008F6157" w:rsidRPr="009B5653" w14:paraId="030F9AE5" w14:textId="77777777" w:rsidTr="008F6157">
        <w:trPr>
          <w:cantSplit/>
          <w:trHeight w:val="391"/>
        </w:trPr>
        <w:tc>
          <w:tcPr>
            <w:tcW w:w="0" w:type="auto"/>
          </w:tcPr>
          <w:p w14:paraId="7B417C4C" w14:textId="77777777" w:rsidR="008F6157" w:rsidRPr="008F6157" w:rsidRDefault="008F6157" w:rsidP="00A5280F">
            <w:pPr>
              <w:tabs>
                <w:tab w:val="left" w:pos="4111"/>
              </w:tabs>
              <w:spacing w:before="10"/>
              <w:ind w:left="57"/>
              <w:rPr>
                <w:sz w:val="22"/>
                <w:szCs w:val="22"/>
              </w:rPr>
            </w:pPr>
            <w:proofErr w:type="gramStart"/>
            <w:r w:rsidRPr="008F6157">
              <w:rPr>
                <w:sz w:val="22"/>
                <w:szCs w:val="22"/>
              </w:rPr>
              <w:t>Télécopie:</w:t>
            </w:r>
            <w:proofErr w:type="gramEnd"/>
          </w:p>
        </w:tc>
        <w:tc>
          <w:tcPr>
            <w:tcW w:w="3286" w:type="dxa"/>
          </w:tcPr>
          <w:p w14:paraId="1A4A5F7B" w14:textId="77777777" w:rsidR="008F6157" w:rsidRPr="009B5653" w:rsidRDefault="008F6157" w:rsidP="00A5280F">
            <w:pPr>
              <w:tabs>
                <w:tab w:val="left" w:pos="4111"/>
              </w:tabs>
              <w:spacing w:before="0"/>
              <w:ind w:left="57"/>
              <w:rPr>
                <w:sz w:val="22"/>
                <w:szCs w:val="22"/>
              </w:rPr>
            </w:pPr>
            <w:r w:rsidRPr="009B5653">
              <w:rPr>
                <w:sz w:val="22"/>
                <w:szCs w:val="22"/>
              </w:rPr>
              <w:t>+41 22 730 5853</w:t>
            </w:r>
          </w:p>
        </w:tc>
        <w:tc>
          <w:tcPr>
            <w:tcW w:w="5164" w:type="dxa"/>
            <w:vMerge/>
          </w:tcPr>
          <w:p w14:paraId="323DAC81" w14:textId="573C5E3C" w:rsidR="008F6157" w:rsidRPr="009B5653" w:rsidRDefault="008F6157" w:rsidP="0038721D">
            <w:pPr>
              <w:tabs>
                <w:tab w:val="left" w:pos="4111"/>
              </w:tabs>
              <w:spacing w:before="0"/>
              <w:ind w:left="426" w:hanging="426"/>
              <w:rPr>
                <w:b/>
                <w:sz w:val="22"/>
                <w:szCs w:val="22"/>
              </w:rPr>
            </w:pPr>
          </w:p>
        </w:tc>
      </w:tr>
      <w:tr w:rsidR="008F6157" w:rsidRPr="009B5653" w14:paraId="640FB6B9" w14:textId="77777777" w:rsidTr="008F6157">
        <w:trPr>
          <w:cantSplit/>
        </w:trPr>
        <w:tc>
          <w:tcPr>
            <w:tcW w:w="0" w:type="auto"/>
          </w:tcPr>
          <w:p w14:paraId="15527369" w14:textId="0865F49A" w:rsidR="008F6157" w:rsidRPr="008F6157" w:rsidRDefault="008F6157" w:rsidP="00A5280F">
            <w:pPr>
              <w:tabs>
                <w:tab w:val="left" w:pos="4111"/>
              </w:tabs>
              <w:spacing w:before="10"/>
              <w:ind w:left="57"/>
              <w:rPr>
                <w:sz w:val="22"/>
                <w:szCs w:val="22"/>
              </w:rPr>
            </w:pPr>
            <w:proofErr w:type="gramStart"/>
            <w:r w:rsidRPr="008F6157">
              <w:rPr>
                <w:sz w:val="22"/>
                <w:szCs w:val="22"/>
              </w:rPr>
              <w:t>Courriel:</w:t>
            </w:r>
            <w:proofErr w:type="gramEnd"/>
          </w:p>
        </w:tc>
        <w:tc>
          <w:tcPr>
            <w:tcW w:w="3286" w:type="dxa"/>
          </w:tcPr>
          <w:p w14:paraId="172249CE" w14:textId="71AEC3BC" w:rsidR="008F6157" w:rsidRPr="009B5653" w:rsidRDefault="008F6157" w:rsidP="00A5280F">
            <w:pPr>
              <w:tabs>
                <w:tab w:val="left" w:pos="4111"/>
              </w:tabs>
              <w:spacing w:before="0"/>
              <w:ind w:left="57"/>
              <w:rPr>
                <w:sz w:val="22"/>
                <w:szCs w:val="22"/>
              </w:rPr>
            </w:pPr>
            <w:hyperlink r:id="rId12" w:history="1">
              <w:r w:rsidRPr="009B5653">
                <w:rPr>
                  <w:rStyle w:val="Hyperlink"/>
                  <w:sz w:val="22"/>
                  <w:szCs w:val="22"/>
                </w:rPr>
                <w:t>tsbsg2@itu.int</w:t>
              </w:r>
            </w:hyperlink>
          </w:p>
        </w:tc>
        <w:tc>
          <w:tcPr>
            <w:tcW w:w="5164" w:type="dxa"/>
            <w:vMerge/>
          </w:tcPr>
          <w:p w14:paraId="19762254" w14:textId="23659852" w:rsidR="008F6157" w:rsidRPr="009B5653" w:rsidRDefault="008F6157" w:rsidP="0038721D">
            <w:pPr>
              <w:tabs>
                <w:tab w:val="clear" w:pos="794"/>
                <w:tab w:val="left" w:pos="4111"/>
              </w:tabs>
              <w:spacing w:before="0"/>
              <w:ind w:left="426" w:hanging="426"/>
              <w:rPr>
                <w:sz w:val="22"/>
                <w:szCs w:val="22"/>
              </w:rPr>
            </w:pPr>
          </w:p>
        </w:tc>
      </w:tr>
      <w:tr w:rsidR="00517A03" w:rsidRPr="009B5653" w14:paraId="5435C04A" w14:textId="77777777" w:rsidTr="00C41B89">
        <w:trPr>
          <w:cantSplit/>
          <w:trHeight w:val="397"/>
        </w:trPr>
        <w:tc>
          <w:tcPr>
            <w:tcW w:w="0" w:type="auto"/>
          </w:tcPr>
          <w:p w14:paraId="2A0B9B4F" w14:textId="77777777" w:rsidR="00517A03" w:rsidRPr="009B5653" w:rsidRDefault="00517A03" w:rsidP="00307FB4">
            <w:pPr>
              <w:tabs>
                <w:tab w:val="left" w:pos="4111"/>
              </w:tabs>
              <w:ind w:left="57"/>
              <w:rPr>
                <w:b/>
                <w:bCs/>
                <w:sz w:val="22"/>
                <w:szCs w:val="22"/>
              </w:rPr>
            </w:pPr>
            <w:proofErr w:type="gramStart"/>
            <w:r w:rsidRPr="009B5653">
              <w:rPr>
                <w:b/>
                <w:bCs/>
                <w:sz w:val="22"/>
                <w:szCs w:val="22"/>
              </w:rPr>
              <w:t>Objet:</w:t>
            </w:r>
            <w:proofErr w:type="gramEnd"/>
          </w:p>
        </w:tc>
        <w:tc>
          <w:tcPr>
            <w:tcW w:w="0" w:type="auto"/>
            <w:gridSpan w:val="2"/>
          </w:tcPr>
          <w:p w14:paraId="1A51EE75" w14:textId="0D85DC4A" w:rsidR="00517A03" w:rsidRPr="009B5653" w:rsidRDefault="0038721D" w:rsidP="0048088B">
            <w:pPr>
              <w:tabs>
                <w:tab w:val="left" w:pos="4111"/>
              </w:tabs>
              <w:spacing w:after="120"/>
              <w:ind w:left="57"/>
              <w:rPr>
                <w:b/>
                <w:bCs/>
                <w:sz w:val="22"/>
                <w:szCs w:val="22"/>
              </w:rPr>
            </w:pPr>
            <w:r w:rsidRPr="009B5653">
              <w:rPr>
                <w:b/>
                <w:bCs/>
                <w:sz w:val="22"/>
                <w:szCs w:val="22"/>
              </w:rPr>
              <w:t xml:space="preserve">Consultation des États Membres au sujet du texte déterminé des projets de Recommandations révisées UIT-T E.118, </w:t>
            </w:r>
            <w:r w:rsidR="009366FC" w:rsidRPr="009B5653">
              <w:rPr>
                <w:b/>
                <w:bCs/>
                <w:sz w:val="22"/>
                <w:szCs w:val="22"/>
              </w:rPr>
              <w:t xml:space="preserve">UIT-T </w:t>
            </w:r>
            <w:r w:rsidRPr="009B5653">
              <w:rPr>
                <w:b/>
                <w:bCs/>
                <w:sz w:val="22"/>
                <w:szCs w:val="22"/>
              </w:rPr>
              <w:t xml:space="preserve">E.156 et </w:t>
            </w:r>
            <w:r w:rsidR="009366FC" w:rsidRPr="009B5653">
              <w:rPr>
                <w:b/>
                <w:bCs/>
                <w:sz w:val="22"/>
                <w:szCs w:val="22"/>
              </w:rPr>
              <w:t xml:space="preserve">UIT-T </w:t>
            </w:r>
            <w:r w:rsidRPr="009B5653">
              <w:rPr>
                <w:b/>
                <w:bCs/>
                <w:sz w:val="22"/>
                <w:szCs w:val="22"/>
              </w:rPr>
              <w:t xml:space="preserve">E.164 et du projet de nouvelle Recommandation UIT-T E.371 (anciennement </w:t>
            </w:r>
            <w:proofErr w:type="spellStart"/>
            <w:r w:rsidRPr="009B5653">
              <w:rPr>
                <w:b/>
                <w:bCs/>
                <w:sz w:val="22"/>
                <w:szCs w:val="22"/>
              </w:rPr>
              <w:t>E.dit</w:t>
            </w:r>
            <w:proofErr w:type="spellEnd"/>
            <w:r w:rsidRPr="009B5653">
              <w:rPr>
                <w:b/>
                <w:bCs/>
                <w:sz w:val="22"/>
                <w:szCs w:val="22"/>
              </w:rPr>
              <w:t>), qu'il est proposé d'approuver à la réunion de la Commission d'études 2 de l'UIT-T (Genève,</w:t>
            </w:r>
            <w:r w:rsidR="009366FC" w:rsidRPr="009B5653">
              <w:rPr>
                <w:b/>
                <w:bCs/>
                <w:sz w:val="22"/>
                <w:szCs w:val="22"/>
              </w:rPr>
              <w:t> </w:t>
            </w:r>
            <w:r w:rsidRPr="009B5653">
              <w:rPr>
                <w:b/>
                <w:bCs/>
                <w:sz w:val="22"/>
                <w:szCs w:val="22"/>
              </w:rPr>
              <w:t>5</w:t>
            </w:r>
            <w:r w:rsidR="009366FC" w:rsidRPr="009B5653">
              <w:rPr>
                <w:b/>
                <w:bCs/>
                <w:sz w:val="22"/>
                <w:szCs w:val="22"/>
              </w:rPr>
              <w:t> </w:t>
            </w:r>
            <w:r w:rsidRPr="009B5653">
              <w:rPr>
                <w:b/>
                <w:bCs/>
                <w:sz w:val="22"/>
                <w:szCs w:val="22"/>
              </w:rPr>
              <w:t>septembre 2025)</w:t>
            </w:r>
          </w:p>
        </w:tc>
      </w:tr>
    </w:tbl>
    <w:p w14:paraId="2D1EC328" w14:textId="0AB9A22D" w:rsidR="00517A03" w:rsidRPr="009B5653" w:rsidRDefault="00517A03" w:rsidP="009B5653">
      <w:pPr>
        <w:rPr>
          <w:sz w:val="22"/>
          <w:szCs w:val="22"/>
        </w:rPr>
      </w:pPr>
      <w:bookmarkStart w:id="1" w:name="StartTyping_F"/>
      <w:bookmarkEnd w:id="1"/>
      <w:r w:rsidRPr="009B5653">
        <w:rPr>
          <w:sz w:val="22"/>
          <w:szCs w:val="22"/>
        </w:rPr>
        <w:t>Madame, Monsieur,</w:t>
      </w:r>
    </w:p>
    <w:p w14:paraId="60ED038D" w14:textId="7310844F" w:rsidR="0038721D" w:rsidRPr="009B5653" w:rsidRDefault="0038721D" w:rsidP="0038721D">
      <w:pPr>
        <w:rPr>
          <w:bCs/>
          <w:sz w:val="22"/>
          <w:szCs w:val="22"/>
        </w:rPr>
      </w:pPr>
      <w:r w:rsidRPr="009B5653">
        <w:rPr>
          <w:bCs/>
          <w:sz w:val="22"/>
          <w:szCs w:val="22"/>
        </w:rPr>
        <w:t>1</w:t>
      </w:r>
      <w:r w:rsidRPr="009B5653">
        <w:rPr>
          <w:bCs/>
          <w:sz w:val="22"/>
          <w:szCs w:val="22"/>
        </w:rPr>
        <w:tab/>
        <w:t>La Commission d'études 2 de l'UIT-T (</w:t>
      </w:r>
      <w:r w:rsidRPr="009B5653">
        <w:rPr>
          <w:bCs/>
          <w:i/>
          <w:iCs/>
          <w:sz w:val="22"/>
          <w:szCs w:val="22"/>
        </w:rPr>
        <w:t>Aspects opérationnels de la fourniture de services et de la gestion des télécommunications</w:t>
      </w:r>
      <w:r w:rsidRPr="009B5653">
        <w:rPr>
          <w:bCs/>
          <w:sz w:val="22"/>
          <w:szCs w:val="22"/>
        </w:rPr>
        <w:t>) a l'intention d'appliquer la procédure d'approbation traditionnelle énoncée dans la section 9 de la Résolution 1 (Rév. New Delhi, 2024) de l'AMNT pour l'approbation du projet de texte mentionné ci-dessus à sa prochaine réunion, qui se tiendra le</w:t>
      </w:r>
      <w:r w:rsidR="00B54C56" w:rsidRPr="009B5653">
        <w:rPr>
          <w:bCs/>
          <w:sz w:val="22"/>
          <w:szCs w:val="22"/>
        </w:rPr>
        <w:t> </w:t>
      </w:r>
      <w:r w:rsidRPr="009B5653">
        <w:rPr>
          <w:bCs/>
          <w:sz w:val="22"/>
          <w:szCs w:val="22"/>
        </w:rPr>
        <w:t>5</w:t>
      </w:r>
      <w:r w:rsidR="00B54C56" w:rsidRPr="009B5653">
        <w:rPr>
          <w:bCs/>
          <w:sz w:val="22"/>
          <w:szCs w:val="22"/>
        </w:rPr>
        <w:t> </w:t>
      </w:r>
      <w:r w:rsidRPr="009B5653">
        <w:rPr>
          <w:bCs/>
          <w:sz w:val="22"/>
          <w:szCs w:val="22"/>
        </w:rPr>
        <w:t xml:space="preserve">septembre 2025. L'ordre du jour et tous les renseignements utiles concernant la réunion de la Commission d'études 2 de l'UIT-T pourront être consultés dans la </w:t>
      </w:r>
      <w:hyperlink r:id="rId13" w:history="1">
        <w:r w:rsidRPr="009B5653">
          <w:rPr>
            <w:rStyle w:val="Hyperlink"/>
            <w:bCs/>
            <w:sz w:val="22"/>
            <w:szCs w:val="22"/>
          </w:rPr>
          <w:t>Lettre collective 3/2</w:t>
        </w:r>
      </w:hyperlink>
      <w:r w:rsidRPr="009B5653">
        <w:rPr>
          <w:bCs/>
          <w:sz w:val="22"/>
          <w:szCs w:val="22"/>
        </w:rPr>
        <w:t>.</w:t>
      </w:r>
    </w:p>
    <w:p w14:paraId="7FAE167B" w14:textId="77777777" w:rsidR="0038721D" w:rsidRPr="009B5653" w:rsidRDefault="0038721D" w:rsidP="0038721D">
      <w:pPr>
        <w:rPr>
          <w:bCs/>
          <w:sz w:val="22"/>
          <w:szCs w:val="22"/>
        </w:rPr>
      </w:pPr>
      <w:r w:rsidRPr="009B5653">
        <w:rPr>
          <w:bCs/>
          <w:sz w:val="22"/>
          <w:szCs w:val="22"/>
        </w:rPr>
        <w:t>2</w:t>
      </w:r>
      <w:r w:rsidRPr="009B5653">
        <w:rPr>
          <w:bCs/>
          <w:sz w:val="22"/>
          <w:szCs w:val="22"/>
        </w:rPr>
        <w:tab/>
        <w:t>On trouvera dans l'</w:t>
      </w:r>
      <w:r w:rsidRPr="009B5653">
        <w:rPr>
          <w:b/>
          <w:sz w:val="22"/>
          <w:szCs w:val="22"/>
        </w:rPr>
        <w:t>Annexe 1</w:t>
      </w:r>
      <w:r w:rsidRPr="009B5653">
        <w:rPr>
          <w:bCs/>
          <w:sz w:val="22"/>
          <w:szCs w:val="22"/>
        </w:rPr>
        <w:t xml:space="preserve"> le titre, le résumé et l'emplacement des projets de texte de l'UIT-T qu'il est proposé d'approuver.</w:t>
      </w:r>
    </w:p>
    <w:p w14:paraId="54A159DA" w14:textId="209D23E9" w:rsidR="0038721D" w:rsidRPr="009B5653" w:rsidRDefault="0038721D" w:rsidP="0038721D">
      <w:pPr>
        <w:rPr>
          <w:bCs/>
          <w:sz w:val="22"/>
          <w:szCs w:val="22"/>
        </w:rPr>
      </w:pPr>
      <w:r w:rsidRPr="009B5653">
        <w:rPr>
          <w:bCs/>
          <w:sz w:val="22"/>
          <w:szCs w:val="22"/>
        </w:rPr>
        <w:t>3</w:t>
      </w:r>
      <w:r w:rsidRPr="009B5653">
        <w:rPr>
          <w:bCs/>
          <w:sz w:val="22"/>
          <w:szCs w:val="22"/>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w:t>
      </w:r>
      <w:r w:rsidR="00B54C56" w:rsidRPr="009B5653">
        <w:rPr>
          <w:bCs/>
          <w:sz w:val="22"/>
          <w:szCs w:val="22"/>
        </w:rPr>
        <w:t> </w:t>
      </w:r>
      <w:r w:rsidRPr="009B5653">
        <w:rPr>
          <w:bCs/>
          <w:sz w:val="22"/>
          <w:szCs w:val="22"/>
        </w:rPr>
        <w:t>Membres sont priés de remplir le formulaire de l'</w:t>
      </w:r>
      <w:r w:rsidRPr="009B5653">
        <w:rPr>
          <w:b/>
          <w:sz w:val="22"/>
          <w:szCs w:val="22"/>
        </w:rPr>
        <w:t>Annexe 2</w:t>
      </w:r>
      <w:r w:rsidRPr="009B5653">
        <w:rPr>
          <w:bCs/>
          <w:sz w:val="22"/>
          <w:szCs w:val="22"/>
        </w:rPr>
        <w:t xml:space="preserve"> et de le renvoyer d'ici au</w:t>
      </w:r>
      <w:r w:rsidR="00B54C56" w:rsidRPr="009B5653">
        <w:rPr>
          <w:bCs/>
          <w:sz w:val="22"/>
          <w:szCs w:val="22"/>
        </w:rPr>
        <w:t> </w:t>
      </w:r>
      <w:r w:rsidRPr="009B5653">
        <w:rPr>
          <w:b/>
          <w:sz w:val="22"/>
          <w:szCs w:val="22"/>
        </w:rPr>
        <w:t>28</w:t>
      </w:r>
      <w:r w:rsidR="00B54C56" w:rsidRPr="009B5653">
        <w:rPr>
          <w:b/>
          <w:sz w:val="22"/>
          <w:szCs w:val="22"/>
        </w:rPr>
        <w:t> </w:t>
      </w:r>
      <w:r w:rsidRPr="009B5653">
        <w:rPr>
          <w:b/>
          <w:sz w:val="22"/>
          <w:szCs w:val="22"/>
        </w:rPr>
        <w:t>août</w:t>
      </w:r>
      <w:r w:rsidR="00B54C56" w:rsidRPr="009B5653">
        <w:rPr>
          <w:b/>
          <w:sz w:val="22"/>
          <w:szCs w:val="22"/>
        </w:rPr>
        <w:t> </w:t>
      </w:r>
      <w:r w:rsidRPr="009B5653">
        <w:rPr>
          <w:b/>
          <w:sz w:val="22"/>
          <w:szCs w:val="22"/>
        </w:rPr>
        <w:t>2025</w:t>
      </w:r>
      <w:r w:rsidRPr="009B5653">
        <w:rPr>
          <w:bCs/>
          <w:sz w:val="22"/>
          <w:szCs w:val="22"/>
        </w:rPr>
        <w:t xml:space="preserve"> à</w:t>
      </w:r>
      <w:r w:rsidR="00B54C56" w:rsidRPr="009B5653">
        <w:rPr>
          <w:bCs/>
          <w:sz w:val="22"/>
          <w:szCs w:val="22"/>
        </w:rPr>
        <w:t> </w:t>
      </w:r>
      <w:r w:rsidRPr="009B5653">
        <w:rPr>
          <w:bCs/>
          <w:sz w:val="22"/>
          <w:szCs w:val="22"/>
        </w:rPr>
        <w:t>23 h 59 (UTC).</w:t>
      </w:r>
    </w:p>
    <w:p w14:paraId="4D00F30F" w14:textId="77777777" w:rsidR="0038721D" w:rsidRPr="009B5653" w:rsidRDefault="0038721D" w:rsidP="009B5653">
      <w:pPr>
        <w:rPr>
          <w:bCs/>
          <w:sz w:val="22"/>
          <w:szCs w:val="22"/>
        </w:rPr>
      </w:pPr>
      <w:r w:rsidRPr="009B5653">
        <w:rPr>
          <w:bCs/>
          <w:sz w:val="22"/>
          <w:szCs w:val="22"/>
        </w:rPr>
        <w:t>Les États Membres qui n'autorisent pas la commission d'études à procéder ainsi doivent informer le Directeur du TSB des motifs de cette décision et lui faire part des éventuelles modifications qui permettraient la poursuite des travaux.</w:t>
      </w:r>
    </w:p>
    <w:p w14:paraId="46F2C3C2" w14:textId="387971BF" w:rsidR="00307FB4" w:rsidRPr="009B5653" w:rsidRDefault="0038721D" w:rsidP="009B5653">
      <w:pPr>
        <w:rPr>
          <w:bCs/>
          <w:sz w:val="22"/>
          <w:szCs w:val="22"/>
        </w:rPr>
      </w:pPr>
      <w:r w:rsidRPr="009B5653">
        <w:rPr>
          <w:bCs/>
          <w:sz w:val="22"/>
          <w:szCs w:val="22"/>
        </w:rPr>
        <w:t>Veuillez agréer, Madame, Monsieur, l'assurance de ma considération distinguée.</w:t>
      </w:r>
    </w:p>
    <w:p w14:paraId="558FB742" w14:textId="2659E4A8" w:rsidR="002937DB" w:rsidRPr="009B5653" w:rsidRDefault="00435F87" w:rsidP="008F6157">
      <w:pPr>
        <w:spacing w:before="840"/>
        <w:rPr>
          <w:bCs/>
          <w:sz w:val="22"/>
          <w:szCs w:val="22"/>
        </w:rPr>
      </w:pPr>
      <w:r>
        <w:rPr>
          <w:bCs/>
          <w:noProof/>
          <w:sz w:val="22"/>
          <w:szCs w:val="22"/>
        </w:rPr>
        <w:drawing>
          <wp:anchor distT="0" distB="0" distL="114300" distR="114300" simplePos="0" relativeHeight="251658240" behindDoc="1" locked="0" layoutInCell="1" allowOverlap="1" wp14:anchorId="61A5C30B" wp14:editId="0C868929">
            <wp:simplePos x="0" y="0"/>
            <wp:positionH relativeFrom="margin">
              <wp:align>left</wp:align>
            </wp:positionH>
            <wp:positionV relativeFrom="paragraph">
              <wp:posOffset>81280</wp:posOffset>
            </wp:positionV>
            <wp:extent cx="692186" cy="330217"/>
            <wp:effectExtent l="0" t="0" r="0" b="0"/>
            <wp:wrapNone/>
            <wp:docPr id="138328973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89733" name="Picture 2"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9B5653">
        <w:rPr>
          <w:bCs/>
          <w:sz w:val="22"/>
          <w:szCs w:val="22"/>
        </w:rPr>
        <w:t>Seizo Onoe</w:t>
      </w:r>
      <w:r w:rsidR="00B60868" w:rsidRPr="009B5653">
        <w:rPr>
          <w:bCs/>
          <w:sz w:val="22"/>
          <w:szCs w:val="22"/>
        </w:rPr>
        <w:br/>
      </w:r>
      <w:r w:rsidR="00307FB4" w:rsidRPr="009B5653">
        <w:rPr>
          <w:bCs/>
          <w:sz w:val="22"/>
          <w:szCs w:val="22"/>
        </w:rPr>
        <w:t>Directeur du Bureau de la normalisation</w:t>
      </w:r>
      <w:r w:rsidR="00B60868" w:rsidRPr="009B5653">
        <w:rPr>
          <w:bCs/>
          <w:sz w:val="22"/>
          <w:szCs w:val="22"/>
        </w:rPr>
        <w:br/>
      </w:r>
      <w:r w:rsidR="00307FB4" w:rsidRPr="009B5653">
        <w:rPr>
          <w:bCs/>
          <w:sz w:val="22"/>
          <w:szCs w:val="22"/>
        </w:rPr>
        <w:t>des télécommunications</w:t>
      </w:r>
    </w:p>
    <w:p w14:paraId="7E86C139" w14:textId="4BB4CB3B" w:rsidR="0038721D" w:rsidRPr="009B5653" w:rsidRDefault="0038721D" w:rsidP="009B5653">
      <w:pPr>
        <w:rPr>
          <w:bCs/>
          <w:sz w:val="22"/>
          <w:szCs w:val="22"/>
        </w:rPr>
      </w:pPr>
      <w:proofErr w:type="gramStart"/>
      <w:r w:rsidRPr="009B5653">
        <w:rPr>
          <w:b/>
          <w:sz w:val="22"/>
          <w:szCs w:val="22"/>
        </w:rPr>
        <w:t>Annexes</w:t>
      </w:r>
      <w:r w:rsidRPr="009B5653">
        <w:rPr>
          <w:bCs/>
          <w:sz w:val="22"/>
          <w:szCs w:val="22"/>
        </w:rPr>
        <w:t>:</w:t>
      </w:r>
      <w:proofErr w:type="gramEnd"/>
      <w:r w:rsidRPr="009B5653">
        <w:rPr>
          <w:bCs/>
          <w:sz w:val="22"/>
          <w:szCs w:val="22"/>
        </w:rPr>
        <w:tab/>
        <w:t>2</w:t>
      </w:r>
    </w:p>
    <w:p w14:paraId="4F21ECF5" w14:textId="1BF39EE3" w:rsidR="0038721D" w:rsidRPr="00477970" w:rsidRDefault="0038721D" w:rsidP="0038721D">
      <w:pPr>
        <w:pStyle w:val="AnnexTitle"/>
        <w:rPr>
          <w:bCs/>
          <w:sz w:val="28"/>
          <w:szCs w:val="28"/>
        </w:rPr>
      </w:pPr>
      <w:r w:rsidRPr="00477970">
        <w:rPr>
          <w:sz w:val="28"/>
          <w:szCs w:val="28"/>
        </w:rPr>
        <w:lastRenderedPageBreak/>
        <w:t>Annexe 1</w:t>
      </w:r>
      <w:r w:rsidRPr="00477970">
        <w:rPr>
          <w:sz w:val="28"/>
          <w:szCs w:val="28"/>
        </w:rPr>
        <w:br/>
      </w:r>
      <w:r w:rsidRPr="00477970">
        <w:rPr>
          <w:bCs/>
          <w:sz w:val="28"/>
          <w:szCs w:val="28"/>
        </w:rPr>
        <w:t>Résumé et emplacement du texte déterminé des projets de Recommandations</w:t>
      </w:r>
      <w:r w:rsidR="00431936" w:rsidRPr="00477970">
        <w:rPr>
          <w:bCs/>
          <w:sz w:val="28"/>
          <w:szCs w:val="28"/>
        </w:rPr>
        <w:br/>
      </w:r>
      <w:r w:rsidRPr="00477970">
        <w:rPr>
          <w:bCs/>
          <w:sz w:val="28"/>
          <w:szCs w:val="28"/>
        </w:rPr>
        <w:t>révisées UIT-T E.118, UIT-T E.156, UIT-T E.164 et du projet de</w:t>
      </w:r>
      <w:r w:rsidR="00431936" w:rsidRPr="00477970">
        <w:rPr>
          <w:bCs/>
          <w:sz w:val="28"/>
          <w:szCs w:val="28"/>
        </w:rPr>
        <w:br/>
      </w:r>
      <w:r w:rsidRPr="00477970">
        <w:rPr>
          <w:bCs/>
          <w:sz w:val="28"/>
          <w:szCs w:val="28"/>
        </w:rPr>
        <w:t>nouvelle Recommandation UIT-T E.371</w:t>
      </w:r>
      <w:r w:rsidR="00431936" w:rsidRPr="00477970">
        <w:rPr>
          <w:bCs/>
          <w:sz w:val="28"/>
          <w:szCs w:val="28"/>
        </w:rPr>
        <w:br/>
      </w:r>
      <w:r w:rsidRPr="00477970">
        <w:rPr>
          <w:bCs/>
          <w:sz w:val="28"/>
          <w:szCs w:val="28"/>
        </w:rPr>
        <w:t xml:space="preserve">(anciennement </w:t>
      </w:r>
      <w:proofErr w:type="spellStart"/>
      <w:r w:rsidRPr="00477970">
        <w:rPr>
          <w:bCs/>
          <w:sz w:val="28"/>
          <w:szCs w:val="28"/>
        </w:rPr>
        <w:t>E.dit</w:t>
      </w:r>
      <w:proofErr w:type="spellEnd"/>
      <w:r w:rsidRPr="00477970">
        <w:rPr>
          <w:bCs/>
          <w:sz w:val="28"/>
          <w:szCs w:val="28"/>
        </w:rPr>
        <w:t>)</w:t>
      </w:r>
    </w:p>
    <w:p w14:paraId="638C656B" w14:textId="5789BF7A" w:rsidR="0038721D" w:rsidRPr="00477970" w:rsidRDefault="0038721D" w:rsidP="00CD36AC">
      <w:pPr>
        <w:pStyle w:val="Heading1"/>
      </w:pPr>
      <w:r w:rsidRPr="00477970">
        <w:t>1</w:t>
      </w:r>
      <w:r w:rsidRPr="00477970">
        <w:tab/>
        <w:t>Projet de Recommandation UIT-T E.118 révisée [</w:t>
      </w:r>
      <w:hyperlink r:id="rId15" w:history="1">
        <w:r w:rsidRPr="00477970">
          <w:rPr>
            <w:rStyle w:val="Hyperlink"/>
          </w:rPr>
          <w:t>SG2-R4</w:t>
        </w:r>
      </w:hyperlink>
      <w:r w:rsidRPr="00477970">
        <w:t>]</w:t>
      </w:r>
    </w:p>
    <w:p w14:paraId="1C1BA1B9" w14:textId="49902BE7" w:rsidR="0038721D" w:rsidRPr="00477970" w:rsidRDefault="0038721D" w:rsidP="0038721D">
      <w:pPr>
        <w:rPr>
          <w:bCs/>
        </w:rPr>
      </w:pPr>
      <w:r w:rsidRPr="00477970">
        <w:rPr>
          <w:bCs/>
        </w:rPr>
        <w:t>Ressources de numérotage des cartes visant à identifier les comptes pour la facturation des services de télécommunication</w:t>
      </w:r>
    </w:p>
    <w:p w14:paraId="6B18069A" w14:textId="77777777" w:rsidR="0038721D" w:rsidRPr="00477970" w:rsidRDefault="0038721D" w:rsidP="00CD36AC">
      <w:pPr>
        <w:pStyle w:val="headingb"/>
      </w:pPr>
      <w:r w:rsidRPr="00477970">
        <w:t>Résumé</w:t>
      </w:r>
    </w:p>
    <w:p w14:paraId="13C23E54" w14:textId="77777777" w:rsidR="0038721D" w:rsidRPr="00477970" w:rsidRDefault="0038721D" w:rsidP="0038721D">
      <w:pPr>
        <w:rPr>
          <w:bCs/>
        </w:rPr>
      </w:pPr>
      <w:r w:rsidRPr="00477970">
        <w:rPr>
          <w:bCs/>
        </w:rPr>
        <w:t>Cette Recommandation contient des spécifications sur le format et les critères d'attribution des numéros, appelés "numéros de compte primaires", qui permettent d'identifier les comptes à utiliser pour la facturation des services de télécommunication. Dans le cas des modules d'identité d'abonné (SIM) et des modules d'identité d'abonné incorporé (</w:t>
      </w:r>
      <w:proofErr w:type="spellStart"/>
      <w:r w:rsidRPr="00477970">
        <w:rPr>
          <w:bCs/>
        </w:rPr>
        <w:t>eSIM</w:t>
      </w:r>
      <w:proofErr w:type="spellEnd"/>
      <w:r w:rsidRPr="00477970">
        <w:rPr>
          <w:bCs/>
        </w:rPr>
        <w:t>), les numéros de compte primaires désignent également le numéro d'identification de carte à puce (ICCID) ou le numéro de série de la carte SIM. Le numéro de compte primaire est un numéro unique qui identifie une carte à circuit intégré universelle (UICC), un profil au sein d'une carte UICC intégrée (</w:t>
      </w:r>
      <w:proofErr w:type="spellStart"/>
      <w:r w:rsidRPr="00477970">
        <w:rPr>
          <w:bCs/>
        </w:rPr>
        <w:t>eUICC</w:t>
      </w:r>
      <w:proofErr w:type="spellEnd"/>
      <w:r w:rsidRPr="00477970">
        <w:rPr>
          <w:bCs/>
        </w:rPr>
        <w:t>) ou une carte de facturation.</w:t>
      </w:r>
    </w:p>
    <w:p w14:paraId="1DDDE413" w14:textId="77777777" w:rsidR="0038721D" w:rsidRPr="00477970" w:rsidRDefault="0038721D" w:rsidP="0038721D">
      <w:pPr>
        <w:rPr>
          <w:bCs/>
        </w:rPr>
      </w:pPr>
      <w:r w:rsidRPr="00477970">
        <w:rPr>
          <w:bCs/>
        </w:rPr>
        <w:t>Cette Recommandation utilise les indicateurs d'activité économique (MII) assignés à l'UIT-T conformément à la norme ISO/CEI 7812-1 à des fins de télécommunications.</w:t>
      </w:r>
    </w:p>
    <w:p w14:paraId="64837249" w14:textId="77777777" w:rsidR="0038721D" w:rsidRPr="00477970" w:rsidRDefault="0038721D" w:rsidP="0038721D">
      <w:pPr>
        <w:rPr>
          <w:bCs/>
        </w:rPr>
      </w:pPr>
      <w:r w:rsidRPr="00477970">
        <w:rPr>
          <w:bCs/>
        </w:rPr>
        <w:t>Un numéro de compte primaire est généré par un émetteur, lequel est identifié par un numéro d'identification de l'entité incluant un numéro identificateur d'entité émettrice (IIN). Sur la base des critères définis dans la Recommandation, les numéros IIN sont assignés par le TSB, pour les numéros IIN mondiaux partagés, ou par l'administrateur de plan de numérotage national identifié par le code de pays, pour la zone géographique concernée. Les numéros IIN mondiaux partagés sont assignés par le Directeur du TSB conformément à la Recommandation UIT-T E.118.1.</w:t>
      </w:r>
    </w:p>
    <w:p w14:paraId="21C43C01" w14:textId="77777777" w:rsidR="0038721D" w:rsidRPr="00477970" w:rsidRDefault="0038721D" w:rsidP="0038721D">
      <w:pPr>
        <w:rPr>
          <w:bCs/>
        </w:rPr>
      </w:pPr>
      <w:r w:rsidRPr="00477970">
        <w:rPr>
          <w:bCs/>
        </w:rPr>
        <w:t>Les cartes de facturation émises en application des dispositions de cette Recommandation sont conformes aux normes appropriées de l'ISO.</w:t>
      </w:r>
    </w:p>
    <w:p w14:paraId="003EB1E8" w14:textId="77777777" w:rsidR="0038721D" w:rsidRPr="00477970" w:rsidRDefault="0038721D" w:rsidP="0038721D">
      <w:pPr>
        <w:rPr>
          <w:bCs/>
        </w:rPr>
      </w:pPr>
      <w:r w:rsidRPr="00477970">
        <w:rPr>
          <w:bCs/>
        </w:rPr>
        <w:t>Les numéros IIN sont assignés uniquement pour la génération de numéros de compte primaires conformément à la Recommandation.</w:t>
      </w:r>
    </w:p>
    <w:p w14:paraId="003BC5F6" w14:textId="0161D58A" w:rsidR="0038721D" w:rsidRPr="00477970" w:rsidRDefault="0038721D" w:rsidP="00CD36AC">
      <w:pPr>
        <w:pStyle w:val="Heading1"/>
      </w:pPr>
      <w:r w:rsidRPr="00477970">
        <w:t>2</w:t>
      </w:r>
      <w:r w:rsidRPr="00477970">
        <w:tab/>
        <w:t>Projet de Recommandation UIT-T E.156 révisée [</w:t>
      </w:r>
      <w:hyperlink r:id="rId16" w:history="1">
        <w:r w:rsidRPr="00477970">
          <w:rPr>
            <w:rStyle w:val="Hyperlink"/>
          </w:rPr>
          <w:t>SG2-R5</w:t>
        </w:r>
      </w:hyperlink>
      <w:r w:rsidRPr="00477970">
        <w:t>]</w:t>
      </w:r>
    </w:p>
    <w:p w14:paraId="10261615" w14:textId="47E8D069" w:rsidR="0038721D" w:rsidRPr="00477970" w:rsidRDefault="0038721D" w:rsidP="0038721D">
      <w:pPr>
        <w:rPr>
          <w:bCs/>
        </w:rPr>
      </w:pPr>
      <w:r w:rsidRPr="00477970">
        <w:rPr>
          <w:bCs/>
        </w:rPr>
        <w:t>Lignes directrices sur la suite à donner par l'UIT-T lorsqu'une utilisation abusive des ressources de numérotage UIT-T E.164 lui est signalée</w:t>
      </w:r>
    </w:p>
    <w:p w14:paraId="2029EFD2" w14:textId="77777777" w:rsidR="0038721D" w:rsidRPr="00477970" w:rsidRDefault="0038721D" w:rsidP="00CD36AC">
      <w:pPr>
        <w:pStyle w:val="headingb"/>
      </w:pPr>
      <w:r w:rsidRPr="00477970">
        <w:t>Résumé</w:t>
      </w:r>
    </w:p>
    <w:p w14:paraId="03E21514" w14:textId="77777777" w:rsidR="0038721D" w:rsidRPr="00477970" w:rsidRDefault="0038721D" w:rsidP="0038721D">
      <w:pPr>
        <w:rPr>
          <w:bCs/>
        </w:rPr>
      </w:pPr>
      <w:r w:rsidRPr="00477970">
        <w:rPr>
          <w:bCs/>
        </w:rPr>
        <w:t xml:space="preserve">La Recommandation UIT-T E.156 définit les procédures relatives au signalement de cas de </w:t>
      </w:r>
      <w:proofErr w:type="gramStart"/>
      <w:r w:rsidRPr="00477970">
        <w:rPr>
          <w:bCs/>
        </w:rPr>
        <w:t>présomption</w:t>
      </w:r>
      <w:proofErr w:type="gramEnd"/>
      <w:r w:rsidRPr="00477970">
        <w:rPr>
          <w:bCs/>
        </w:rPr>
        <w:t xml:space="preserve"> d'utilisation abusive de numéros et aux mesures à prendre en conséquence. Elle définit également les procédures que le Directeur du Bureau de la normalisation des télécommunications devrait mettre en œuvre lorsqu'il reçoit des rapports émanant de membres portant à son attention des cas de présomption d'utilisation abusive, y compris les méthodes permettant de faire face et de mettre fin à toute présomption d'utilisation abusive.</w:t>
      </w:r>
    </w:p>
    <w:p w14:paraId="134F5864" w14:textId="11C53E06" w:rsidR="0038721D" w:rsidRPr="00477970" w:rsidRDefault="0038721D" w:rsidP="00CD36AC">
      <w:pPr>
        <w:pStyle w:val="Heading1"/>
      </w:pPr>
      <w:r w:rsidRPr="00477970">
        <w:lastRenderedPageBreak/>
        <w:t>3</w:t>
      </w:r>
      <w:r w:rsidRPr="00477970">
        <w:tab/>
        <w:t>Projet de Recommandation UIT-T E.164 révisée [</w:t>
      </w:r>
      <w:hyperlink r:id="rId17" w:history="1">
        <w:r w:rsidRPr="00477970">
          <w:rPr>
            <w:rStyle w:val="Hyperlink"/>
          </w:rPr>
          <w:t>SG2-R6</w:t>
        </w:r>
      </w:hyperlink>
      <w:r w:rsidRPr="00477970">
        <w:t>]</w:t>
      </w:r>
    </w:p>
    <w:p w14:paraId="65FEA9AD" w14:textId="317DF33A" w:rsidR="0038721D" w:rsidRPr="00477970" w:rsidRDefault="0038721D" w:rsidP="0038721D">
      <w:pPr>
        <w:rPr>
          <w:bCs/>
        </w:rPr>
      </w:pPr>
      <w:r w:rsidRPr="00477970">
        <w:rPr>
          <w:bCs/>
        </w:rPr>
        <w:t>Plan de numérotage des télécommunications publiques internationales</w:t>
      </w:r>
    </w:p>
    <w:p w14:paraId="75C03846" w14:textId="77777777" w:rsidR="0038721D" w:rsidRPr="00477970" w:rsidRDefault="0038721D" w:rsidP="00CD36AC">
      <w:pPr>
        <w:pStyle w:val="headingb"/>
      </w:pPr>
      <w:r w:rsidRPr="00477970">
        <w:t>Résumé</w:t>
      </w:r>
    </w:p>
    <w:p w14:paraId="6A3BBAE1" w14:textId="46B5A1EA" w:rsidR="0038721D" w:rsidRPr="00477970" w:rsidRDefault="0038721D" w:rsidP="0038721D">
      <w:pPr>
        <w:rPr>
          <w:bCs/>
        </w:rPr>
      </w:pPr>
      <w:r w:rsidRPr="00477970">
        <w:rPr>
          <w:bCs/>
        </w:rPr>
        <w:t>La Recommandation UIT-T E.164 définit la structure et les fonctions des sept catégories de numéros utilisées pour les télécommunications publiques internationales – il s'agit des zones géographiques, des services mondiaux, des systèmes à satellites mobiles mondiaux et d'autres services mondiaux, des réseaux et des ressources de groupes de pays destinées aux essais et à l'Internet des objets (IoT)/aux communications de machine à machine (M2M). Pour chaque catégorie, la Recommandation décrit en détail les composantes de la structure de numérotage et l</w:t>
      </w:r>
      <w:r w:rsidR="0044090B" w:rsidRPr="00477970">
        <w:rPr>
          <w:bCs/>
        </w:rPr>
        <w:t>'</w:t>
      </w:r>
      <w:r w:rsidRPr="00477970">
        <w:rPr>
          <w:bCs/>
        </w:rPr>
        <w:t>analyse des chiffres nécessaires pour que les appels puissent être convenablement acheminés. On trouvera dans l'Annexe A des informations supplémentaires sur la structure et la fonction des numéros de télécommunications publiques internationales (ci-après désignés par le terme "numéros E.164 internationaux").</w:t>
      </w:r>
    </w:p>
    <w:p w14:paraId="107D47D9" w14:textId="290156E5" w:rsidR="0038721D" w:rsidRPr="00477970" w:rsidRDefault="0038721D" w:rsidP="00CD36AC">
      <w:pPr>
        <w:pStyle w:val="Heading1"/>
      </w:pPr>
      <w:r w:rsidRPr="00477970">
        <w:t>4</w:t>
      </w:r>
      <w:r w:rsidRPr="00477970">
        <w:tab/>
        <w:t xml:space="preserve">Projet de nouvelle Recommandation UIT-T E.371 (anciennement </w:t>
      </w:r>
      <w:proofErr w:type="spellStart"/>
      <w:r w:rsidRPr="00477970">
        <w:t>E.dit</w:t>
      </w:r>
      <w:proofErr w:type="spellEnd"/>
      <w:r w:rsidRPr="00477970">
        <w:t>) [</w:t>
      </w:r>
      <w:hyperlink r:id="rId18" w:history="1">
        <w:r w:rsidRPr="00477970">
          <w:rPr>
            <w:rStyle w:val="Hyperlink"/>
          </w:rPr>
          <w:t>SG2-R7</w:t>
        </w:r>
      </w:hyperlink>
      <w:r w:rsidRPr="00477970">
        <w:t>]</w:t>
      </w:r>
    </w:p>
    <w:p w14:paraId="3139F7D8" w14:textId="796BA3F5" w:rsidR="0038721D" w:rsidRPr="00477970" w:rsidRDefault="0038721D" w:rsidP="0038721D">
      <w:pPr>
        <w:rPr>
          <w:bCs/>
        </w:rPr>
      </w:pPr>
      <w:r w:rsidRPr="00477970">
        <w:rPr>
          <w:bCs/>
        </w:rPr>
        <w:t>Trafic considéré comme inacceptable</w:t>
      </w:r>
    </w:p>
    <w:p w14:paraId="17E5F329" w14:textId="77777777" w:rsidR="0038721D" w:rsidRPr="00477970" w:rsidRDefault="0038721D" w:rsidP="00CD36AC">
      <w:pPr>
        <w:pStyle w:val="headingb"/>
      </w:pPr>
      <w:r w:rsidRPr="00477970">
        <w:t>Résumé</w:t>
      </w:r>
    </w:p>
    <w:p w14:paraId="6BAE2FA1" w14:textId="65763034" w:rsidR="0038721D" w:rsidRPr="00477970" w:rsidRDefault="0038721D" w:rsidP="0038721D">
      <w:pPr>
        <w:rPr>
          <w:bCs/>
        </w:rPr>
      </w:pPr>
      <w:r w:rsidRPr="00477970">
        <w:rPr>
          <w:bCs/>
        </w:rPr>
        <w:t>La Recommandation E.371 donne une définition du trafic considéré comme inacceptable, c'est</w:t>
      </w:r>
      <w:r w:rsidR="001250EF" w:rsidRPr="00477970">
        <w:rPr>
          <w:bCs/>
        </w:rPr>
        <w:noBreakHyphen/>
      </w:r>
      <w:r w:rsidRPr="00477970">
        <w:rPr>
          <w:bCs/>
        </w:rPr>
        <w:t>à</w:t>
      </w:r>
      <w:r w:rsidR="001250EF" w:rsidRPr="00477970">
        <w:rPr>
          <w:bCs/>
        </w:rPr>
        <w:noBreakHyphen/>
      </w:r>
      <w:r w:rsidRPr="00477970">
        <w:rPr>
          <w:bCs/>
        </w:rPr>
        <w:t xml:space="preserve">dire inapproprié, illicite ou contraire aux conditions de service. Elle porte sur diverses activités telles que le reroutage d'appel, le contournement par services over-the-top (OTT), la fraude de type </w:t>
      </w:r>
      <w:proofErr w:type="spellStart"/>
      <w:r w:rsidR="001250EF" w:rsidRPr="00477970">
        <w:rPr>
          <w:bCs/>
        </w:rPr>
        <w:t>w</w:t>
      </w:r>
      <w:r w:rsidRPr="00477970">
        <w:rPr>
          <w:bCs/>
        </w:rPr>
        <w:t>angiri</w:t>
      </w:r>
      <w:proofErr w:type="spellEnd"/>
      <w:r w:rsidRPr="00477970">
        <w:rPr>
          <w:bCs/>
        </w:rPr>
        <w:t>, etc. ou tout autre comportement enfreignant les règles et la réglementation d'un pays.</w:t>
      </w:r>
    </w:p>
    <w:p w14:paraId="1466151F" w14:textId="77777777" w:rsidR="0038721D" w:rsidRPr="00477970" w:rsidRDefault="0038721D" w:rsidP="0038721D">
      <w:pPr>
        <w:rPr>
          <w:bCs/>
        </w:rPr>
      </w:pPr>
      <w:r w:rsidRPr="00477970">
        <w:rPr>
          <w:bCs/>
        </w:rPr>
        <w:t>Le trafic considéré comme inacceptable peut avoir des incidences considérables sur le plan juridique et éthique et en ce qui concerne le respect de la vie privée, et se traduire par des pertes financières, la compromission des informations personnelles et les atteintes à la vie privée.</w:t>
      </w:r>
    </w:p>
    <w:p w14:paraId="3B647157" w14:textId="2B4513D0" w:rsidR="00517A03" w:rsidRPr="00477970" w:rsidRDefault="0038721D" w:rsidP="0038721D">
      <w:pPr>
        <w:rPr>
          <w:bCs/>
        </w:rPr>
      </w:pPr>
      <w:r w:rsidRPr="00477970">
        <w:rPr>
          <w:bCs/>
        </w:rPr>
        <w:t>Cette Recommandation met en avant l'importance d'avoir une bonne compréhension du trafic considéré comme inacceptable et de ses conséquences potentielles. Elle vise à mettre en évidence les conséquences néfastes de ce phénomène pour la sécurité, la confidentialité et l'expérience des utilisateurs, ainsi que pour la qualité de service et la qualité d'expérience. Les solutions et les cas d'utilisation présentés dans cette Recommandation fournissent des mesures concrètes pour lutter efficacement contre le trafic inacceptable.</w:t>
      </w:r>
    </w:p>
    <w:p w14:paraId="57749443" w14:textId="2E68C434" w:rsidR="00CD36AC" w:rsidRPr="00477970" w:rsidRDefault="00CD36AC">
      <w:pPr>
        <w:tabs>
          <w:tab w:val="clear" w:pos="794"/>
          <w:tab w:val="clear" w:pos="1191"/>
          <w:tab w:val="clear" w:pos="1588"/>
          <w:tab w:val="clear" w:pos="1985"/>
        </w:tabs>
        <w:overflowPunct/>
        <w:autoSpaceDE/>
        <w:autoSpaceDN/>
        <w:adjustRightInd/>
        <w:spacing w:before="0"/>
        <w:textAlignment w:val="auto"/>
        <w:rPr>
          <w:bCs/>
        </w:rPr>
      </w:pPr>
      <w:r w:rsidRPr="00477970">
        <w:rPr>
          <w:bCs/>
        </w:rPr>
        <w:br w:type="page"/>
      </w:r>
    </w:p>
    <w:p w14:paraId="043BCE05" w14:textId="6C231A44" w:rsidR="00CD36AC" w:rsidRPr="00477970" w:rsidRDefault="00CD36AC" w:rsidP="00CD36AC">
      <w:pPr>
        <w:pStyle w:val="AnnexTitle"/>
        <w:rPr>
          <w:sz w:val="28"/>
          <w:szCs w:val="28"/>
        </w:rPr>
      </w:pPr>
      <w:r w:rsidRPr="00477970">
        <w:rPr>
          <w:sz w:val="28"/>
          <w:szCs w:val="28"/>
        </w:rPr>
        <w:lastRenderedPageBreak/>
        <w:t>Annexe 2</w:t>
      </w:r>
      <w:r w:rsidRPr="00477970">
        <w:rPr>
          <w:sz w:val="28"/>
          <w:szCs w:val="28"/>
        </w:rPr>
        <w:br/>
      </w:r>
      <w:proofErr w:type="gramStart"/>
      <w:r w:rsidRPr="00477970">
        <w:rPr>
          <w:sz w:val="28"/>
          <w:szCs w:val="28"/>
        </w:rPr>
        <w:t>Objet:</w:t>
      </w:r>
      <w:proofErr w:type="gramEnd"/>
      <w:r w:rsidRPr="00477970">
        <w:rPr>
          <w:sz w:val="28"/>
          <w:szCs w:val="28"/>
        </w:rPr>
        <w:t xml:space="preserve"> Réponse des États Membres à la Circulaire TSB 29:</w:t>
      </w:r>
      <w:r w:rsidRPr="00477970">
        <w:rPr>
          <w:sz w:val="28"/>
          <w:szCs w:val="28"/>
        </w:rPr>
        <w:br/>
        <w:t>Consultation au sujet du texte déterminé des projets de Recommandations</w:t>
      </w:r>
      <w:r w:rsidRPr="00477970">
        <w:rPr>
          <w:sz w:val="28"/>
          <w:szCs w:val="28"/>
        </w:rPr>
        <w:br/>
        <w:t>révisées UIT-T E.118, UIT-T E.156, UIT E.164 et du projet de nouvelle</w:t>
      </w:r>
      <w:r w:rsidRPr="00477970">
        <w:rPr>
          <w:sz w:val="28"/>
          <w:szCs w:val="28"/>
        </w:rPr>
        <w:br/>
        <w:t xml:space="preserve">Recommandation UIT-T E.371 (anciennement </w:t>
      </w:r>
      <w:proofErr w:type="spellStart"/>
      <w:r w:rsidRPr="00477970">
        <w:rPr>
          <w:sz w:val="28"/>
          <w:szCs w:val="28"/>
        </w:rPr>
        <w:t>E.dit</w:t>
      </w:r>
      <w:proofErr w:type="spellEnd"/>
      <w:r w:rsidRPr="0047797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202"/>
        <w:gridCol w:w="1240"/>
        <w:gridCol w:w="2047"/>
      </w:tblGrid>
      <w:tr w:rsidR="00D61545" w:rsidRPr="00477970" w14:paraId="673DF01D" w14:textId="77777777" w:rsidTr="00504086">
        <w:tc>
          <w:tcPr>
            <w:tcW w:w="1220" w:type="dxa"/>
          </w:tcPr>
          <w:p w14:paraId="2828FD0F" w14:textId="3268FE93" w:rsidR="00D61545" w:rsidRPr="00477970" w:rsidRDefault="0068663C" w:rsidP="0068663C">
            <w:pPr>
              <w:pStyle w:val="TableText"/>
              <w:jc w:val="right"/>
              <w:rPr>
                <w:b/>
                <w:bCs/>
                <w:sz w:val="24"/>
                <w:szCs w:val="24"/>
              </w:rPr>
            </w:pPr>
            <w:proofErr w:type="gramStart"/>
            <w:r w:rsidRPr="00477970">
              <w:rPr>
                <w:b/>
                <w:bCs/>
                <w:sz w:val="24"/>
                <w:szCs w:val="24"/>
              </w:rPr>
              <w:t>Au</w:t>
            </w:r>
            <w:r w:rsidR="00D61545" w:rsidRPr="00477970">
              <w:rPr>
                <w:b/>
                <w:bCs/>
                <w:sz w:val="24"/>
                <w:szCs w:val="24"/>
              </w:rPr>
              <w:t>:</w:t>
            </w:r>
            <w:proofErr w:type="gramEnd"/>
          </w:p>
        </w:tc>
        <w:tc>
          <w:tcPr>
            <w:tcW w:w="5233" w:type="dxa"/>
            <w:tcBorders>
              <w:right w:val="single" w:sz="4" w:space="0" w:color="auto"/>
            </w:tcBorders>
          </w:tcPr>
          <w:p w14:paraId="4780F3E7" w14:textId="65D9D8D1" w:rsidR="00D61545" w:rsidRPr="00477970" w:rsidRDefault="00D61545" w:rsidP="00F70E64">
            <w:pPr>
              <w:pStyle w:val="TableText"/>
              <w:rPr>
                <w:sz w:val="24"/>
                <w:szCs w:val="24"/>
              </w:rPr>
            </w:pPr>
            <w:r w:rsidRPr="00477970">
              <w:rPr>
                <w:sz w:val="24"/>
                <w:szCs w:val="24"/>
              </w:rPr>
              <w:t>Directeur du Bureau de la normalisation des télécommunications</w:t>
            </w:r>
            <w:r w:rsidR="00504086" w:rsidRPr="00477970">
              <w:rPr>
                <w:sz w:val="24"/>
                <w:szCs w:val="24"/>
              </w:rPr>
              <w:br/>
            </w:r>
            <w:r w:rsidRPr="00477970">
              <w:rPr>
                <w:sz w:val="24"/>
                <w:szCs w:val="24"/>
              </w:rPr>
              <w:t>Union internationale des télécommunications</w:t>
            </w:r>
            <w:r w:rsidR="00504086" w:rsidRPr="00477970">
              <w:rPr>
                <w:sz w:val="24"/>
                <w:szCs w:val="24"/>
              </w:rPr>
              <w:br/>
            </w:r>
            <w:r w:rsidRPr="00477970">
              <w:rPr>
                <w:sz w:val="24"/>
                <w:szCs w:val="24"/>
              </w:rPr>
              <w:t>Place des Nations</w:t>
            </w:r>
            <w:r w:rsidR="00504086" w:rsidRPr="00477970">
              <w:rPr>
                <w:sz w:val="24"/>
                <w:szCs w:val="24"/>
              </w:rPr>
              <w:br/>
            </w:r>
            <w:r w:rsidRPr="00477970">
              <w:rPr>
                <w:sz w:val="24"/>
                <w:szCs w:val="24"/>
              </w:rPr>
              <w:t>CH-1211 Genève 20, Suisse</w:t>
            </w:r>
          </w:p>
        </w:tc>
        <w:tc>
          <w:tcPr>
            <w:tcW w:w="1220" w:type="dxa"/>
            <w:tcBorders>
              <w:left w:val="single" w:sz="4" w:space="0" w:color="auto"/>
            </w:tcBorders>
          </w:tcPr>
          <w:p w14:paraId="3919BB63" w14:textId="6EED487F" w:rsidR="00D61545" w:rsidRPr="00477970" w:rsidRDefault="00504086" w:rsidP="0068663C">
            <w:pPr>
              <w:pStyle w:val="TableText"/>
              <w:jc w:val="right"/>
              <w:rPr>
                <w:b/>
                <w:bCs/>
                <w:sz w:val="24"/>
                <w:szCs w:val="24"/>
              </w:rPr>
            </w:pPr>
            <w:proofErr w:type="gramStart"/>
            <w:r w:rsidRPr="00477970">
              <w:rPr>
                <w:b/>
                <w:bCs/>
                <w:sz w:val="24"/>
                <w:szCs w:val="24"/>
              </w:rPr>
              <w:t>De:</w:t>
            </w:r>
            <w:proofErr w:type="gramEnd"/>
          </w:p>
        </w:tc>
        <w:tc>
          <w:tcPr>
            <w:tcW w:w="2056" w:type="dxa"/>
          </w:tcPr>
          <w:p w14:paraId="5CA6DB5E" w14:textId="77777777" w:rsidR="00504086" w:rsidRPr="00477970" w:rsidRDefault="00504086" w:rsidP="00F70E64">
            <w:pPr>
              <w:pStyle w:val="TableText"/>
              <w:rPr>
                <w:sz w:val="24"/>
                <w:szCs w:val="24"/>
              </w:rPr>
            </w:pPr>
            <w:r w:rsidRPr="00477970">
              <w:rPr>
                <w:sz w:val="24"/>
                <w:szCs w:val="24"/>
                <w:highlight w:val="green"/>
              </w:rPr>
              <w:t>[Nom]</w:t>
            </w:r>
          </w:p>
          <w:p w14:paraId="083A7E9E" w14:textId="77777777" w:rsidR="00504086" w:rsidRPr="00477970" w:rsidRDefault="00504086" w:rsidP="00F70E64">
            <w:pPr>
              <w:pStyle w:val="TableText"/>
              <w:rPr>
                <w:sz w:val="24"/>
                <w:szCs w:val="24"/>
              </w:rPr>
            </w:pPr>
            <w:r w:rsidRPr="00477970">
              <w:rPr>
                <w:sz w:val="24"/>
                <w:szCs w:val="24"/>
                <w:highlight w:val="green"/>
              </w:rPr>
              <w:t>[Rôle/titre officiel]</w:t>
            </w:r>
          </w:p>
          <w:p w14:paraId="2B368FF8" w14:textId="4718223B" w:rsidR="00D61545" w:rsidRPr="00477970" w:rsidRDefault="00504086" w:rsidP="00F70E64">
            <w:pPr>
              <w:pStyle w:val="TableText"/>
              <w:rPr>
                <w:sz w:val="24"/>
                <w:szCs w:val="24"/>
              </w:rPr>
            </w:pPr>
            <w:r w:rsidRPr="00477970">
              <w:rPr>
                <w:sz w:val="24"/>
                <w:szCs w:val="24"/>
                <w:highlight w:val="green"/>
              </w:rPr>
              <w:t>[Adresse]</w:t>
            </w:r>
          </w:p>
        </w:tc>
      </w:tr>
      <w:tr w:rsidR="00D61545" w:rsidRPr="00477970" w14:paraId="3C294BC8" w14:textId="77777777" w:rsidTr="00504086">
        <w:tc>
          <w:tcPr>
            <w:tcW w:w="1220" w:type="dxa"/>
          </w:tcPr>
          <w:p w14:paraId="4E316C44" w14:textId="6976F5E4" w:rsidR="00D61545" w:rsidRPr="00477970" w:rsidRDefault="00D61545" w:rsidP="0068663C">
            <w:pPr>
              <w:pStyle w:val="TableText"/>
              <w:jc w:val="right"/>
              <w:rPr>
                <w:b/>
                <w:bCs/>
                <w:sz w:val="24"/>
                <w:szCs w:val="24"/>
              </w:rPr>
            </w:pPr>
            <w:proofErr w:type="gramStart"/>
            <w:r w:rsidRPr="00477970">
              <w:rPr>
                <w:b/>
                <w:bCs/>
                <w:sz w:val="24"/>
                <w:szCs w:val="24"/>
              </w:rPr>
              <w:t>Télécopie:</w:t>
            </w:r>
            <w:proofErr w:type="gramEnd"/>
          </w:p>
        </w:tc>
        <w:tc>
          <w:tcPr>
            <w:tcW w:w="5233" w:type="dxa"/>
            <w:tcBorders>
              <w:right w:val="single" w:sz="4" w:space="0" w:color="auto"/>
            </w:tcBorders>
          </w:tcPr>
          <w:p w14:paraId="59133D7A" w14:textId="13C40898" w:rsidR="00D61545" w:rsidRPr="00477970" w:rsidRDefault="00504086" w:rsidP="00F70E64">
            <w:pPr>
              <w:pStyle w:val="TableText"/>
              <w:rPr>
                <w:sz w:val="24"/>
                <w:szCs w:val="24"/>
              </w:rPr>
            </w:pPr>
            <w:r w:rsidRPr="00477970">
              <w:rPr>
                <w:sz w:val="24"/>
                <w:szCs w:val="24"/>
              </w:rPr>
              <w:t>+41-22-730-5853</w:t>
            </w:r>
          </w:p>
        </w:tc>
        <w:tc>
          <w:tcPr>
            <w:tcW w:w="1220" w:type="dxa"/>
            <w:tcBorders>
              <w:left w:val="single" w:sz="4" w:space="0" w:color="auto"/>
            </w:tcBorders>
          </w:tcPr>
          <w:p w14:paraId="522A43D1" w14:textId="58705B9A" w:rsidR="00D61545" w:rsidRPr="00477970" w:rsidRDefault="00504086" w:rsidP="0068663C">
            <w:pPr>
              <w:pStyle w:val="TableText"/>
              <w:jc w:val="right"/>
              <w:rPr>
                <w:b/>
                <w:bCs/>
                <w:sz w:val="24"/>
                <w:szCs w:val="24"/>
              </w:rPr>
            </w:pPr>
            <w:proofErr w:type="gramStart"/>
            <w:r w:rsidRPr="00477970">
              <w:rPr>
                <w:b/>
                <w:bCs/>
                <w:sz w:val="24"/>
                <w:szCs w:val="24"/>
              </w:rPr>
              <w:t>Télécopie:</w:t>
            </w:r>
            <w:proofErr w:type="gramEnd"/>
          </w:p>
        </w:tc>
        <w:tc>
          <w:tcPr>
            <w:tcW w:w="2056" w:type="dxa"/>
          </w:tcPr>
          <w:p w14:paraId="3A78823E" w14:textId="77777777" w:rsidR="00D61545" w:rsidRPr="00477970" w:rsidRDefault="00D61545" w:rsidP="00F70E64">
            <w:pPr>
              <w:pStyle w:val="TableText"/>
              <w:rPr>
                <w:sz w:val="24"/>
                <w:szCs w:val="24"/>
              </w:rPr>
            </w:pPr>
          </w:p>
        </w:tc>
      </w:tr>
      <w:tr w:rsidR="0068663C" w:rsidRPr="00477970" w14:paraId="0CA6F122" w14:textId="77777777" w:rsidTr="00504086">
        <w:tc>
          <w:tcPr>
            <w:tcW w:w="1220" w:type="dxa"/>
          </w:tcPr>
          <w:p w14:paraId="111ECA3B" w14:textId="55E48509" w:rsidR="0068663C" w:rsidRPr="00477970" w:rsidRDefault="0068663C" w:rsidP="0068663C">
            <w:pPr>
              <w:pStyle w:val="TableText"/>
              <w:jc w:val="right"/>
              <w:rPr>
                <w:b/>
                <w:bCs/>
                <w:sz w:val="24"/>
                <w:szCs w:val="24"/>
              </w:rPr>
            </w:pPr>
            <w:proofErr w:type="gramStart"/>
            <w:r w:rsidRPr="00477970">
              <w:rPr>
                <w:b/>
                <w:bCs/>
                <w:sz w:val="24"/>
                <w:szCs w:val="24"/>
              </w:rPr>
              <w:t>Courriel:</w:t>
            </w:r>
            <w:proofErr w:type="gramEnd"/>
          </w:p>
        </w:tc>
        <w:tc>
          <w:tcPr>
            <w:tcW w:w="5233" w:type="dxa"/>
            <w:tcBorders>
              <w:right w:val="single" w:sz="4" w:space="0" w:color="auto"/>
            </w:tcBorders>
          </w:tcPr>
          <w:p w14:paraId="6540F1B4" w14:textId="18959089" w:rsidR="0068663C" w:rsidRPr="00477970" w:rsidRDefault="0068663C" w:rsidP="00F70E64">
            <w:pPr>
              <w:pStyle w:val="TableText"/>
              <w:rPr>
                <w:sz w:val="24"/>
                <w:szCs w:val="24"/>
              </w:rPr>
            </w:pPr>
            <w:hyperlink r:id="rId19" w:history="1">
              <w:r w:rsidRPr="00477970">
                <w:rPr>
                  <w:rStyle w:val="Hyperlink"/>
                  <w:sz w:val="24"/>
                  <w:szCs w:val="24"/>
                </w:rPr>
                <w:t>tsbdir@itu.int</w:t>
              </w:r>
            </w:hyperlink>
          </w:p>
        </w:tc>
        <w:tc>
          <w:tcPr>
            <w:tcW w:w="1220" w:type="dxa"/>
            <w:tcBorders>
              <w:left w:val="single" w:sz="4" w:space="0" w:color="auto"/>
            </w:tcBorders>
          </w:tcPr>
          <w:p w14:paraId="0785700B" w14:textId="7C18A49F" w:rsidR="0068663C" w:rsidRPr="00477970" w:rsidRDefault="0068663C" w:rsidP="0068663C">
            <w:pPr>
              <w:pStyle w:val="TableText"/>
              <w:jc w:val="right"/>
              <w:rPr>
                <w:b/>
                <w:bCs/>
                <w:sz w:val="24"/>
                <w:szCs w:val="24"/>
              </w:rPr>
            </w:pPr>
            <w:proofErr w:type="gramStart"/>
            <w:r w:rsidRPr="00477970">
              <w:rPr>
                <w:b/>
                <w:bCs/>
                <w:sz w:val="24"/>
                <w:szCs w:val="24"/>
              </w:rPr>
              <w:t>Courriel:</w:t>
            </w:r>
            <w:proofErr w:type="gramEnd"/>
          </w:p>
        </w:tc>
        <w:tc>
          <w:tcPr>
            <w:tcW w:w="2056" w:type="dxa"/>
          </w:tcPr>
          <w:p w14:paraId="25280DD2" w14:textId="77777777" w:rsidR="0068663C" w:rsidRPr="00477970" w:rsidRDefault="0068663C" w:rsidP="00F70E64">
            <w:pPr>
              <w:pStyle w:val="TableText"/>
              <w:rPr>
                <w:sz w:val="24"/>
                <w:szCs w:val="24"/>
              </w:rPr>
            </w:pPr>
          </w:p>
        </w:tc>
      </w:tr>
      <w:tr w:rsidR="00D61545" w:rsidRPr="00477970" w14:paraId="0E19D7C6" w14:textId="77777777" w:rsidTr="00504086">
        <w:tc>
          <w:tcPr>
            <w:tcW w:w="1220" w:type="dxa"/>
          </w:tcPr>
          <w:p w14:paraId="174D0788" w14:textId="77777777" w:rsidR="00D61545" w:rsidRPr="00477970" w:rsidRDefault="00D61545" w:rsidP="00F70E64">
            <w:pPr>
              <w:pStyle w:val="TableText"/>
              <w:rPr>
                <w:sz w:val="24"/>
                <w:szCs w:val="24"/>
              </w:rPr>
            </w:pPr>
          </w:p>
        </w:tc>
        <w:tc>
          <w:tcPr>
            <w:tcW w:w="5233" w:type="dxa"/>
            <w:tcBorders>
              <w:right w:val="single" w:sz="4" w:space="0" w:color="auto"/>
            </w:tcBorders>
          </w:tcPr>
          <w:p w14:paraId="0126B803" w14:textId="77777777" w:rsidR="00D61545" w:rsidRPr="00477970" w:rsidRDefault="00D61545" w:rsidP="00F70E64">
            <w:pPr>
              <w:pStyle w:val="TableText"/>
              <w:rPr>
                <w:sz w:val="24"/>
                <w:szCs w:val="24"/>
              </w:rPr>
            </w:pPr>
          </w:p>
        </w:tc>
        <w:tc>
          <w:tcPr>
            <w:tcW w:w="1220" w:type="dxa"/>
            <w:tcBorders>
              <w:left w:val="single" w:sz="4" w:space="0" w:color="auto"/>
            </w:tcBorders>
          </w:tcPr>
          <w:p w14:paraId="456E0921" w14:textId="3240D29C" w:rsidR="00D61545" w:rsidRPr="00477970" w:rsidRDefault="00504086" w:rsidP="0068663C">
            <w:pPr>
              <w:pStyle w:val="TableText"/>
              <w:jc w:val="right"/>
              <w:rPr>
                <w:b/>
                <w:bCs/>
                <w:sz w:val="24"/>
                <w:szCs w:val="24"/>
              </w:rPr>
            </w:pPr>
            <w:proofErr w:type="gramStart"/>
            <w:r w:rsidRPr="00477970">
              <w:rPr>
                <w:b/>
                <w:bCs/>
                <w:sz w:val="24"/>
                <w:szCs w:val="24"/>
              </w:rPr>
              <w:t>Date:</w:t>
            </w:r>
            <w:proofErr w:type="gramEnd"/>
          </w:p>
        </w:tc>
        <w:tc>
          <w:tcPr>
            <w:tcW w:w="2056" w:type="dxa"/>
          </w:tcPr>
          <w:p w14:paraId="2961201E" w14:textId="3A8F685E" w:rsidR="00D61545" w:rsidRPr="00477970" w:rsidRDefault="00504086" w:rsidP="00F70E64">
            <w:pPr>
              <w:pStyle w:val="TableText"/>
              <w:rPr>
                <w:sz w:val="24"/>
                <w:szCs w:val="24"/>
              </w:rPr>
            </w:pPr>
            <w:r w:rsidRPr="00477970">
              <w:rPr>
                <w:sz w:val="24"/>
                <w:szCs w:val="24"/>
                <w:highlight w:val="green"/>
              </w:rPr>
              <w:t>[Lieu,] [Date]</w:t>
            </w:r>
          </w:p>
        </w:tc>
      </w:tr>
    </w:tbl>
    <w:p w14:paraId="4B0319B5" w14:textId="77777777" w:rsidR="00504086" w:rsidRPr="00477970" w:rsidRDefault="00504086" w:rsidP="00504086">
      <w:r w:rsidRPr="00477970">
        <w:t>Madame, Monsieur,</w:t>
      </w:r>
    </w:p>
    <w:p w14:paraId="7F1B4EC2" w14:textId="50FE136D" w:rsidR="00D61545" w:rsidRPr="00477970" w:rsidRDefault="00504086" w:rsidP="00CF42D8">
      <w:pPr>
        <w:spacing w:after="120"/>
      </w:pPr>
      <w:r w:rsidRPr="00477970">
        <w:t>Dans le cadre de la consultation des États Membres au sujet du projet de texte déterminé dont il est question dans la Circulaire TSB 29, je vous indique par la présente l'opinion de mon administration, qui figure dans le tableau ci-après.</w:t>
      </w:r>
    </w:p>
    <w:tbl>
      <w:tblPr>
        <w:tblStyle w:val="TableGrid"/>
        <w:tblW w:w="0" w:type="auto"/>
        <w:tblLook w:val="04A0" w:firstRow="1" w:lastRow="0" w:firstColumn="1" w:lastColumn="0" w:noHBand="0" w:noVBand="1"/>
      </w:tblPr>
      <w:tblGrid>
        <w:gridCol w:w="1987"/>
        <w:gridCol w:w="7732"/>
      </w:tblGrid>
      <w:tr w:rsidR="00E0634D" w:rsidRPr="00477970" w14:paraId="60B42A0F" w14:textId="77777777" w:rsidTr="00431936">
        <w:trPr>
          <w:tblHeader/>
        </w:trPr>
        <w:tc>
          <w:tcPr>
            <w:tcW w:w="1839" w:type="dxa"/>
            <w:vAlign w:val="center"/>
          </w:tcPr>
          <w:p w14:paraId="62170244" w14:textId="064A21AB" w:rsidR="00E0634D" w:rsidRPr="00477970" w:rsidRDefault="00E0634D" w:rsidP="002F1E0F">
            <w:pPr>
              <w:pStyle w:val="TableHead"/>
              <w:rPr>
                <w:sz w:val="24"/>
                <w:szCs w:val="24"/>
              </w:rPr>
            </w:pPr>
          </w:p>
        </w:tc>
        <w:tc>
          <w:tcPr>
            <w:tcW w:w="7880" w:type="dxa"/>
          </w:tcPr>
          <w:p w14:paraId="27BEE06B" w14:textId="76145D3F" w:rsidR="00E0634D" w:rsidRPr="00477970" w:rsidRDefault="00E0634D" w:rsidP="00E0634D">
            <w:pPr>
              <w:pStyle w:val="TableHead"/>
              <w:rPr>
                <w:sz w:val="24"/>
                <w:szCs w:val="24"/>
              </w:rPr>
            </w:pPr>
            <w:r w:rsidRPr="00477970">
              <w:rPr>
                <w:sz w:val="24"/>
                <w:szCs w:val="24"/>
              </w:rPr>
              <w:t>Cochez l'une des deux cases pour chaque texte</w:t>
            </w:r>
          </w:p>
        </w:tc>
      </w:tr>
      <w:tr w:rsidR="00F70E64" w:rsidRPr="00477970" w14:paraId="54BFA672" w14:textId="77777777" w:rsidTr="00F70E64">
        <w:tc>
          <w:tcPr>
            <w:tcW w:w="1839" w:type="dxa"/>
            <w:vMerge w:val="restart"/>
            <w:vAlign w:val="center"/>
          </w:tcPr>
          <w:p w14:paraId="7ABE5C55" w14:textId="13AA5D45" w:rsidR="00F70E64" w:rsidRPr="00477970" w:rsidRDefault="00F70E64" w:rsidP="002F1E0F">
            <w:pPr>
              <w:pStyle w:val="TableText"/>
              <w:jc w:val="center"/>
              <w:rPr>
                <w:b/>
                <w:sz w:val="24"/>
                <w:szCs w:val="24"/>
              </w:rPr>
            </w:pPr>
            <w:r w:rsidRPr="00477970">
              <w:rPr>
                <w:b/>
                <w:sz w:val="24"/>
                <w:szCs w:val="24"/>
              </w:rPr>
              <w:t>Projet de Recommandation UIT-T E.118 révisée</w:t>
            </w:r>
          </w:p>
        </w:tc>
        <w:tc>
          <w:tcPr>
            <w:tcW w:w="7880" w:type="dxa"/>
          </w:tcPr>
          <w:p w14:paraId="0AAD737C" w14:textId="53BD166B" w:rsidR="00F70E64" w:rsidRPr="00477970" w:rsidRDefault="00435F87" w:rsidP="002F1E0F">
            <w:pPr>
              <w:pStyle w:val="TableText"/>
              <w:tabs>
                <w:tab w:val="clear" w:pos="284"/>
              </w:tabs>
              <w:spacing w:before="0" w:after="0"/>
              <w:ind w:left="567" w:hanging="567"/>
              <w:rPr>
                <w:sz w:val="24"/>
                <w:szCs w:val="24"/>
              </w:rPr>
            </w:pPr>
            <w:sdt>
              <w:sdtPr>
                <w:rPr>
                  <w:sz w:val="24"/>
                  <w:szCs w:val="24"/>
                </w:rPr>
                <w:id w:val="-705943451"/>
                <w14:checkbox>
                  <w14:checked w14:val="0"/>
                  <w14:checkedState w14:val="2612" w14:font="MS Gothic"/>
                  <w14:uncheckedState w14:val="2610" w14:font="MS Gothic"/>
                </w14:checkbox>
              </w:sdtPr>
              <w:sdtEndPr/>
              <w:sdtContent>
                <w:r w:rsidR="00F70E64" w:rsidRPr="00477970">
                  <w:rPr>
                    <w:rFonts w:eastAsia="MS Gothic"/>
                    <w:sz w:val="24"/>
                    <w:szCs w:val="24"/>
                  </w:rPr>
                  <w:t>☐</w:t>
                </w:r>
              </w:sdtContent>
            </w:sdt>
            <w:r w:rsidR="00F70E64" w:rsidRPr="00477970">
              <w:rPr>
                <w:sz w:val="24"/>
                <w:szCs w:val="24"/>
              </w:rPr>
              <w:tab/>
            </w:r>
            <w:r w:rsidR="00CF42D8" w:rsidRPr="00477970">
              <w:rPr>
                <w:b/>
                <w:bCs/>
                <w:sz w:val="24"/>
                <w:szCs w:val="24"/>
              </w:rPr>
              <w:t>A</w:t>
            </w:r>
            <w:r w:rsidR="00F70E64" w:rsidRPr="00477970">
              <w:rPr>
                <w:b/>
                <w:bCs/>
                <w:sz w:val="24"/>
                <w:szCs w:val="24"/>
              </w:rPr>
              <w:t xml:space="preserve">utorise </w:t>
            </w:r>
            <w:r w:rsidR="00F70E64" w:rsidRPr="00477970">
              <w:rPr>
                <w:sz w:val="24"/>
                <w:szCs w:val="24"/>
              </w:rPr>
              <w:t>la CE 2 à procéder à l'examen de ce document en vue de son approbation (dans ce cas, sélectionnez l'une des deux options</w:t>
            </w:r>
            <w:proofErr w:type="gramStart"/>
            <w:r w:rsidR="00F70E64" w:rsidRPr="00477970">
              <w:rPr>
                <w:sz w:val="24"/>
                <w:szCs w:val="24"/>
              </w:rPr>
              <w:t>):</w:t>
            </w:r>
            <w:proofErr w:type="gramEnd"/>
          </w:p>
          <w:p w14:paraId="3B3407CF" w14:textId="77777777" w:rsidR="00F70E64" w:rsidRPr="00477970" w:rsidRDefault="00435F87" w:rsidP="002F1E0F">
            <w:pPr>
              <w:pStyle w:val="TableText"/>
              <w:tabs>
                <w:tab w:val="clear" w:pos="284"/>
                <w:tab w:val="clear" w:pos="567"/>
                <w:tab w:val="clear" w:pos="851"/>
              </w:tabs>
              <w:ind w:left="593"/>
              <w:rPr>
                <w:sz w:val="24"/>
                <w:szCs w:val="24"/>
              </w:rPr>
            </w:pPr>
            <w:sdt>
              <w:sdtPr>
                <w:rPr>
                  <w:sz w:val="24"/>
                  <w:szCs w:val="24"/>
                </w:rPr>
                <w:id w:val="-1010522499"/>
                <w14:checkbox>
                  <w14:checked w14:val="0"/>
                  <w14:checkedState w14:val="2612" w14:font="MS Gothic"/>
                  <w14:uncheckedState w14:val="2610" w14:font="MS Gothic"/>
                </w14:checkbox>
              </w:sdtPr>
              <w:sdtEndPr/>
              <w:sdtContent>
                <w:r w:rsidR="00F70E64" w:rsidRPr="00477970">
                  <w:rPr>
                    <w:rFonts w:ascii="Segoe UI Symbol" w:eastAsia="MS Gothic" w:hAnsi="Segoe UI Symbol" w:cs="Segoe UI Symbol"/>
                    <w:sz w:val="24"/>
                    <w:szCs w:val="24"/>
                  </w:rPr>
                  <w:t>☐</w:t>
                </w:r>
              </w:sdtContent>
            </w:sdt>
            <w:r w:rsidR="00F70E64" w:rsidRPr="00477970">
              <w:rPr>
                <w:sz w:val="24"/>
                <w:szCs w:val="24"/>
              </w:rPr>
              <w:tab/>
              <w:t>Pas de commentaire ou de proposition de modification.</w:t>
            </w:r>
          </w:p>
          <w:p w14:paraId="73E935BE" w14:textId="561C522C" w:rsidR="00F70E64" w:rsidRPr="00477970" w:rsidRDefault="00435F87" w:rsidP="002F1E0F">
            <w:pPr>
              <w:pStyle w:val="TableText"/>
              <w:tabs>
                <w:tab w:val="clear" w:pos="284"/>
                <w:tab w:val="clear" w:pos="567"/>
                <w:tab w:val="clear" w:pos="851"/>
              </w:tabs>
              <w:ind w:left="1134" w:hanging="541"/>
              <w:rPr>
                <w:sz w:val="24"/>
                <w:szCs w:val="24"/>
              </w:rPr>
            </w:pPr>
            <w:sdt>
              <w:sdtPr>
                <w:rPr>
                  <w:sz w:val="24"/>
                  <w:szCs w:val="24"/>
                </w:rPr>
                <w:id w:val="2105455475"/>
                <w14:checkbox>
                  <w14:checked w14:val="0"/>
                  <w14:checkedState w14:val="2612" w14:font="MS Gothic"/>
                  <w14:uncheckedState w14:val="2610" w14:font="MS Gothic"/>
                </w14:checkbox>
              </w:sdtPr>
              <w:sdtEndPr/>
              <w:sdtContent>
                <w:r w:rsidR="00F70E64" w:rsidRPr="00477970">
                  <w:rPr>
                    <w:rFonts w:ascii="Segoe UI Symbol" w:eastAsia="MS Gothic" w:hAnsi="Segoe UI Symbol" w:cs="Segoe UI Symbol"/>
                    <w:sz w:val="24"/>
                    <w:szCs w:val="24"/>
                  </w:rPr>
                  <w:t>☐</w:t>
                </w:r>
              </w:sdtContent>
            </w:sdt>
            <w:r w:rsidR="00F70E64" w:rsidRPr="00477970">
              <w:rPr>
                <w:sz w:val="24"/>
                <w:szCs w:val="24"/>
              </w:rPr>
              <w:tab/>
              <w:t>Des commentaires ou propositions de modification sont joints à la présente.</w:t>
            </w:r>
          </w:p>
        </w:tc>
      </w:tr>
      <w:tr w:rsidR="00F70E64" w:rsidRPr="00477970" w14:paraId="04CAE319" w14:textId="77777777" w:rsidTr="00F70E64">
        <w:tc>
          <w:tcPr>
            <w:tcW w:w="1839" w:type="dxa"/>
            <w:vMerge/>
            <w:vAlign w:val="center"/>
          </w:tcPr>
          <w:p w14:paraId="576136F5" w14:textId="702F6F2D" w:rsidR="00F70E64" w:rsidRPr="00477970" w:rsidRDefault="00F70E64" w:rsidP="002F1E0F">
            <w:pPr>
              <w:pStyle w:val="TableText"/>
              <w:jc w:val="center"/>
              <w:rPr>
                <w:b/>
                <w:sz w:val="24"/>
                <w:szCs w:val="24"/>
              </w:rPr>
            </w:pPr>
          </w:p>
        </w:tc>
        <w:tc>
          <w:tcPr>
            <w:tcW w:w="7880" w:type="dxa"/>
          </w:tcPr>
          <w:p w14:paraId="47864326" w14:textId="1FB6086C" w:rsidR="00F70E64" w:rsidRPr="00477970" w:rsidRDefault="00435F87" w:rsidP="002F1E0F">
            <w:pPr>
              <w:pStyle w:val="TableText"/>
              <w:tabs>
                <w:tab w:val="clear" w:pos="284"/>
              </w:tabs>
              <w:ind w:left="567" w:hanging="567"/>
              <w:rPr>
                <w:sz w:val="24"/>
                <w:szCs w:val="24"/>
              </w:rPr>
            </w:pPr>
            <w:sdt>
              <w:sdtPr>
                <w:rPr>
                  <w:sz w:val="24"/>
                  <w:szCs w:val="24"/>
                </w:rPr>
                <w:id w:val="-1767383137"/>
                <w14:checkbox>
                  <w14:checked w14:val="0"/>
                  <w14:checkedState w14:val="2612" w14:font="MS Gothic"/>
                  <w14:uncheckedState w14:val="2610" w14:font="MS Gothic"/>
                </w14:checkbox>
              </w:sdtPr>
              <w:sdtEndPr/>
              <w:sdtContent>
                <w:r w:rsidR="00F70E64" w:rsidRPr="00477970">
                  <w:rPr>
                    <w:rFonts w:ascii="Segoe UI Symbol" w:eastAsia="MS Gothic" w:hAnsi="Segoe UI Symbol" w:cs="Segoe UI Symbol"/>
                    <w:sz w:val="24"/>
                    <w:szCs w:val="24"/>
                  </w:rPr>
                  <w:t>☐</w:t>
                </w:r>
              </w:sdtContent>
            </w:sdt>
            <w:r w:rsidR="00F70E64" w:rsidRPr="00477970">
              <w:rPr>
                <w:sz w:val="24"/>
                <w:szCs w:val="24"/>
              </w:rPr>
              <w:tab/>
            </w:r>
            <w:r w:rsidR="00CF42D8" w:rsidRPr="00477970">
              <w:rPr>
                <w:b/>
                <w:bCs/>
                <w:sz w:val="24"/>
                <w:szCs w:val="24"/>
              </w:rPr>
              <w:t>N</w:t>
            </w:r>
            <w:r w:rsidR="00F70E64" w:rsidRPr="00477970">
              <w:rPr>
                <w:b/>
                <w:bCs/>
                <w:sz w:val="24"/>
                <w:szCs w:val="24"/>
              </w:rPr>
              <w:t>'autorise pas</w:t>
            </w:r>
            <w:r w:rsidR="00F70E64" w:rsidRPr="00477970">
              <w:rPr>
                <w:sz w:val="24"/>
                <w:szCs w:val="24"/>
              </w:rPr>
              <w:t xml:space="preserve"> la CE 2 à procéder à l'examen de ce document en vue de son approbation (les motifs de cette décision et une description des éventuelles modifications qui permettraient la poursuite des travaux sont joints à la présente)</w:t>
            </w:r>
            <w:r w:rsidR="00CF42D8" w:rsidRPr="00477970">
              <w:rPr>
                <w:sz w:val="24"/>
                <w:szCs w:val="24"/>
              </w:rPr>
              <w:t>.</w:t>
            </w:r>
          </w:p>
        </w:tc>
      </w:tr>
      <w:tr w:rsidR="00F70E64" w:rsidRPr="00477970" w14:paraId="0CFD721E" w14:textId="77777777" w:rsidTr="00F70E64">
        <w:tc>
          <w:tcPr>
            <w:tcW w:w="1839" w:type="dxa"/>
            <w:vMerge w:val="restart"/>
            <w:vAlign w:val="center"/>
          </w:tcPr>
          <w:p w14:paraId="7676E4D6" w14:textId="5FAEA050" w:rsidR="00F70E64" w:rsidRPr="00477970" w:rsidRDefault="00F70E64" w:rsidP="002F1E0F">
            <w:pPr>
              <w:pStyle w:val="TableText"/>
              <w:jc w:val="center"/>
              <w:rPr>
                <w:b/>
                <w:sz w:val="24"/>
                <w:szCs w:val="24"/>
              </w:rPr>
            </w:pPr>
            <w:r w:rsidRPr="00477970">
              <w:rPr>
                <w:b/>
                <w:sz w:val="24"/>
                <w:szCs w:val="24"/>
              </w:rPr>
              <w:t>Projet de Recommandation UIT-T E.156 révisée</w:t>
            </w:r>
          </w:p>
        </w:tc>
        <w:tc>
          <w:tcPr>
            <w:tcW w:w="7880" w:type="dxa"/>
          </w:tcPr>
          <w:p w14:paraId="6EC4D29B" w14:textId="358F8233" w:rsidR="00F70E64" w:rsidRPr="00477970" w:rsidRDefault="00F70E64" w:rsidP="00F70E64">
            <w:pPr>
              <w:pStyle w:val="TableText"/>
              <w:tabs>
                <w:tab w:val="clear" w:pos="284"/>
              </w:tabs>
              <w:ind w:left="567" w:hanging="567"/>
              <w:rPr>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A</w:t>
            </w:r>
            <w:r w:rsidRPr="00477970">
              <w:rPr>
                <w:b/>
                <w:bCs/>
                <w:sz w:val="24"/>
                <w:szCs w:val="24"/>
              </w:rPr>
              <w:t>utorise</w:t>
            </w:r>
            <w:r w:rsidRPr="00477970">
              <w:rPr>
                <w:sz w:val="24"/>
                <w:szCs w:val="24"/>
              </w:rPr>
              <w:t xml:space="preserve"> la CE 2 </w:t>
            </w:r>
            <w:r w:rsidRPr="00477970">
              <w:rPr>
                <w:rFonts w:ascii="Calibri" w:hAnsi="Calibri" w:cs="Calibri"/>
                <w:sz w:val="24"/>
                <w:szCs w:val="24"/>
              </w:rPr>
              <w:t>à</w:t>
            </w:r>
            <w:r w:rsidRPr="00477970">
              <w:rPr>
                <w:sz w:val="24"/>
                <w:szCs w:val="24"/>
              </w:rPr>
              <w:t xml:space="preserve"> proc</w:t>
            </w:r>
            <w:r w:rsidRPr="00477970">
              <w:rPr>
                <w:rFonts w:ascii="Calibri" w:hAnsi="Calibri" w:cs="Calibri"/>
                <w:sz w:val="24"/>
                <w:szCs w:val="24"/>
              </w:rPr>
              <w:t>é</w:t>
            </w:r>
            <w:r w:rsidRPr="00477970">
              <w:rPr>
                <w:sz w:val="24"/>
                <w:szCs w:val="24"/>
              </w:rPr>
              <w:t xml:space="preserve">der </w:t>
            </w:r>
            <w:r w:rsidRPr="00477970">
              <w:rPr>
                <w:rFonts w:ascii="Calibri" w:hAnsi="Calibri" w:cs="Calibri"/>
                <w:sz w:val="24"/>
                <w:szCs w:val="24"/>
              </w:rPr>
              <w:t>à</w:t>
            </w:r>
            <w:r w:rsidRPr="00477970">
              <w:rPr>
                <w:sz w:val="24"/>
                <w:szCs w:val="24"/>
              </w:rPr>
              <w:t xml:space="preserve"> l'examen de ce document en vue de son approbation (dans ce cas, s</w:t>
            </w:r>
            <w:r w:rsidRPr="00477970">
              <w:rPr>
                <w:rFonts w:ascii="Calibri" w:hAnsi="Calibri" w:cs="Calibri"/>
                <w:sz w:val="24"/>
                <w:szCs w:val="24"/>
              </w:rPr>
              <w:t>é</w:t>
            </w:r>
            <w:r w:rsidRPr="00477970">
              <w:rPr>
                <w:sz w:val="24"/>
                <w:szCs w:val="24"/>
              </w:rPr>
              <w:t>lectionnez l'une des deux options</w:t>
            </w:r>
            <w:proofErr w:type="gramStart"/>
            <w:r w:rsidRPr="00477970">
              <w:rPr>
                <w:sz w:val="24"/>
                <w:szCs w:val="24"/>
              </w:rPr>
              <w:t>):</w:t>
            </w:r>
            <w:proofErr w:type="gramEnd"/>
          </w:p>
          <w:p w14:paraId="0FD07DC5" w14:textId="77777777" w:rsidR="00F70E64" w:rsidRPr="00477970" w:rsidRDefault="00F70E64" w:rsidP="00F70E64">
            <w:pPr>
              <w:pStyle w:val="TableText"/>
              <w:tabs>
                <w:tab w:val="clear" w:pos="851"/>
              </w:tabs>
              <w:ind w:left="595"/>
              <w:rPr>
                <w:sz w:val="24"/>
                <w:szCs w:val="24"/>
              </w:rPr>
            </w:pPr>
            <w:r w:rsidRPr="00477970">
              <w:rPr>
                <w:rFonts w:ascii="Segoe UI Symbol" w:hAnsi="Segoe UI Symbol" w:cs="Segoe UI Symbol"/>
                <w:sz w:val="24"/>
                <w:szCs w:val="24"/>
              </w:rPr>
              <w:t>☐</w:t>
            </w:r>
            <w:r w:rsidRPr="00477970">
              <w:rPr>
                <w:sz w:val="24"/>
                <w:szCs w:val="24"/>
              </w:rPr>
              <w:tab/>
              <w:t>Pas de commentaire ou de proposition de modification.</w:t>
            </w:r>
          </w:p>
          <w:p w14:paraId="4A35CCC5" w14:textId="4C75B2FA" w:rsidR="00F70E64" w:rsidRPr="00477970" w:rsidRDefault="00F70E64" w:rsidP="00F70E64">
            <w:pPr>
              <w:pStyle w:val="TableText"/>
              <w:tabs>
                <w:tab w:val="clear" w:pos="851"/>
              </w:tabs>
              <w:ind w:left="1134" w:hanging="539"/>
              <w:rPr>
                <w:sz w:val="24"/>
                <w:szCs w:val="24"/>
              </w:rPr>
            </w:pPr>
            <w:r w:rsidRPr="00477970">
              <w:rPr>
                <w:rFonts w:ascii="Segoe UI Symbol" w:hAnsi="Segoe UI Symbol" w:cs="Segoe UI Symbol"/>
                <w:sz w:val="24"/>
                <w:szCs w:val="24"/>
              </w:rPr>
              <w:t>☐</w:t>
            </w:r>
            <w:r w:rsidRPr="00477970">
              <w:rPr>
                <w:sz w:val="24"/>
                <w:szCs w:val="24"/>
              </w:rPr>
              <w:tab/>
              <w:t xml:space="preserve">Des commentaires ou propositions de modification sont joints </w:t>
            </w:r>
            <w:r w:rsidRPr="00477970">
              <w:rPr>
                <w:rFonts w:ascii="Calibri" w:hAnsi="Calibri" w:cs="Calibri"/>
                <w:sz w:val="24"/>
                <w:szCs w:val="24"/>
              </w:rPr>
              <w:t>à</w:t>
            </w:r>
            <w:r w:rsidRPr="00477970">
              <w:rPr>
                <w:sz w:val="24"/>
                <w:szCs w:val="24"/>
              </w:rPr>
              <w:t xml:space="preserve"> la pr</w:t>
            </w:r>
            <w:r w:rsidRPr="00477970">
              <w:rPr>
                <w:rFonts w:ascii="Calibri" w:hAnsi="Calibri" w:cs="Calibri"/>
                <w:sz w:val="24"/>
                <w:szCs w:val="24"/>
              </w:rPr>
              <w:t>é</w:t>
            </w:r>
            <w:r w:rsidRPr="00477970">
              <w:rPr>
                <w:sz w:val="24"/>
                <w:szCs w:val="24"/>
              </w:rPr>
              <w:t>sente.</w:t>
            </w:r>
          </w:p>
        </w:tc>
      </w:tr>
      <w:tr w:rsidR="00F70E64" w:rsidRPr="00477970" w14:paraId="1329D8AF" w14:textId="77777777" w:rsidTr="00F70E64">
        <w:tc>
          <w:tcPr>
            <w:tcW w:w="1839" w:type="dxa"/>
            <w:vMerge/>
            <w:vAlign w:val="center"/>
          </w:tcPr>
          <w:p w14:paraId="21ABE07C" w14:textId="421DB136" w:rsidR="00F70E64" w:rsidRPr="00477970" w:rsidRDefault="00F70E64" w:rsidP="002F1E0F">
            <w:pPr>
              <w:pStyle w:val="TableText"/>
              <w:jc w:val="center"/>
              <w:rPr>
                <w:b/>
                <w:sz w:val="24"/>
                <w:szCs w:val="24"/>
              </w:rPr>
            </w:pPr>
          </w:p>
        </w:tc>
        <w:tc>
          <w:tcPr>
            <w:tcW w:w="7880" w:type="dxa"/>
          </w:tcPr>
          <w:p w14:paraId="59CFC79E" w14:textId="256DD55A" w:rsidR="00F70E64" w:rsidRPr="00477970" w:rsidRDefault="00F70E64" w:rsidP="00F70E64">
            <w:pPr>
              <w:pStyle w:val="TableText"/>
              <w:tabs>
                <w:tab w:val="clear" w:pos="284"/>
              </w:tabs>
              <w:ind w:left="567" w:hanging="567"/>
              <w:rPr>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N</w:t>
            </w:r>
            <w:r w:rsidRPr="00477970">
              <w:rPr>
                <w:b/>
                <w:bCs/>
                <w:sz w:val="24"/>
                <w:szCs w:val="24"/>
              </w:rPr>
              <w:t>'autorise pas</w:t>
            </w:r>
            <w:r w:rsidRPr="00477970">
              <w:rPr>
                <w:sz w:val="24"/>
                <w:szCs w:val="24"/>
              </w:rPr>
              <w:t xml:space="preserve"> la CE 2 </w:t>
            </w:r>
            <w:r w:rsidRPr="00477970">
              <w:rPr>
                <w:rFonts w:ascii="Calibri" w:hAnsi="Calibri" w:cs="Calibri"/>
                <w:sz w:val="24"/>
                <w:szCs w:val="24"/>
              </w:rPr>
              <w:t>à</w:t>
            </w:r>
            <w:r w:rsidRPr="00477970">
              <w:rPr>
                <w:sz w:val="24"/>
                <w:szCs w:val="24"/>
              </w:rPr>
              <w:t xml:space="preserve"> proc</w:t>
            </w:r>
            <w:r w:rsidRPr="00477970">
              <w:rPr>
                <w:rFonts w:ascii="Calibri" w:hAnsi="Calibri" w:cs="Calibri"/>
                <w:sz w:val="24"/>
                <w:szCs w:val="24"/>
              </w:rPr>
              <w:t>é</w:t>
            </w:r>
            <w:r w:rsidRPr="00477970">
              <w:rPr>
                <w:sz w:val="24"/>
                <w:szCs w:val="24"/>
              </w:rPr>
              <w:t xml:space="preserve">der </w:t>
            </w:r>
            <w:r w:rsidRPr="00477970">
              <w:rPr>
                <w:rFonts w:ascii="Calibri" w:hAnsi="Calibri" w:cs="Calibri"/>
                <w:sz w:val="24"/>
                <w:szCs w:val="24"/>
              </w:rPr>
              <w:t>à</w:t>
            </w:r>
            <w:r w:rsidRPr="00477970">
              <w:rPr>
                <w:sz w:val="24"/>
                <w:szCs w:val="24"/>
              </w:rPr>
              <w:t xml:space="preserve"> l'examen de ce document en vue de son approbation (les motifs de cette d</w:t>
            </w:r>
            <w:r w:rsidRPr="00477970">
              <w:rPr>
                <w:rFonts w:ascii="Calibri" w:hAnsi="Calibri" w:cs="Calibri"/>
                <w:sz w:val="24"/>
                <w:szCs w:val="24"/>
              </w:rPr>
              <w:t>é</w:t>
            </w:r>
            <w:r w:rsidRPr="00477970">
              <w:rPr>
                <w:sz w:val="24"/>
                <w:szCs w:val="24"/>
              </w:rPr>
              <w:t xml:space="preserve">cision et une description des </w:t>
            </w:r>
            <w:r w:rsidRPr="00477970">
              <w:rPr>
                <w:rFonts w:ascii="Calibri" w:hAnsi="Calibri" w:cs="Calibri"/>
                <w:sz w:val="24"/>
                <w:szCs w:val="24"/>
              </w:rPr>
              <w:t>é</w:t>
            </w:r>
            <w:r w:rsidRPr="00477970">
              <w:rPr>
                <w:sz w:val="24"/>
                <w:szCs w:val="24"/>
              </w:rPr>
              <w:t xml:space="preserve">ventuelles modifications qui permettraient la poursuite des travaux sont joints </w:t>
            </w:r>
            <w:r w:rsidRPr="00477970">
              <w:rPr>
                <w:rFonts w:ascii="Calibri" w:hAnsi="Calibri" w:cs="Calibri"/>
                <w:sz w:val="24"/>
                <w:szCs w:val="24"/>
              </w:rPr>
              <w:t>à</w:t>
            </w:r>
            <w:r w:rsidRPr="00477970">
              <w:rPr>
                <w:sz w:val="24"/>
                <w:szCs w:val="24"/>
              </w:rPr>
              <w:t xml:space="preserve"> la pr</w:t>
            </w:r>
            <w:r w:rsidRPr="00477970">
              <w:rPr>
                <w:rFonts w:ascii="Calibri" w:hAnsi="Calibri" w:cs="Calibri"/>
                <w:sz w:val="24"/>
                <w:szCs w:val="24"/>
              </w:rPr>
              <w:t>é</w:t>
            </w:r>
            <w:r w:rsidRPr="00477970">
              <w:rPr>
                <w:sz w:val="24"/>
                <w:szCs w:val="24"/>
              </w:rPr>
              <w:t>sente)</w:t>
            </w:r>
            <w:r w:rsidR="00CF42D8" w:rsidRPr="00477970">
              <w:rPr>
                <w:sz w:val="24"/>
                <w:szCs w:val="24"/>
              </w:rPr>
              <w:t>.</w:t>
            </w:r>
          </w:p>
        </w:tc>
      </w:tr>
      <w:tr w:rsidR="00F70E64" w:rsidRPr="00477970" w14:paraId="40A8AF14" w14:textId="77777777" w:rsidTr="00F70E64">
        <w:tc>
          <w:tcPr>
            <w:tcW w:w="1839" w:type="dxa"/>
            <w:vMerge w:val="restart"/>
            <w:vAlign w:val="center"/>
          </w:tcPr>
          <w:p w14:paraId="73EA6063" w14:textId="54C5F733" w:rsidR="00F70E64" w:rsidRPr="00477970" w:rsidRDefault="00F70E64" w:rsidP="00CF42D8">
            <w:pPr>
              <w:pStyle w:val="TableText"/>
              <w:keepNext/>
              <w:keepLines/>
              <w:jc w:val="center"/>
              <w:rPr>
                <w:b/>
                <w:sz w:val="24"/>
                <w:szCs w:val="24"/>
              </w:rPr>
            </w:pPr>
            <w:r w:rsidRPr="00477970">
              <w:rPr>
                <w:b/>
                <w:sz w:val="24"/>
                <w:szCs w:val="24"/>
              </w:rPr>
              <w:lastRenderedPageBreak/>
              <w:t>Projet de Recommandation UIT-T E.164 révisée</w:t>
            </w:r>
          </w:p>
        </w:tc>
        <w:tc>
          <w:tcPr>
            <w:tcW w:w="7880" w:type="dxa"/>
          </w:tcPr>
          <w:p w14:paraId="01026B68" w14:textId="41C9CA70" w:rsidR="00F70E64" w:rsidRPr="00477970" w:rsidRDefault="00F70E64" w:rsidP="00CF42D8">
            <w:pPr>
              <w:pStyle w:val="TableText"/>
              <w:keepNext/>
              <w:keepLines/>
              <w:tabs>
                <w:tab w:val="clear" w:pos="284"/>
              </w:tabs>
              <w:ind w:left="567" w:hanging="567"/>
              <w:rPr>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A</w:t>
            </w:r>
            <w:r w:rsidRPr="00477970">
              <w:rPr>
                <w:b/>
                <w:bCs/>
                <w:sz w:val="24"/>
                <w:szCs w:val="24"/>
              </w:rPr>
              <w:t xml:space="preserve">utorise </w:t>
            </w:r>
            <w:r w:rsidRPr="00477970">
              <w:rPr>
                <w:sz w:val="24"/>
                <w:szCs w:val="24"/>
              </w:rPr>
              <w:t>la CE 2 à procéder à l'examen de ce document en vue de son approbation (dans ce cas, sélectionnez l'une des deux options</w:t>
            </w:r>
            <w:proofErr w:type="gramStart"/>
            <w:r w:rsidRPr="00477970">
              <w:rPr>
                <w:sz w:val="24"/>
                <w:szCs w:val="24"/>
              </w:rPr>
              <w:t>):</w:t>
            </w:r>
            <w:proofErr w:type="gramEnd"/>
          </w:p>
          <w:p w14:paraId="54DF209D" w14:textId="77777777" w:rsidR="00F70E64" w:rsidRPr="00477970" w:rsidRDefault="00F70E64" w:rsidP="00CF42D8">
            <w:pPr>
              <w:pStyle w:val="TableText"/>
              <w:keepNext/>
              <w:keepLines/>
              <w:tabs>
                <w:tab w:val="clear" w:pos="851"/>
              </w:tabs>
              <w:ind w:left="595"/>
              <w:rPr>
                <w:sz w:val="24"/>
                <w:szCs w:val="24"/>
              </w:rPr>
            </w:pPr>
            <w:r w:rsidRPr="00477970">
              <w:rPr>
                <w:rFonts w:ascii="Segoe UI Symbol" w:hAnsi="Segoe UI Symbol" w:cs="Segoe UI Symbol"/>
                <w:sz w:val="24"/>
                <w:szCs w:val="24"/>
              </w:rPr>
              <w:t>☐</w:t>
            </w:r>
            <w:r w:rsidRPr="00477970">
              <w:rPr>
                <w:sz w:val="24"/>
                <w:szCs w:val="24"/>
              </w:rPr>
              <w:tab/>
              <w:t>Pas de commentaire ou de proposition de modification.</w:t>
            </w:r>
          </w:p>
          <w:p w14:paraId="0180AE3B" w14:textId="0EF30AD8" w:rsidR="00F70E64" w:rsidRPr="00477970" w:rsidRDefault="00F70E64" w:rsidP="00CF42D8">
            <w:pPr>
              <w:pStyle w:val="TableText"/>
              <w:keepNext/>
              <w:keepLines/>
              <w:tabs>
                <w:tab w:val="clear" w:pos="851"/>
              </w:tabs>
              <w:ind w:left="1134" w:hanging="539"/>
              <w:rPr>
                <w:sz w:val="24"/>
                <w:szCs w:val="24"/>
              </w:rPr>
            </w:pPr>
            <w:r w:rsidRPr="00477970">
              <w:rPr>
                <w:rFonts w:ascii="Segoe UI Symbol" w:hAnsi="Segoe UI Symbol" w:cs="Segoe UI Symbol"/>
                <w:sz w:val="24"/>
                <w:szCs w:val="24"/>
              </w:rPr>
              <w:t>☐</w:t>
            </w:r>
            <w:r w:rsidRPr="00477970">
              <w:rPr>
                <w:sz w:val="24"/>
                <w:szCs w:val="24"/>
              </w:rPr>
              <w:tab/>
              <w:t xml:space="preserve">Des commentaires ou propositions de modification sont joints </w:t>
            </w:r>
            <w:r w:rsidRPr="00477970">
              <w:rPr>
                <w:rFonts w:ascii="Calibri" w:hAnsi="Calibri" w:cs="Calibri"/>
                <w:sz w:val="24"/>
                <w:szCs w:val="24"/>
              </w:rPr>
              <w:t>à</w:t>
            </w:r>
            <w:r w:rsidRPr="00477970">
              <w:rPr>
                <w:sz w:val="24"/>
                <w:szCs w:val="24"/>
              </w:rPr>
              <w:t xml:space="preserve"> la pr</w:t>
            </w:r>
            <w:r w:rsidRPr="00477970">
              <w:rPr>
                <w:rFonts w:ascii="Calibri" w:hAnsi="Calibri" w:cs="Calibri"/>
                <w:sz w:val="24"/>
                <w:szCs w:val="24"/>
              </w:rPr>
              <w:t>é</w:t>
            </w:r>
            <w:r w:rsidRPr="00477970">
              <w:rPr>
                <w:sz w:val="24"/>
                <w:szCs w:val="24"/>
              </w:rPr>
              <w:t>sente.</w:t>
            </w:r>
          </w:p>
        </w:tc>
      </w:tr>
      <w:tr w:rsidR="00F70E64" w:rsidRPr="00477970" w14:paraId="18296401" w14:textId="77777777" w:rsidTr="00F70E64">
        <w:tc>
          <w:tcPr>
            <w:tcW w:w="1839" w:type="dxa"/>
            <w:vMerge/>
            <w:vAlign w:val="center"/>
          </w:tcPr>
          <w:p w14:paraId="4CFF441B" w14:textId="77777777" w:rsidR="00F70E64" w:rsidRPr="00477970" w:rsidRDefault="00F70E64" w:rsidP="002F1E0F">
            <w:pPr>
              <w:pStyle w:val="TableText"/>
              <w:jc w:val="center"/>
              <w:rPr>
                <w:b/>
                <w:sz w:val="24"/>
                <w:szCs w:val="24"/>
              </w:rPr>
            </w:pPr>
          </w:p>
        </w:tc>
        <w:tc>
          <w:tcPr>
            <w:tcW w:w="7880" w:type="dxa"/>
          </w:tcPr>
          <w:p w14:paraId="77E49B5E" w14:textId="417EB721" w:rsidR="00F70E64" w:rsidRPr="00477970" w:rsidRDefault="00F70E64" w:rsidP="00F70E64">
            <w:pPr>
              <w:pStyle w:val="TableText"/>
              <w:tabs>
                <w:tab w:val="clear" w:pos="284"/>
              </w:tabs>
              <w:ind w:left="567" w:hanging="567"/>
              <w:rPr>
                <w:rFonts w:ascii="Segoe UI Symbol" w:hAnsi="Segoe UI Symbol" w:cs="Segoe UI Symbol"/>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N</w:t>
            </w:r>
            <w:r w:rsidRPr="00477970">
              <w:rPr>
                <w:b/>
                <w:bCs/>
                <w:sz w:val="24"/>
                <w:szCs w:val="24"/>
              </w:rPr>
              <w:t>'autorise pas</w:t>
            </w:r>
            <w:r w:rsidRPr="00477970">
              <w:rPr>
                <w:sz w:val="24"/>
                <w:szCs w:val="24"/>
              </w:rPr>
              <w:t xml:space="preserve"> la CE 2 à procéder à l'examen de ce document en vue de son approbation (les motifs de cette décision et une description des éventuelles modifications qui permettraient la poursuite des travaux sont joints à la présente)</w:t>
            </w:r>
            <w:r w:rsidR="00CF42D8" w:rsidRPr="00477970">
              <w:rPr>
                <w:sz w:val="24"/>
                <w:szCs w:val="24"/>
              </w:rPr>
              <w:t>.</w:t>
            </w:r>
          </w:p>
        </w:tc>
      </w:tr>
      <w:tr w:rsidR="00F70E64" w:rsidRPr="00477970" w14:paraId="330ED11E" w14:textId="77777777" w:rsidTr="00F70E64">
        <w:tc>
          <w:tcPr>
            <w:tcW w:w="1839" w:type="dxa"/>
            <w:vMerge w:val="restart"/>
            <w:vAlign w:val="center"/>
          </w:tcPr>
          <w:p w14:paraId="755C934B" w14:textId="7F87C9EF" w:rsidR="00F70E64" w:rsidRPr="00477970" w:rsidRDefault="00F70E64" w:rsidP="002F1E0F">
            <w:pPr>
              <w:pStyle w:val="TableText"/>
              <w:jc w:val="center"/>
              <w:rPr>
                <w:b/>
                <w:sz w:val="24"/>
                <w:szCs w:val="24"/>
              </w:rPr>
            </w:pPr>
            <w:r w:rsidRPr="00477970">
              <w:rPr>
                <w:b/>
                <w:sz w:val="24"/>
                <w:szCs w:val="24"/>
              </w:rPr>
              <w:t xml:space="preserve">Projet de nouvelle Recommandation UIT-T E.371 (anciennement </w:t>
            </w:r>
            <w:proofErr w:type="spellStart"/>
            <w:r w:rsidRPr="00477970">
              <w:rPr>
                <w:b/>
                <w:sz w:val="24"/>
                <w:szCs w:val="24"/>
              </w:rPr>
              <w:t>E.dit</w:t>
            </w:r>
            <w:proofErr w:type="spellEnd"/>
          </w:p>
        </w:tc>
        <w:tc>
          <w:tcPr>
            <w:tcW w:w="7880" w:type="dxa"/>
          </w:tcPr>
          <w:p w14:paraId="52CB718E" w14:textId="6E397A45" w:rsidR="00F70E64" w:rsidRPr="00477970" w:rsidRDefault="00F70E64" w:rsidP="004B37CF">
            <w:pPr>
              <w:pStyle w:val="TableText"/>
              <w:tabs>
                <w:tab w:val="clear" w:pos="284"/>
              </w:tabs>
              <w:ind w:left="567" w:hanging="567"/>
              <w:rPr>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A</w:t>
            </w:r>
            <w:r w:rsidRPr="00477970">
              <w:rPr>
                <w:b/>
                <w:bCs/>
                <w:sz w:val="24"/>
                <w:szCs w:val="24"/>
              </w:rPr>
              <w:t>utorise</w:t>
            </w:r>
            <w:r w:rsidRPr="00477970">
              <w:rPr>
                <w:sz w:val="24"/>
                <w:szCs w:val="24"/>
              </w:rPr>
              <w:t xml:space="preserve"> la CE 2 à procéder à l'examen de ce document en vue de son approbation (dans ce cas, sélectionnez l'une des deux options</w:t>
            </w:r>
            <w:proofErr w:type="gramStart"/>
            <w:r w:rsidRPr="00477970">
              <w:rPr>
                <w:sz w:val="24"/>
                <w:szCs w:val="24"/>
              </w:rPr>
              <w:t>):</w:t>
            </w:r>
            <w:proofErr w:type="gramEnd"/>
          </w:p>
          <w:p w14:paraId="61D03E88" w14:textId="77777777" w:rsidR="00F70E64" w:rsidRPr="00477970" w:rsidRDefault="00F70E64" w:rsidP="004B37CF">
            <w:pPr>
              <w:pStyle w:val="TableText"/>
              <w:tabs>
                <w:tab w:val="clear" w:pos="851"/>
              </w:tabs>
              <w:ind w:left="595"/>
              <w:rPr>
                <w:sz w:val="24"/>
                <w:szCs w:val="24"/>
              </w:rPr>
            </w:pPr>
            <w:r w:rsidRPr="00477970">
              <w:rPr>
                <w:rFonts w:ascii="Segoe UI Symbol" w:hAnsi="Segoe UI Symbol" w:cs="Segoe UI Symbol"/>
                <w:sz w:val="24"/>
                <w:szCs w:val="24"/>
              </w:rPr>
              <w:t>☐</w:t>
            </w:r>
            <w:r w:rsidRPr="00477970">
              <w:rPr>
                <w:sz w:val="24"/>
                <w:szCs w:val="24"/>
              </w:rPr>
              <w:tab/>
              <w:t>Pas de commentaire ou de proposition de modification.</w:t>
            </w:r>
          </w:p>
          <w:p w14:paraId="7B8B88DF" w14:textId="0CFBE178" w:rsidR="00F70E64" w:rsidRPr="00477970" w:rsidRDefault="00F70E64" w:rsidP="004B37CF">
            <w:pPr>
              <w:pStyle w:val="TableText"/>
              <w:tabs>
                <w:tab w:val="clear" w:pos="851"/>
              </w:tabs>
              <w:ind w:left="1134" w:hanging="539"/>
              <w:rPr>
                <w:sz w:val="24"/>
                <w:szCs w:val="24"/>
              </w:rPr>
            </w:pPr>
            <w:r w:rsidRPr="00477970">
              <w:rPr>
                <w:rFonts w:ascii="Segoe UI Symbol" w:hAnsi="Segoe UI Symbol" w:cs="Segoe UI Symbol"/>
                <w:sz w:val="24"/>
                <w:szCs w:val="24"/>
              </w:rPr>
              <w:t>☐</w:t>
            </w:r>
            <w:r w:rsidRPr="00477970">
              <w:rPr>
                <w:sz w:val="24"/>
                <w:szCs w:val="24"/>
              </w:rPr>
              <w:tab/>
              <w:t xml:space="preserve">Des commentaires ou propositions de modification sont joints </w:t>
            </w:r>
            <w:r w:rsidRPr="00477970">
              <w:rPr>
                <w:rFonts w:ascii="Calibri" w:hAnsi="Calibri" w:cs="Calibri"/>
                <w:sz w:val="24"/>
                <w:szCs w:val="24"/>
              </w:rPr>
              <w:t>à</w:t>
            </w:r>
            <w:r w:rsidRPr="00477970">
              <w:rPr>
                <w:sz w:val="24"/>
                <w:szCs w:val="24"/>
              </w:rPr>
              <w:t xml:space="preserve"> la pr</w:t>
            </w:r>
            <w:r w:rsidRPr="00477970">
              <w:rPr>
                <w:rFonts w:ascii="Calibri" w:hAnsi="Calibri" w:cs="Calibri"/>
                <w:sz w:val="24"/>
                <w:szCs w:val="24"/>
              </w:rPr>
              <w:t>é</w:t>
            </w:r>
            <w:r w:rsidRPr="00477970">
              <w:rPr>
                <w:sz w:val="24"/>
                <w:szCs w:val="24"/>
              </w:rPr>
              <w:t>sente.</w:t>
            </w:r>
          </w:p>
        </w:tc>
      </w:tr>
      <w:tr w:rsidR="00F70E64" w:rsidRPr="00477970" w14:paraId="270848C9" w14:textId="77777777" w:rsidTr="00F70E64">
        <w:tc>
          <w:tcPr>
            <w:tcW w:w="1839" w:type="dxa"/>
            <w:vMerge/>
            <w:vAlign w:val="center"/>
          </w:tcPr>
          <w:p w14:paraId="26BCF7E4" w14:textId="77777777" w:rsidR="00F70E64" w:rsidRPr="00477970" w:rsidRDefault="00F70E64" w:rsidP="002F1E0F">
            <w:pPr>
              <w:pStyle w:val="TableText"/>
              <w:jc w:val="center"/>
              <w:rPr>
                <w:b/>
                <w:sz w:val="24"/>
                <w:szCs w:val="24"/>
              </w:rPr>
            </w:pPr>
          </w:p>
        </w:tc>
        <w:tc>
          <w:tcPr>
            <w:tcW w:w="7880" w:type="dxa"/>
          </w:tcPr>
          <w:p w14:paraId="3A7EA18C" w14:textId="354438D1" w:rsidR="00F70E64" w:rsidRPr="00477970" w:rsidRDefault="00F70E64" w:rsidP="004B37CF">
            <w:pPr>
              <w:pStyle w:val="TableText"/>
              <w:tabs>
                <w:tab w:val="clear" w:pos="284"/>
              </w:tabs>
              <w:ind w:left="567" w:hanging="567"/>
              <w:rPr>
                <w:sz w:val="24"/>
                <w:szCs w:val="24"/>
              </w:rPr>
            </w:pPr>
            <w:r w:rsidRPr="00477970">
              <w:rPr>
                <w:rFonts w:ascii="Segoe UI Symbol" w:hAnsi="Segoe UI Symbol" w:cs="Segoe UI Symbol"/>
                <w:sz w:val="24"/>
                <w:szCs w:val="24"/>
              </w:rPr>
              <w:t>☐</w:t>
            </w:r>
            <w:r w:rsidRPr="00477970">
              <w:rPr>
                <w:sz w:val="24"/>
                <w:szCs w:val="24"/>
              </w:rPr>
              <w:tab/>
            </w:r>
            <w:r w:rsidR="00CF42D8" w:rsidRPr="00477970">
              <w:rPr>
                <w:b/>
                <w:bCs/>
                <w:sz w:val="24"/>
                <w:szCs w:val="24"/>
              </w:rPr>
              <w:t>N</w:t>
            </w:r>
            <w:r w:rsidRPr="00477970">
              <w:rPr>
                <w:b/>
                <w:bCs/>
                <w:sz w:val="24"/>
                <w:szCs w:val="24"/>
              </w:rPr>
              <w:t>'autorise pas</w:t>
            </w:r>
            <w:r w:rsidRPr="00477970">
              <w:rPr>
                <w:sz w:val="24"/>
                <w:szCs w:val="24"/>
              </w:rPr>
              <w:t xml:space="preserve"> la CE 2 </w:t>
            </w:r>
            <w:r w:rsidRPr="00477970">
              <w:rPr>
                <w:rFonts w:ascii="Calibri" w:hAnsi="Calibri" w:cs="Calibri"/>
                <w:sz w:val="24"/>
                <w:szCs w:val="24"/>
              </w:rPr>
              <w:t>à</w:t>
            </w:r>
            <w:r w:rsidRPr="00477970">
              <w:rPr>
                <w:sz w:val="24"/>
                <w:szCs w:val="24"/>
              </w:rPr>
              <w:t xml:space="preserve"> proc</w:t>
            </w:r>
            <w:r w:rsidRPr="00477970">
              <w:rPr>
                <w:rFonts w:ascii="Calibri" w:hAnsi="Calibri" w:cs="Calibri"/>
                <w:sz w:val="24"/>
                <w:szCs w:val="24"/>
              </w:rPr>
              <w:t>é</w:t>
            </w:r>
            <w:r w:rsidRPr="00477970">
              <w:rPr>
                <w:sz w:val="24"/>
                <w:szCs w:val="24"/>
              </w:rPr>
              <w:t xml:space="preserve">der </w:t>
            </w:r>
            <w:r w:rsidRPr="00477970">
              <w:rPr>
                <w:rFonts w:ascii="Calibri" w:hAnsi="Calibri" w:cs="Calibri"/>
                <w:sz w:val="24"/>
                <w:szCs w:val="24"/>
              </w:rPr>
              <w:t>à</w:t>
            </w:r>
            <w:r w:rsidRPr="00477970">
              <w:rPr>
                <w:sz w:val="24"/>
                <w:szCs w:val="24"/>
              </w:rPr>
              <w:t xml:space="preserve"> l'examen de ce document en vue de son approbation (les motifs de cette d</w:t>
            </w:r>
            <w:r w:rsidRPr="00477970">
              <w:rPr>
                <w:rFonts w:ascii="Calibri" w:hAnsi="Calibri" w:cs="Calibri"/>
                <w:sz w:val="24"/>
                <w:szCs w:val="24"/>
              </w:rPr>
              <w:t>é</w:t>
            </w:r>
            <w:r w:rsidRPr="00477970">
              <w:rPr>
                <w:sz w:val="24"/>
                <w:szCs w:val="24"/>
              </w:rPr>
              <w:t xml:space="preserve">cision et une description des </w:t>
            </w:r>
            <w:r w:rsidRPr="00477970">
              <w:rPr>
                <w:rFonts w:ascii="Calibri" w:hAnsi="Calibri" w:cs="Calibri"/>
                <w:sz w:val="24"/>
                <w:szCs w:val="24"/>
              </w:rPr>
              <w:t>é</w:t>
            </w:r>
            <w:r w:rsidRPr="00477970">
              <w:rPr>
                <w:sz w:val="24"/>
                <w:szCs w:val="24"/>
              </w:rPr>
              <w:t xml:space="preserve">ventuelles modifications qui permettraient la poursuite des travaux sont joints </w:t>
            </w:r>
            <w:r w:rsidRPr="00477970">
              <w:rPr>
                <w:rFonts w:ascii="Calibri" w:hAnsi="Calibri" w:cs="Calibri"/>
                <w:sz w:val="24"/>
                <w:szCs w:val="24"/>
              </w:rPr>
              <w:t>à</w:t>
            </w:r>
            <w:r w:rsidRPr="00477970">
              <w:rPr>
                <w:sz w:val="24"/>
                <w:szCs w:val="24"/>
              </w:rPr>
              <w:t xml:space="preserve"> la pr</w:t>
            </w:r>
            <w:r w:rsidRPr="00477970">
              <w:rPr>
                <w:rFonts w:ascii="Calibri" w:hAnsi="Calibri" w:cs="Calibri"/>
                <w:sz w:val="24"/>
                <w:szCs w:val="24"/>
              </w:rPr>
              <w:t>é</w:t>
            </w:r>
            <w:r w:rsidRPr="00477970">
              <w:rPr>
                <w:sz w:val="24"/>
                <w:szCs w:val="24"/>
              </w:rPr>
              <w:t>sente)</w:t>
            </w:r>
            <w:r w:rsidR="00CF42D8" w:rsidRPr="00477970">
              <w:rPr>
                <w:sz w:val="24"/>
                <w:szCs w:val="24"/>
              </w:rPr>
              <w:t>.</w:t>
            </w:r>
          </w:p>
        </w:tc>
      </w:tr>
    </w:tbl>
    <w:p w14:paraId="781F1F5E" w14:textId="77777777" w:rsidR="004B37CF" w:rsidRPr="00477970" w:rsidRDefault="004B37CF" w:rsidP="00CF42D8">
      <w:pPr>
        <w:spacing w:before="240"/>
      </w:pPr>
      <w:r w:rsidRPr="00477970">
        <w:t>Je vous prie d'agréer, Madame, Monsieur, l'expression de ma considération distinguée.</w:t>
      </w:r>
    </w:p>
    <w:p w14:paraId="5D0358FA" w14:textId="77777777" w:rsidR="004B37CF" w:rsidRPr="00477970" w:rsidRDefault="004B37CF" w:rsidP="00B54C56">
      <w:pPr>
        <w:spacing w:before="840"/>
      </w:pPr>
      <w:r w:rsidRPr="00477970">
        <w:rPr>
          <w:highlight w:val="green"/>
        </w:rPr>
        <w:t>[Nom]</w:t>
      </w:r>
    </w:p>
    <w:p w14:paraId="64794429" w14:textId="77777777" w:rsidR="004B37CF" w:rsidRPr="00477970" w:rsidRDefault="004B37CF" w:rsidP="004B37CF">
      <w:r w:rsidRPr="00477970">
        <w:rPr>
          <w:highlight w:val="green"/>
        </w:rPr>
        <w:t>[Rôle/titre officiel]</w:t>
      </w:r>
    </w:p>
    <w:p w14:paraId="392830E5" w14:textId="1B38D4D4" w:rsidR="00E0634D" w:rsidRDefault="004B37CF" w:rsidP="004B37CF">
      <w:r w:rsidRPr="00477970">
        <w:t xml:space="preserve">Administration de </w:t>
      </w:r>
      <w:r w:rsidRPr="00477970">
        <w:rPr>
          <w:highlight w:val="green"/>
        </w:rPr>
        <w:t>[État Membre]</w:t>
      </w:r>
    </w:p>
    <w:p w14:paraId="0D37D4D7" w14:textId="6A83F24F" w:rsidR="009343E9" w:rsidRPr="009343E9" w:rsidRDefault="009343E9" w:rsidP="009343E9">
      <w:pPr>
        <w:jc w:val="center"/>
        <w:rPr>
          <w:lang w:val="en-US"/>
        </w:rPr>
      </w:pPr>
      <w:r>
        <w:rPr>
          <w:lang w:val="en-US"/>
        </w:rPr>
        <w:t>______________________</w:t>
      </w:r>
    </w:p>
    <w:sectPr w:rsidR="009343E9" w:rsidRPr="009343E9"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609F08D1"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127C14E" w:rsidR="00697BC1" w:rsidRPr="00697BC1" w:rsidRDefault="00435F8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38721D">
      <w:rPr>
        <w:noProof/>
        <w:sz w:val="18"/>
        <w:szCs w:val="16"/>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23FC"/>
    <w:rsid w:val="0002519E"/>
    <w:rsid w:val="00035B43"/>
    <w:rsid w:val="00036F4F"/>
    <w:rsid w:val="000758B3"/>
    <w:rsid w:val="00085F5A"/>
    <w:rsid w:val="000B0D96"/>
    <w:rsid w:val="000B59D8"/>
    <w:rsid w:val="000C1F6B"/>
    <w:rsid w:val="000C25CC"/>
    <w:rsid w:val="000C3784"/>
    <w:rsid w:val="000C56BE"/>
    <w:rsid w:val="001026FD"/>
    <w:rsid w:val="001077FD"/>
    <w:rsid w:val="00115DD7"/>
    <w:rsid w:val="001250EF"/>
    <w:rsid w:val="00167472"/>
    <w:rsid w:val="00167F92"/>
    <w:rsid w:val="00173738"/>
    <w:rsid w:val="001B79A3"/>
    <w:rsid w:val="002152A3"/>
    <w:rsid w:val="0023667A"/>
    <w:rsid w:val="002937DB"/>
    <w:rsid w:val="002E395D"/>
    <w:rsid w:val="002F0947"/>
    <w:rsid w:val="002F1E0F"/>
    <w:rsid w:val="0030112A"/>
    <w:rsid w:val="00301815"/>
    <w:rsid w:val="00307FB4"/>
    <w:rsid w:val="003131F0"/>
    <w:rsid w:val="00333A80"/>
    <w:rsid w:val="00341117"/>
    <w:rsid w:val="00364E95"/>
    <w:rsid w:val="00372875"/>
    <w:rsid w:val="003742F8"/>
    <w:rsid w:val="0038721D"/>
    <w:rsid w:val="00390C28"/>
    <w:rsid w:val="003B1E80"/>
    <w:rsid w:val="003B66E8"/>
    <w:rsid w:val="003E66AD"/>
    <w:rsid w:val="004033F1"/>
    <w:rsid w:val="00414B0C"/>
    <w:rsid w:val="00423C21"/>
    <w:rsid w:val="004257AC"/>
    <w:rsid w:val="00431936"/>
    <w:rsid w:val="00435F87"/>
    <w:rsid w:val="0043711B"/>
    <w:rsid w:val="0044090B"/>
    <w:rsid w:val="004419E9"/>
    <w:rsid w:val="00445B68"/>
    <w:rsid w:val="00477970"/>
    <w:rsid w:val="0048088B"/>
    <w:rsid w:val="004977C9"/>
    <w:rsid w:val="004B37CF"/>
    <w:rsid w:val="004B732E"/>
    <w:rsid w:val="004D51F4"/>
    <w:rsid w:val="004D64E0"/>
    <w:rsid w:val="00504086"/>
    <w:rsid w:val="005120A2"/>
    <w:rsid w:val="0051210D"/>
    <w:rsid w:val="005136D2"/>
    <w:rsid w:val="00517A03"/>
    <w:rsid w:val="005A3DD9"/>
    <w:rsid w:val="005B1DFC"/>
    <w:rsid w:val="00601682"/>
    <w:rsid w:val="00603470"/>
    <w:rsid w:val="00625E79"/>
    <w:rsid w:val="006333F7"/>
    <w:rsid w:val="006427A1"/>
    <w:rsid w:val="00644741"/>
    <w:rsid w:val="00680467"/>
    <w:rsid w:val="0068663C"/>
    <w:rsid w:val="00697BC1"/>
    <w:rsid w:val="006A6FFE"/>
    <w:rsid w:val="006C5A91"/>
    <w:rsid w:val="006F19C8"/>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D18CE"/>
    <w:rsid w:val="008F2C9B"/>
    <w:rsid w:val="008F6157"/>
    <w:rsid w:val="008F7862"/>
    <w:rsid w:val="00923CD6"/>
    <w:rsid w:val="009343E9"/>
    <w:rsid w:val="00935AA8"/>
    <w:rsid w:val="009366FC"/>
    <w:rsid w:val="00971C9A"/>
    <w:rsid w:val="009B5653"/>
    <w:rsid w:val="009D51FA"/>
    <w:rsid w:val="009F1E23"/>
    <w:rsid w:val="00A00051"/>
    <w:rsid w:val="00A15179"/>
    <w:rsid w:val="00A51537"/>
    <w:rsid w:val="00A5280F"/>
    <w:rsid w:val="00A5645A"/>
    <w:rsid w:val="00A60FC1"/>
    <w:rsid w:val="00A97C37"/>
    <w:rsid w:val="00AA131B"/>
    <w:rsid w:val="00AB5AAA"/>
    <w:rsid w:val="00AC37B5"/>
    <w:rsid w:val="00AD752F"/>
    <w:rsid w:val="00AF08A4"/>
    <w:rsid w:val="00AF0D7D"/>
    <w:rsid w:val="00B27B41"/>
    <w:rsid w:val="00B42659"/>
    <w:rsid w:val="00B46F2D"/>
    <w:rsid w:val="00B54C56"/>
    <w:rsid w:val="00B60868"/>
    <w:rsid w:val="00B8573E"/>
    <w:rsid w:val="00BB24C0"/>
    <w:rsid w:val="00BD6ECF"/>
    <w:rsid w:val="00C26F2E"/>
    <w:rsid w:val="00C302E3"/>
    <w:rsid w:val="00C41B89"/>
    <w:rsid w:val="00C45376"/>
    <w:rsid w:val="00C70F76"/>
    <w:rsid w:val="00C9028F"/>
    <w:rsid w:val="00CA0416"/>
    <w:rsid w:val="00CB1125"/>
    <w:rsid w:val="00CB4E80"/>
    <w:rsid w:val="00CD042E"/>
    <w:rsid w:val="00CD36AC"/>
    <w:rsid w:val="00CF2560"/>
    <w:rsid w:val="00CF42D8"/>
    <w:rsid w:val="00CF5B46"/>
    <w:rsid w:val="00CF78C6"/>
    <w:rsid w:val="00D32B00"/>
    <w:rsid w:val="00D46B68"/>
    <w:rsid w:val="00D542A5"/>
    <w:rsid w:val="00D61545"/>
    <w:rsid w:val="00DC3D47"/>
    <w:rsid w:val="00DD77DA"/>
    <w:rsid w:val="00E05158"/>
    <w:rsid w:val="00E0634D"/>
    <w:rsid w:val="00E06C61"/>
    <w:rsid w:val="00E13DB3"/>
    <w:rsid w:val="00E206D1"/>
    <w:rsid w:val="00E2408B"/>
    <w:rsid w:val="00E62CEA"/>
    <w:rsid w:val="00E64DE9"/>
    <w:rsid w:val="00E72AE1"/>
    <w:rsid w:val="00ED6A7A"/>
    <w:rsid w:val="00EE4C36"/>
    <w:rsid w:val="00EF6A23"/>
    <w:rsid w:val="00F346CE"/>
    <w:rsid w:val="00F34F98"/>
    <w:rsid w:val="00F40540"/>
    <w:rsid w:val="00F67402"/>
    <w:rsid w:val="00F70E64"/>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D6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COL-0003/en" TargetMode="External"/><Relationship Id="rId18" Type="http://schemas.openxmlformats.org/officeDocument/2006/relationships/hyperlink" Target="https://www.itu.int/md/T25-SG02-R-0007/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md/T25-SG02-R-0006/fr" TargetMode="External"/><Relationship Id="rId2" Type="http://schemas.openxmlformats.org/officeDocument/2006/relationships/customXml" Target="../customXml/item2.xml"/><Relationship Id="rId16" Type="http://schemas.openxmlformats.org/officeDocument/2006/relationships/hyperlink" Target="https://www.itu.int/md/T25-SG02-R-0005/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04/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73DBD-23BD-4F24-8436-806936CCA72B}">
  <ds:schemaRefs>
    <ds:schemaRef ds:uri="http://schemas.microsoft.com/sharepoint/v3/contenttype/forms"/>
  </ds:schemaRefs>
</ds:datastoreItem>
</file>

<file path=customXml/itemProps2.xml><?xml version="1.0" encoding="utf-8"?>
<ds:datastoreItem xmlns:ds="http://schemas.openxmlformats.org/officeDocument/2006/customXml" ds:itemID="{01778844-1F9C-46EF-9C26-AB48818A210A}">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customXml/itemProps4.xml><?xml version="1.0" encoding="utf-8"?>
<ds:datastoreItem xmlns:ds="http://schemas.openxmlformats.org/officeDocument/2006/customXml" ds:itemID="{CA3216AB-F408-4450-85C8-15528FE7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11298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21</cp:revision>
  <cp:lastPrinted>2025-02-27T16:12:00Z</cp:lastPrinted>
  <dcterms:created xsi:type="dcterms:W3CDTF">2025-02-25T14:46:00Z</dcterms:created>
  <dcterms:modified xsi:type="dcterms:W3CDTF">2025-02-27T16:13:00Z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