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6D87CB3" w14:textId="77777777" w:rsidTr="00D517B2">
        <w:trPr>
          <w:cantSplit/>
          <w:trHeight w:val="1134"/>
        </w:trPr>
        <w:tc>
          <w:tcPr>
            <w:tcW w:w="798" w:type="pct"/>
          </w:tcPr>
          <w:p w14:paraId="09A275C1" w14:textId="77777777" w:rsidR="00D517B2" w:rsidRPr="00D517B2" w:rsidRDefault="00D517B2" w:rsidP="00D517B2">
            <w:pPr>
              <w:spacing w:before="0" w:line="240" w:lineRule="auto"/>
              <w:rPr>
                <w:b/>
                <w:bCs/>
                <w:rtl/>
                <w:lang w:bidi="ar-EG"/>
              </w:rPr>
            </w:pPr>
            <w:r w:rsidRPr="00D517B2">
              <w:rPr>
                <w:noProof/>
              </w:rPr>
              <w:drawing>
                <wp:inline distT="0" distB="0" distL="0" distR="0" wp14:anchorId="34A5E3CA" wp14:editId="5B2099D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88C1DA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25AF791"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2"/>
        <w:gridCol w:w="3539"/>
        <w:gridCol w:w="4538"/>
      </w:tblGrid>
      <w:tr w:rsidR="00D517B2" w:rsidRPr="00D517B2" w14:paraId="7900C860" w14:textId="77777777" w:rsidTr="00D30B17">
        <w:trPr>
          <w:cantSplit/>
          <w:jc w:val="center"/>
        </w:trPr>
        <w:tc>
          <w:tcPr>
            <w:tcW w:w="810" w:type="pct"/>
          </w:tcPr>
          <w:p w14:paraId="53DBC987" w14:textId="77777777" w:rsidR="00D517B2" w:rsidRPr="00D517B2" w:rsidRDefault="00D517B2" w:rsidP="006019C6">
            <w:pPr>
              <w:spacing w:before="80" w:after="120" w:line="300" w:lineRule="exact"/>
              <w:jc w:val="left"/>
              <w:rPr>
                <w:position w:val="2"/>
              </w:rPr>
            </w:pPr>
          </w:p>
        </w:tc>
        <w:tc>
          <w:tcPr>
            <w:tcW w:w="1836" w:type="pct"/>
          </w:tcPr>
          <w:p w14:paraId="31CF2F16" w14:textId="77777777" w:rsidR="00D517B2" w:rsidRPr="00D517B2" w:rsidRDefault="00D517B2" w:rsidP="006019C6">
            <w:pPr>
              <w:spacing w:before="80" w:after="120" w:line="300" w:lineRule="exact"/>
              <w:jc w:val="left"/>
              <w:rPr>
                <w:position w:val="2"/>
                <w:lang w:bidi="ar-EG"/>
              </w:rPr>
            </w:pPr>
          </w:p>
        </w:tc>
        <w:tc>
          <w:tcPr>
            <w:tcW w:w="2354" w:type="pct"/>
          </w:tcPr>
          <w:p w14:paraId="744E402C" w14:textId="70392B2B" w:rsidR="00D517B2" w:rsidRPr="00D517B2" w:rsidRDefault="001638DE" w:rsidP="006019C6">
            <w:pPr>
              <w:spacing w:before="80" w:after="120" w:line="300" w:lineRule="exact"/>
              <w:jc w:val="left"/>
              <w:rPr>
                <w:position w:val="2"/>
                <w:rtl/>
                <w:lang w:bidi="ar-EG"/>
              </w:rPr>
            </w:pPr>
            <w:r w:rsidRPr="001638DE">
              <w:rPr>
                <w:position w:val="2"/>
                <w:rtl/>
              </w:rPr>
              <w:t xml:space="preserve">جنيف، </w:t>
            </w:r>
            <w:r w:rsidRPr="001638DE">
              <w:rPr>
                <w:position w:val="2"/>
              </w:rPr>
              <w:t>24</w:t>
            </w:r>
            <w:r w:rsidRPr="001638DE">
              <w:rPr>
                <w:position w:val="2"/>
                <w:rtl/>
              </w:rPr>
              <w:t xml:space="preserve"> فبراير </w:t>
            </w:r>
            <w:r w:rsidRPr="001638DE">
              <w:rPr>
                <w:position w:val="2"/>
              </w:rPr>
              <w:t>2025</w:t>
            </w:r>
          </w:p>
        </w:tc>
      </w:tr>
      <w:tr w:rsidR="00F71554" w:rsidRPr="00D517B2" w14:paraId="1D31734C" w14:textId="77777777" w:rsidTr="00D30B17">
        <w:trPr>
          <w:cantSplit/>
          <w:jc w:val="center"/>
        </w:trPr>
        <w:tc>
          <w:tcPr>
            <w:tcW w:w="810" w:type="pct"/>
          </w:tcPr>
          <w:p w14:paraId="2E13F666" w14:textId="77777777" w:rsidR="00F71554" w:rsidRPr="00A9156F" w:rsidRDefault="00F71554" w:rsidP="00D517B2">
            <w:pPr>
              <w:spacing w:before="80" w:after="60" w:line="300" w:lineRule="exact"/>
              <w:jc w:val="left"/>
              <w:rPr>
                <w:b/>
                <w:bCs/>
                <w:position w:val="2"/>
              </w:rPr>
            </w:pPr>
            <w:r w:rsidRPr="00A9156F">
              <w:rPr>
                <w:rFonts w:hint="cs"/>
                <w:b/>
                <w:bCs/>
                <w:position w:val="2"/>
                <w:rtl/>
              </w:rPr>
              <w:t>المرجع:</w:t>
            </w:r>
          </w:p>
        </w:tc>
        <w:tc>
          <w:tcPr>
            <w:tcW w:w="1836" w:type="pct"/>
          </w:tcPr>
          <w:p w14:paraId="4EE073B5" w14:textId="7AD56AF9" w:rsidR="00F71554" w:rsidRPr="00D517B2" w:rsidRDefault="00F71554"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29</w:t>
            </w:r>
            <w:r>
              <w:rPr>
                <w:b/>
                <w:position w:val="2"/>
              </w:rPr>
              <w:br/>
            </w:r>
            <w:r>
              <w:t xml:space="preserve"> </w:t>
            </w:r>
            <w:r w:rsidRPr="001638DE">
              <w:rPr>
                <w:bCs/>
                <w:position w:val="2"/>
              </w:rPr>
              <w:t>SG2/MCB</w:t>
            </w:r>
          </w:p>
        </w:tc>
        <w:tc>
          <w:tcPr>
            <w:tcW w:w="2354" w:type="pct"/>
            <w:vMerge w:val="restart"/>
          </w:tcPr>
          <w:p w14:paraId="13C3B9A1" w14:textId="77777777" w:rsidR="00F71554" w:rsidRPr="005731DD" w:rsidRDefault="00F71554" w:rsidP="001E2788">
            <w:pPr>
              <w:tabs>
                <w:tab w:val="clear" w:pos="794"/>
                <w:tab w:val="left" w:pos="284"/>
              </w:tabs>
              <w:spacing w:before="80" w:after="60" w:line="300" w:lineRule="exact"/>
              <w:jc w:val="left"/>
              <w:rPr>
                <w:b/>
                <w:bCs/>
                <w:position w:val="2"/>
                <w:rtl/>
                <w:lang w:bidi="ar-EG"/>
              </w:rPr>
            </w:pPr>
            <w:r w:rsidRPr="005731DD">
              <w:rPr>
                <w:rFonts w:hint="cs"/>
                <w:b/>
                <w:bCs/>
                <w:position w:val="2"/>
                <w:rtl/>
              </w:rPr>
              <w:t>إلى:</w:t>
            </w:r>
          </w:p>
          <w:p w14:paraId="71E96963" w14:textId="77777777" w:rsidR="00F71554" w:rsidRPr="001638DE" w:rsidRDefault="00F71554" w:rsidP="001638DE">
            <w:pPr>
              <w:tabs>
                <w:tab w:val="clear" w:pos="794"/>
                <w:tab w:val="left" w:pos="284"/>
              </w:tabs>
              <w:spacing w:before="80" w:after="60" w:line="300" w:lineRule="exact"/>
              <w:ind w:left="284" w:hanging="284"/>
              <w:rPr>
                <w:position w:val="2"/>
                <w:rtl/>
              </w:rPr>
            </w:pPr>
            <w:r w:rsidRPr="001638DE">
              <w:rPr>
                <w:position w:val="2"/>
                <w:rtl/>
              </w:rPr>
              <w:t>-</w:t>
            </w:r>
            <w:r w:rsidRPr="001638DE">
              <w:rPr>
                <w:position w:val="2"/>
                <w:rtl/>
              </w:rPr>
              <w:tab/>
              <w:t>إدارات الدول الأعضاء في الاتحاد؛</w:t>
            </w:r>
          </w:p>
          <w:p w14:paraId="45DBCCB9" w14:textId="77777777" w:rsidR="00F71554" w:rsidRPr="00D517B2" w:rsidRDefault="00F71554" w:rsidP="001638DE">
            <w:pPr>
              <w:tabs>
                <w:tab w:val="clear" w:pos="794"/>
                <w:tab w:val="left" w:pos="284"/>
              </w:tabs>
              <w:spacing w:before="80" w:after="60" w:line="300" w:lineRule="exact"/>
              <w:ind w:left="284" w:hanging="284"/>
              <w:jc w:val="left"/>
              <w:rPr>
                <w:position w:val="2"/>
                <w:rtl/>
              </w:rPr>
            </w:pPr>
            <w:r w:rsidRPr="001638DE">
              <w:rPr>
                <w:position w:val="2"/>
                <w:rtl/>
              </w:rPr>
              <w:t>-</w:t>
            </w:r>
            <w:r w:rsidRPr="001638DE">
              <w:rPr>
                <w:position w:val="2"/>
                <w:rtl/>
              </w:rPr>
              <w:tab/>
              <w:t xml:space="preserve">دولة فلسطين (القرار </w:t>
            </w:r>
            <w:r w:rsidRPr="001638DE">
              <w:rPr>
                <w:position w:val="2"/>
              </w:rPr>
              <w:t>99</w:t>
            </w:r>
            <w:r w:rsidRPr="001638DE">
              <w:rPr>
                <w:position w:val="2"/>
                <w:rtl/>
              </w:rPr>
              <w:t xml:space="preserve"> (المراجَع في دبي، </w:t>
            </w:r>
            <w:r w:rsidRPr="001638DE">
              <w:rPr>
                <w:position w:val="2"/>
              </w:rPr>
              <w:t>2018</w:t>
            </w:r>
            <w:r w:rsidRPr="001638DE">
              <w:rPr>
                <w:position w:val="2"/>
                <w:rtl/>
              </w:rPr>
              <w:t>))</w:t>
            </w:r>
          </w:p>
          <w:p w14:paraId="1C49BB43" w14:textId="77777777" w:rsidR="00F71554" w:rsidRPr="005731DD" w:rsidRDefault="00F71554" w:rsidP="00CE1C08">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53A1BBF3" w14:textId="77777777" w:rsidR="00F71554" w:rsidRPr="001638DE" w:rsidRDefault="00F71554" w:rsidP="001638DE">
            <w:pPr>
              <w:tabs>
                <w:tab w:val="left" w:pos="284"/>
                <w:tab w:val="left" w:pos="4111"/>
              </w:tabs>
              <w:spacing w:before="0" w:line="340" w:lineRule="exact"/>
              <w:ind w:left="284" w:hanging="284"/>
              <w:rPr>
                <w:position w:val="2"/>
                <w:rtl/>
              </w:rPr>
            </w:pPr>
            <w:r w:rsidRPr="001638DE">
              <w:rPr>
                <w:position w:val="2"/>
                <w:rtl/>
              </w:rPr>
              <w:t>-</w:t>
            </w:r>
            <w:r w:rsidRPr="001638DE">
              <w:rPr>
                <w:position w:val="2"/>
                <w:rtl/>
              </w:rPr>
              <w:tab/>
              <w:t>أعضاء قطاع تقييس الاتصالات بالاتحاد؛</w:t>
            </w:r>
          </w:p>
          <w:p w14:paraId="7EB44578" w14:textId="77777777" w:rsidR="00F71554" w:rsidRPr="001638DE" w:rsidRDefault="00F71554" w:rsidP="001638DE">
            <w:pPr>
              <w:tabs>
                <w:tab w:val="left" w:pos="284"/>
                <w:tab w:val="left" w:pos="4111"/>
              </w:tabs>
              <w:spacing w:before="0" w:line="340" w:lineRule="exact"/>
              <w:ind w:left="284" w:hanging="284"/>
              <w:rPr>
                <w:position w:val="2"/>
                <w:rtl/>
              </w:rPr>
            </w:pPr>
            <w:r w:rsidRPr="001638DE">
              <w:rPr>
                <w:position w:val="2"/>
                <w:rtl/>
              </w:rPr>
              <w:t>-</w:t>
            </w:r>
            <w:r w:rsidRPr="001638DE">
              <w:rPr>
                <w:position w:val="2"/>
                <w:rtl/>
              </w:rPr>
              <w:tab/>
              <w:t xml:space="preserve">المنتسبين إلى الدراسات </w:t>
            </w:r>
            <w:r w:rsidRPr="001638DE">
              <w:rPr>
                <w:position w:val="2"/>
              </w:rPr>
              <w:t>2</w:t>
            </w:r>
            <w:r w:rsidRPr="001638DE">
              <w:rPr>
                <w:position w:val="2"/>
                <w:rtl/>
              </w:rPr>
              <w:t xml:space="preserve"> بقطاع تقييس الاتصالات؛</w:t>
            </w:r>
          </w:p>
          <w:p w14:paraId="64DA17E2" w14:textId="77777777" w:rsidR="00F71554" w:rsidRPr="001638DE" w:rsidRDefault="00F71554" w:rsidP="001638DE">
            <w:pPr>
              <w:tabs>
                <w:tab w:val="left" w:pos="284"/>
                <w:tab w:val="left" w:pos="4111"/>
              </w:tabs>
              <w:spacing w:before="0" w:line="340" w:lineRule="exact"/>
              <w:ind w:left="284" w:hanging="284"/>
              <w:rPr>
                <w:position w:val="2"/>
                <w:rtl/>
              </w:rPr>
            </w:pPr>
            <w:r w:rsidRPr="001638DE">
              <w:rPr>
                <w:position w:val="2"/>
                <w:rtl/>
              </w:rPr>
              <w:t>-</w:t>
            </w:r>
            <w:r w:rsidRPr="001638DE">
              <w:rPr>
                <w:position w:val="2"/>
                <w:rtl/>
              </w:rPr>
              <w:tab/>
              <w:t>الهيئات الأكاديمية التابعة للاتحاد؛</w:t>
            </w:r>
          </w:p>
          <w:p w14:paraId="1DD32CB8" w14:textId="017F16CF" w:rsidR="00F71554" w:rsidRPr="001638DE" w:rsidRDefault="00F71554" w:rsidP="001638DE">
            <w:pPr>
              <w:tabs>
                <w:tab w:val="left" w:pos="284"/>
                <w:tab w:val="left" w:pos="4111"/>
              </w:tabs>
              <w:spacing w:before="0" w:line="340" w:lineRule="exact"/>
              <w:ind w:left="284" w:hanging="284"/>
              <w:rPr>
                <w:position w:val="2"/>
                <w:rtl/>
              </w:rPr>
            </w:pPr>
            <w:r w:rsidRPr="001638DE">
              <w:rPr>
                <w:position w:val="2"/>
                <w:rtl/>
              </w:rPr>
              <w:t>-</w:t>
            </w:r>
            <w:r w:rsidRPr="001638DE">
              <w:rPr>
                <w:position w:val="2"/>
                <w:rtl/>
              </w:rPr>
              <w:tab/>
              <w:t xml:space="preserve">رئيس لجنة الدراسات </w:t>
            </w:r>
            <w:r w:rsidRPr="001638DE">
              <w:rPr>
                <w:position w:val="2"/>
              </w:rPr>
              <w:t>2</w:t>
            </w:r>
            <w:r w:rsidRPr="001638DE">
              <w:rPr>
                <w:position w:val="2"/>
                <w:rtl/>
              </w:rPr>
              <w:t xml:space="preserve"> </w:t>
            </w:r>
            <w:r w:rsidR="00FF0F0B">
              <w:rPr>
                <w:rFonts w:hint="cs"/>
                <w:position w:val="2"/>
                <w:rtl/>
              </w:rPr>
              <w:t>ب</w:t>
            </w:r>
            <w:r w:rsidRPr="001638DE">
              <w:rPr>
                <w:position w:val="2"/>
                <w:rtl/>
              </w:rPr>
              <w:t>قطاع تقييس الاتصالات ونوابه؛</w:t>
            </w:r>
          </w:p>
          <w:p w14:paraId="49674CBC" w14:textId="77777777" w:rsidR="00F71554" w:rsidRPr="001638DE" w:rsidRDefault="00F71554" w:rsidP="001638DE">
            <w:pPr>
              <w:tabs>
                <w:tab w:val="left" w:pos="284"/>
                <w:tab w:val="left" w:pos="4111"/>
              </w:tabs>
              <w:spacing w:before="0" w:line="340" w:lineRule="exact"/>
              <w:ind w:left="284" w:hanging="284"/>
              <w:rPr>
                <w:position w:val="2"/>
                <w:rtl/>
              </w:rPr>
            </w:pPr>
            <w:r w:rsidRPr="001638DE">
              <w:rPr>
                <w:position w:val="2"/>
                <w:rtl/>
              </w:rPr>
              <w:t>-</w:t>
            </w:r>
            <w:r w:rsidRPr="001638DE">
              <w:rPr>
                <w:position w:val="2"/>
                <w:rtl/>
              </w:rPr>
              <w:tab/>
              <w:t>مدير مكتب تنمية الاتصالات؛</w:t>
            </w:r>
          </w:p>
          <w:p w14:paraId="3C33758D" w14:textId="1AF7A37D" w:rsidR="00F71554" w:rsidRPr="00D517B2" w:rsidRDefault="00F71554" w:rsidP="006D7074">
            <w:pPr>
              <w:tabs>
                <w:tab w:val="left" w:pos="284"/>
                <w:tab w:val="left" w:pos="4111"/>
              </w:tabs>
              <w:spacing w:before="0" w:line="340" w:lineRule="exact"/>
              <w:ind w:left="284" w:hanging="284"/>
              <w:rPr>
                <w:position w:val="2"/>
                <w:rtl/>
              </w:rPr>
            </w:pPr>
            <w:r w:rsidRPr="001638DE">
              <w:rPr>
                <w:position w:val="2"/>
                <w:rtl/>
              </w:rPr>
              <w:t>-</w:t>
            </w:r>
            <w:r w:rsidRPr="001638DE">
              <w:rPr>
                <w:position w:val="2"/>
                <w:rtl/>
              </w:rPr>
              <w:tab/>
              <w:t>مدير مكتب الاتصالات الراديوية</w:t>
            </w:r>
          </w:p>
        </w:tc>
      </w:tr>
      <w:tr w:rsidR="00F71554" w:rsidRPr="00D517B2" w14:paraId="79F24423" w14:textId="77777777" w:rsidTr="00D30B17">
        <w:trPr>
          <w:cantSplit/>
          <w:jc w:val="center"/>
        </w:trPr>
        <w:tc>
          <w:tcPr>
            <w:tcW w:w="810" w:type="pct"/>
          </w:tcPr>
          <w:p w14:paraId="076AFBC4" w14:textId="77777777" w:rsidR="00F71554" w:rsidRPr="00F71554" w:rsidRDefault="00F71554" w:rsidP="001E2788">
            <w:pPr>
              <w:spacing w:before="80" w:after="60" w:line="300" w:lineRule="exact"/>
              <w:jc w:val="left"/>
              <w:rPr>
                <w:position w:val="2"/>
                <w:rtl/>
                <w:lang w:bidi="ar-EG"/>
              </w:rPr>
            </w:pPr>
            <w:r w:rsidRPr="00F71554">
              <w:rPr>
                <w:position w:val="2"/>
                <w:rtl/>
                <w:lang w:bidi="ar-EG"/>
              </w:rPr>
              <w:t>ال</w:t>
            </w:r>
            <w:r w:rsidRPr="00F71554">
              <w:rPr>
                <w:position w:val="2"/>
                <w:rtl/>
                <w:lang w:bidi="ar-SY"/>
              </w:rPr>
              <w:t>هاتف</w:t>
            </w:r>
            <w:r w:rsidRPr="00F71554">
              <w:rPr>
                <w:position w:val="2"/>
                <w:rtl/>
              </w:rPr>
              <w:t>:</w:t>
            </w:r>
          </w:p>
        </w:tc>
        <w:tc>
          <w:tcPr>
            <w:tcW w:w="1836" w:type="pct"/>
          </w:tcPr>
          <w:p w14:paraId="2E4953BD" w14:textId="42D1C30F" w:rsidR="00F71554" w:rsidRDefault="00F71554" w:rsidP="00D86EB9">
            <w:pPr>
              <w:spacing w:before="80" w:after="60" w:line="300" w:lineRule="exact"/>
              <w:jc w:val="left"/>
              <w:rPr>
                <w:b/>
                <w:bCs/>
                <w:position w:val="2"/>
                <w:lang w:bidi="ar-EG"/>
              </w:rPr>
            </w:pPr>
            <w:r w:rsidRPr="001638DE">
              <w:rPr>
                <w:position w:val="2"/>
              </w:rPr>
              <w:t xml:space="preserve">+41 22 730 </w:t>
            </w:r>
            <w:r w:rsidR="00D86EB9" w:rsidRPr="00D86EB9">
              <w:rPr>
                <w:position w:val="2"/>
                <w:lang w:val="en-GB"/>
              </w:rPr>
              <w:t>5901</w:t>
            </w:r>
          </w:p>
        </w:tc>
        <w:tc>
          <w:tcPr>
            <w:tcW w:w="2354" w:type="pct"/>
            <w:vMerge/>
          </w:tcPr>
          <w:p w14:paraId="4E1E42B7" w14:textId="3AED8A34" w:rsidR="00F71554" w:rsidRPr="00D517B2" w:rsidRDefault="00F71554" w:rsidP="006D7074">
            <w:pPr>
              <w:tabs>
                <w:tab w:val="left" w:pos="284"/>
                <w:tab w:val="left" w:pos="4111"/>
              </w:tabs>
              <w:spacing w:before="0" w:line="340" w:lineRule="exact"/>
              <w:ind w:left="284" w:hanging="284"/>
              <w:rPr>
                <w:position w:val="2"/>
              </w:rPr>
            </w:pPr>
          </w:p>
        </w:tc>
      </w:tr>
      <w:tr w:rsidR="00F71554" w:rsidRPr="00D517B2" w14:paraId="4A8D215A" w14:textId="77777777" w:rsidTr="00D30B17">
        <w:trPr>
          <w:cantSplit/>
          <w:jc w:val="center"/>
        </w:trPr>
        <w:tc>
          <w:tcPr>
            <w:tcW w:w="810" w:type="pct"/>
          </w:tcPr>
          <w:p w14:paraId="5E2CF4DD" w14:textId="77777777" w:rsidR="00F71554" w:rsidRPr="00F71554" w:rsidRDefault="00F71554" w:rsidP="001E2788">
            <w:pPr>
              <w:spacing w:before="80" w:after="60" w:line="300" w:lineRule="exact"/>
              <w:jc w:val="left"/>
              <w:rPr>
                <w:position w:val="2"/>
                <w:rtl/>
              </w:rPr>
            </w:pPr>
            <w:r w:rsidRPr="00F71554">
              <w:rPr>
                <w:position w:val="2"/>
                <w:rtl/>
              </w:rPr>
              <w:t>الفاكس:</w:t>
            </w:r>
          </w:p>
        </w:tc>
        <w:tc>
          <w:tcPr>
            <w:tcW w:w="1836" w:type="pct"/>
          </w:tcPr>
          <w:p w14:paraId="7DBAAFC0" w14:textId="2147A2C8" w:rsidR="00F71554" w:rsidRPr="00D517B2" w:rsidRDefault="00F71554" w:rsidP="00D517B2">
            <w:pPr>
              <w:spacing w:before="80" w:after="60" w:line="300" w:lineRule="exact"/>
              <w:jc w:val="left"/>
              <w:rPr>
                <w:position w:val="2"/>
              </w:rPr>
            </w:pPr>
            <w:r w:rsidRPr="001638DE">
              <w:rPr>
                <w:position w:val="2"/>
              </w:rPr>
              <w:t>+41 22 730 5853</w:t>
            </w:r>
          </w:p>
        </w:tc>
        <w:tc>
          <w:tcPr>
            <w:tcW w:w="2354" w:type="pct"/>
            <w:vMerge/>
          </w:tcPr>
          <w:p w14:paraId="7DF56769" w14:textId="4E8753F0" w:rsidR="00F71554" w:rsidRPr="00D517B2" w:rsidRDefault="00F71554" w:rsidP="006D7074">
            <w:pPr>
              <w:tabs>
                <w:tab w:val="left" w:pos="284"/>
                <w:tab w:val="left" w:pos="4111"/>
              </w:tabs>
              <w:spacing w:before="0" w:line="340" w:lineRule="exact"/>
              <w:ind w:left="284" w:hanging="284"/>
              <w:rPr>
                <w:position w:val="2"/>
              </w:rPr>
            </w:pPr>
          </w:p>
        </w:tc>
      </w:tr>
      <w:tr w:rsidR="00F71554" w:rsidRPr="00D517B2" w14:paraId="7A579502" w14:textId="77777777" w:rsidTr="00D30B17">
        <w:trPr>
          <w:cantSplit/>
          <w:jc w:val="center"/>
        </w:trPr>
        <w:tc>
          <w:tcPr>
            <w:tcW w:w="810" w:type="pct"/>
          </w:tcPr>
          <w:p w14:paraId="23455D6D" w14:textId="77777777" w:rsidR="00F71554" w:rsidRPr="00F71554" w:rsidRDefault="00F71554" w:rsidP="00CE1C08">
            <w:pPr>
              <w:spacing w:before="80" w:after="60" w:line="300" w:lineRule="exact"/>
              <w:jc w:val="left"/>
              <w:rPr>
                <w:position w:val="2"/>
                <w:rtl/>
              </w:rPr>
            </w:pPr>
            <w:r w:rsidRPr="00F71554">
              <w:rPr>
                <w:position w:val="2"/>
                <w:rtl/>
              </w:rPr>
              <w:t>البريد الإلكتروني:</w:t>
            </w:r>
          </w:p>
        </w:tc>
        <w:tc>
          <w:tcPr>
            <w:tcW w:w="1836" w:type="pct"/>
          </w:tcPr>
          <w:p w14:paraId="371DEF5F" w14:textId="11B1FB5B" w:rsidR="00F71554" w:rsidRPr="006E1BAD" w:rsidRDefault="00F71554" w:rsidP="001638DE">
            <w:pPr>
              <w:spacing w:before="80" w:after="60" w:line="300" w:lineRule="exact"/>
              <w:jc w:val="left"/>
              <w:rPr>
                <w:position w:val="2"/>
                <w:highlight w:val="magenta"/>
                <w:rtl/>
                <w:lang w:bidi="ar-EG"/>
              </w:rPr>
            </w:pPr>
            <w:hyperlink r:id="rId12" w:history="1">
              <w:r w:rsidRPr="001638DE">
                <w:rPr>
                  <w:rStyle w:val="Hyperlink"/>
                  <w:position w:val="2"/>
                </w:rPr>
                <w:t>tsbsg2@itu.int</w:t>
              </w:r>
            </w:hyperlink>
          </w:p>
        </w:tc>
        <w:tc>
          <w:tcPr>
            <w:tcW w:w="2354" w:type="pct"/>
            <w:vMerge/>
          </w:tcPr>
          <w:p w14:paraId="52BB667C" w14:textId="54E56791" w:rsidR="00F71554" w:rsidRPr="00D517B2" w:rsidRDefault="00F71554" w:rsidP="001638DE">
            <w:pPr>
              <w:tabs>
                <w:tab w:val="left" w:pos="284"/>
                <w:tab w:val="left" w:pos="4111"/>
              </w:tabs>
              <w:spacing w:before="0" w:line="340" w:lineRule="exact"/>
              <w:ind w:left="284" w:hanging="284"/>
              <w:rPr>
                <w:position w:val="2"/>
                <w:rtl/>
              </w:rPr>
            </w:pPr>
          </w:p>
        </w:tc>
      </w:tr>
      <w:tr w:rsidR="00CE1C08" w:rsidRPr="00D517B2" w14:paraId="18DEFA58" w14:textId="77777777" w:rsidTr="001E2788">
        <w:trPr>
          <w:cantSplit/>
          <w:jc w:val="center"/>
        </w:trPr>
        <w:tc>
          <w:tcPr>
            <w:tcW w:w="810" w:type="pct"/>
          </w:tcPr>
          <w:p w14:paraId="75FB6F07"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49DF5C26" w14:textId="46A368B0" w:rsidR="00CE1C08" w:rsidRPr="00D517B2" w:rsidRDefault="001638DE" w:rsidP="00D86EB9">
            <w:pPr>
              <w:spacing w:before="80" w:after="60" w:line="300" w:lineRule="exact"/>
              <w:rPr>
                <w:position w:val="2"/>
                <w:rtl/>
              </w:rPr>
            </w:pPr>
            <w:r w:rsidRPr="001638DE">
              <w:rPr>
                <w:b/>
                <w:bCs/>
                <w:position w:val="2"/>
                <w:rtl/>
              </w:rPr>
              <w:t xml:space="preserve">مشاورة الدول الأعضاء بشأن مشاريع مراجعة التوصيات المحددة </w:t>
            </w:r>
            <w:r w:rsidRPr="001638DE">
              <w:rPr>
                <w:b/>
                <w:bCs/>
                <w:position w:val="2"/>
              </w:rPr>
              <w:t>ITU-T E.118</w:t>
            </w:r>
            <w:r w:rsidRPr="001638DE">
              <w:rPr>
                <w:b/>
                <w:bCs/>
                <w:position w:val="2"/>
                <w:rtl/>
              </w:rPr>
              <w:t xml:space="preserve"> و</w:t>
            </w:r>
            <w:r w:rsidRPr="001638DE">
              <w:rPr>
                <w:b/>
                <w:bCs/>
                <w:position w:val="2"/>
              </w:rPr>
              <w:t>ITU-T E.156</w:t>
            </w:r>
            <w:r w:rsidRPr="001638DE">
              <w:rPr>
                <w:b/>
                <w:bCs/>
                <w:position w:val="2"/>
                <w:rtl/>
              </w:rPr>
              <w:t xml:space="preserve"> و</w:t>
            </w:r>
            <w:r w:rsidRPr="001638DE">
              <w:rPr>
                <w:b/>
                <w:bCs/>
                <w:position w:val="2"/>
              </w:rPr>
              <w:t>ITU-T E.164</w:t>
            </w:r>
            <w:r w:rsidRPr="001638DE">
              <w:rPr>
                <w:b/>
                <w:bCs/>
                <w:position w:val="2"/>
                <w:rtl/>
              </w:rPr>
              <w:t xml:space="preserve"> ومشروع التوصية الجديدة </w:t>
            </w:r>
            <w:r w:rsidRPr="001638DE">
              <w:rPr>
                <w:b/>
                <w:bCs/>
                <w:position w:val="2"/>
              </w:rPr>
              <w:t>ITU-T E.371</w:t>
            </w:r>
            <w:r w:rsidRPr="001638DE">
              <w:rPr>
                <w:b/>
                <w:bCs/>
                <w:position w:val="2"/>
                <w:rtl/>
              </w:rPr>
              <w:t xml:space="preserve"> (</w:t>
            </w:r>
            <w:proofErr w:type="spellStart"/>
            <w:r w:rsidRPr="001638DE">
              <w:rPr>
                <w:b/>
                <w:bCs/>
                <w:position w:val="2"/>
              </w:rPr>
              <w:t>E.dit</w:t>
            </w:r>
            <w:proofErr w:type="spellEnd"/>
            <w:r w:rsidRPr="001638DE">
              <w:rPr>
                <w:b/>
                <w:bCs/>
                <w:position w:val="2"/>
                <w:rtl/>
              </w:rPr>
              <w:t xml:space="preserve"> سابقاً) المقترح الموافقة عليها في</w:t>
            </w:r>
            <w:r w:rsidR="007C1F42">
              <w:rPr>
                <w:rFonts w:hint="cs"/>
                <w:b/>
                <w:bCs/>
                <w:position w:val="2"/>
                <w:rtl/>
              </w:rPr>
              <w:t> </w:t>
            </w:r>
            <w:r w:rsidRPr="001638DE">
              <w:rPr>
                <w:b/>
                <w:bCs/>
                <w:position w:val="2"/>
                <w:rtl/>
              </w:rPr>
              <w:t xml:space="preserve">اجتماع لجنة الدراسات </w:t>
            </w:r>
            <w:r w:rsidRPr="001638DE">
              <w:rPr>
                <w:b/>
                <w:bCs/>
                <w:position w:val="2"/>
              </w:rPr>
              <w:t>2</w:t>
            </w:r>
            <w:r w:rsidRPr="001638DE">
              <w:rPr>
                <w:b/>
                <w:bCs/>
                <w:position w:val="2"/>
                <w:rtl/>
              </w:rPr>
              <w:t xml:space="preserve"> بقطاع تقييس الاتصالات (جنيف، </w:t>
            </w:r>
            <w:r w:rsidRPr="001638DE">
              <w:rPr>
                <w:b/>
                <w:bCs/>
                <w:position w:val="2"/>
              </w:rPr>
              <w:t>5</w:t>
            </w:r>
            <w:r w:rsidRPr="001638DE">
              <w:rPr>
                <w:b/>
                <w:bCs/>
                <w:position w:val="2"/>
                <w:rtl/>
              </w:rPr>
              <w:t xml:space="preserve"> سبتمبر </w:t>
            </w:r>
            <w:r w:rsidRPr="001638DE">
              <w:rPr>
                <w:b/>
                <w:bCs/>
                <w:position w:val="2"/>
              </w:rPr>
              <w:t>2025</w:t>
            </w:r>
            <w:r w:rsidRPr="001638DE">
              <w:rPr>
                <w:b/>
                <w:bCs/>
                <w:position w:val="2"/>
                <w:rtl/>
              </w:rPr>
              <w:t>)</w:t>
            </w:r>
          </w:p>
        </w:tc>
      </w:tr>
    </w:tbl>
    <w:p w14:paraId="3D36C1F5" w14:textId="77777777" w:rsidR="00D517B2" w:rsidRPr="00D517B2" w:rsidRDefault="00D517B2" w:rsidP="005B2EBB">
      <w:pPr>
        <w:spacing w:before="360"/>
        <w:rPr>
          <w:lang w:bidi="ar-SY"/>
        </w:rPr>
      </w:pPr>
      <w:r w:rsidRPr="00D517B2">
        <w:rPr>
          <w:rFonts w:hint="cs"/>
          <w:rtl/>
          <w:lang w:bidi="ar-SY"/>
        </w:rPr>
        <w:t>حضرات السادة والسيدات،</w:t>
      </w:r>
    </w:p>
    <w:p w14:paraId="78BBB27C" w14:textId="77777777" w:rsidR="00D517B2" w:rsidRPr="00D517B2" w:rsidRDefault="00D517B2" w:rsidP="00D517B2">
      <w:pPr>
        <w:rPr>
          <w:rtl/>
          <w:lang w:bidi="ar-EG"/>
        </w:rPr>
      </w:pPr>
      <w:r w:rsidRPr="00D517B2">
        <w:rPr>
          <w:rFonts w:hint="cs"/>
          <w:rtl/>
        </w:rPr>
        <w:t>تحية طيبة وبعد،</w:t>
      </w:r>
    </w:p>
    <w:p w14:paraId="24BE787B" w14:textId="335D409D" w:rsidR="001638DE" w:rsidRDefault="001638DE" w:rsidP="001638DE">
      <w:pPr>
        <w:rPr>
          <w:rtl/>
          <w:lang w:bidi="ar-SY"/>
        </w:rPr>
      </w:pPr>
      <w:r>
        <w:rPr>
          <w:lang w:bidi="ar-SY"/>
        </w:rPr>
        <w:t>1</w:t>
      </w:r>
      <w:r>
        <w:rPr>
          <w:rtl/>
          <w:lang w:bidi="ar-SY"/>
        </w:rPr>
        <w:tab/>
        <w:t xml:space="preserve">تعتزم لجنة الدراسات </w:t>
      </w:r>
      <w:r>
        <w:rPr>
          <w:lang w:bidi="ar-SY"/>
        </w:rPr>
        <w:t>2</w:t>
      </w:r>
      <w:r>
        <w:rPr>
          <w:rtl/>
          <w:lang w:bidi="ar-SY"/>
        </w:rPr>
        <w:t xml:space="preserve"> </w:t>
      </w:r>
      <w:r w:rsidR="00D86EB9">
        <w:rPr>
          <w:rFonts w:hint="cs"/>
          <w:rtl/>
          <w:lang w:bidi="ar-SY"/>
        </w:rPr>
        <w:t>ب</w:t>
      </w:r>
      <w:r>
        <w:rPr>
          <w:rtl/>
          <w:lang w:bidi="ar-SY"/>
        </w:rPr>
        <w:t xml:space="preserve">قطاع تقييس الاتصالات </w:t>
      </w:r>
      <w:proofErr w:type="gramStart"/>
      <w:r w:rsidRPr="00D86EB9">
        <w:rPr>
          <w:rtl/>
          <w:lang w:bidi="ar-SY"/>
        </w:rPr>
        <w:t>(</w:t>
      </w:r>
      <w:r w:rsidR="001229B1">
        <w:rPr>
          <w:rFonts w:hint="cs"/>
          <w:rtl/>
          <w:lang w:bidi="ar-SY"/>
        </w:rPr>
        <w:t> </w:t>
      </w:r>
      <w:r w:rsidRPr="003F5200">
        <w:rPr>
          <w:i/>
          <w:iCs/>
          <w:rtl/>
          <w:lang w:bidi="ar-SY"/>
        </w:rPr>
        <w:t>الجوانب</w:t>
      </w:r>
      <w:proofErr w:type="gramEnd"/>
      <w:r w:rsidRPr="003F5200">
        <w:rPr>
          <w:i/>
          <w:iCs/>
          <w:rtl/>
          <w:lang w:bidi="ar-SY"/>
        </w:rPr>
        <w:t xml:space="preserve"> التشغيلية المتصلة بالاتصالات وتكنولوجيا المعلومات والاتصالات</w:t>
      </w:r>
      <w:r w:rsidRPr="00D86EB9">
        <w:rPr>
          <w:rtl/>
          <w:lang w:bidi="ar-SY"/>
        </w:rPr>
        <w:t>)</w:t>
      </w:r>
      <w:r>
        <w:rPr>
          <w:rtl/>
          <w:lang w:bidi="ar-SY"/>
        </w:rPr>
        <w:t xml:space="preserve"> تطبيق إجراء الموافقة التقليدية على النحو المبيّن في القسم </w:t>
      </w:r>
      <w:r>
        <w:rPr>
          <w:lang w:bidi="ar-SY"/>
        </w:rPr>
        <w:t>9</w:t>
      </w:r>
      <w:r>
        <w:rPr>
          <w:rtl/>
          <w:lang w:bidi="ar-SY"/>
        </w:rPr>
        <w:t xml:space="preserve"> من القرار </w:t>
      </w:r>
      <w:r>
        <w:rPr>
          <w:lang w:bidi="ar-SY"/>
        </w:rPr>
        <w:t>1</w:t>
      </w:r>
      <w:r>
        <w:rPr>
          <w:rtl/>
          <w:lang w:bidi="ar-SY"/>
        </w:rPr>
        <w:t xml:space="preserve"> (المراجَع في نيودلهي، </w:t>
      </w:r>
      <w:r>
        <w:rPr>
          <w:lang w:bidi="ar-SY"/>
        </w:rPr>
        <w:t>2024</w:t>
      </w:r>
      <w:r>
        <w:rPr>
          <w:rtl/>
          <w:lang w:bidi="ar-SY"/>
        </w:rPr>
        <w:t xml:space="preserve">) للجمعية العالمية لتقييس الاتصالات </w:t>
      </w:r>
      <w:r>
        <w:rPr>
          <w:lang w:bidi="ar-SY"/>
        </w:rPr>
        <w:t>(WTSA)</w:t>
      </w:r>
      <w:r>
        <w:rPr>
          <w:rtl/>
          <w:lang w:bidi="ar-SY"/>
        </w:rPr>
        <w:t xml:space="preserve">، للموافقة على مشاريع النصوص المشار إليها أعلاه خلال اجتماعها المقبل الذي سيُعقد في </w:t>
      </w:r>
      <w:r>
        <w:rPr>
          <w:lang w:bidi="ar-SY"/>
        </w:rPr>
        <w:t>5</w:t>
      </w:r>
      <w:r>
        <w:rPr>
          <w:rtl/>
          <w:lang w:bidi="ar-SY"/>
        </w:rPr>
        <w:t xml:space="preserve"> سبتمبر</w:t>
      </w:r>
      <w:r>
        <w:rPr>
          <w:rFonts w:hint="cs"/>
          <w:rtl/>
          <w:lang w:bidi="ar-SY"/>
        </w:rPr>
        <w:t xml:space="preserve"> </w:t>
      </w:r>
      <w:r>
        <w:rPr>
          <w:lang w:bidi="ar-SY"/>
        </w:rPr>
        <w:t>2025</w:t>
      </w:r>
      <w:r>
        <w:rPr>
          <w:rtl/>
          <w:lang w:bidi="ar-SY"/>
        </w:rPr>
        <w:t xml:space="preserve">. ويمكن الاطلاع على جدول أعمال الاجتماع وجميع المعلومات المتصلة به في </w:t>
      </w:r>
      <w:r w:rsidR="005233C9">
        <w:fldChar w:fldCharType="begin"/>
      </w:r>
      <w:r w:rsidR="005233C9">
        <w:instrText>HYPERLINK "https://www.itu.int/md/T25-SG02-COL-0003/en"</w:instrText>
      </w:r>
      <w:r w:rsidR="005233C9">
        <w:fldChar w:fldCharType="separate"/>
      </w:r>
      <w:r w:rsidR="005233C9">
        <w:rPr>
          <w:rStyle w:val="Hyperlink"/>
          <w:rtl/>
          <w:lang w:bidi="ar-SY"/>
        </w:rPr>
        <w:t xml:space="preserve">الرسالة الجماعية </w:t>
      </w:r>
      <w:r w:rsidR="005233C9">
        <w:rPr>
          <w:rStyle w:val="Hyperlink"/>
          <w:lang w:bidi="ar-SY"/>
        </w:rPr>
        <w:t>3/2</w:t>
      </w:r>
      <w:r w:rsidR="005233C9">
        <w:fldChar w:fldCharType="end"/>
      </w:r>
      <w:r>
        <w:rPr>
          <w:rtl/>
          <w:lang w:bidi="ar-SY"/>
        </w:rPr>
        <w:t>.</w:t>
      </w:r>
    </w:p>
    <w:p w14:paraId="3A20D31C" w14:textId="77777777" w:rsidR="001638DE" w:rsidRDefault="001638DE" w:rsidP="001638DE">
      <w:pPr>
        <w:rPr>
          <w:rtl/>
          <w:lang w:bidi="ar-SY"/>
        </w:rPr>
      </w:pPr>
      <w:r>
        <w:rPr>
          <w:lang w:bidi="ar-SY"/>
        </w:rPr>
        <w:t>2</w:t>
      </w:r>
      <w:r>
        <w:rPr>
          <w:rtl/>
          <w:lang w:bidi="ar-SY"/>
        </w:rPr>
        <w:tab/>
        <w:t xml:space="preserve">ويمكن الاطلاع في </w:t>
      </w:r>
      <w:r w:rsidRPr="00A25530">
        <w:rPr>
          <w:b/>
          <w:bCs/>
          <w:rtl/>
          <w:lang w:bidi="ar-SY"/>
        </w:rPr>
        <w:t xml:space="preserve">الملحق </w:t>
      </w:r>
      <w:r w:rsidRPr="00A25530">
        <w:rPr>
          <w:b/>
          <w:bCs/>
          <w:lang w:bidi="ar-SY"/>
        </w:rPr>
        <w:t>1</w:t>
      </w:r>
      <w:r>
        <w:rPr>
          <w:rtl/>
          <w:lang w:bidi="ar-SY"/>
        </w:rPr>
        <w:t xml:space="preserve"> على عناوين وملخص مشاريع نصوص قطاع تقييس الاتصالات التي تُقترح الموافقة عليها والوثائق التي ترد فيها.</w:t>
      </w:r>
    </w:p>
    <w:p w14:paraId="184FBD81" w14:textId="77777777" w:rsidR="001638DE" w:rsidRDefault="001638DE" w:rsidP="001638DE">
      <w:pPr>
        <w:rPr>
          <w:rtl/>
          <w:lang w:bidi="ar-SY"/>
        </w:rPr>
      </w:pPr>
      <w:r>
        <w:rPr>
          <w:lang w:bidi="ar-SY"/>
        </w:rPr>
        <w:t>3</w:t>
      </w:r>
      <w:r>
        <w:rPr>
          <w:rtl/>
          <w:lang w:bidi="ar-SY"/>
        </w:rPr>
        <w:tab/>
        <w:t xml:space="preserve">وتستهل هذه الرسالة المعممة عملية المشاورة الرسمية مع الدول الأعضاء في الاتحاد لتحديد ما إذا كان يمكن النظر في هذه النصوص بغرض الموافقة عليها خلال الاجتماع المقبل، وفقاً لأحكام الفقرة </w:t>
      </w:r>
      <w:r w:rsidRPr="00275CF5">
        <w:rPr>
          <w:lang w:bidi="ar-SY"/>
        </w:rPr>
        <w:t>4.9</w:t>
      </w:r>
      <w:r>
        <w:rPr>
          <w:rtl/>
          <w:lang w:bidi="ar-SY"/>
        </w:rPr>
        <w:t xml:space="preserve"> من القرار </w:t>
      </w:r>
      <w:r>
        <w:rPr>
          <w:lang w:bidi="ar-SY"/>
        </w:rPr>
        <w:t>1</w:t>
      </w:r>
      <w:r>
        <w:rPr>
          <w:rtl/>
          <w:lang w:bidi="ar-SY"/>
        </w:rPr>
        <w:t xml:space="preserve">. ويُرجى من الدول الأعضاء ملء الاستمارة الواردة في </w:t>
      </w:r>
      <w:r w:rsidRPr="00A25530">
        <w:rPr>
          <w:b/>
          <w:bCs/>
          <w:rtl/>
          <w:lang w:bidi="ar-SY"/>
        </w:rPr>
        <w:t xml:space="preserve">الملحق </w:t>
      </w:r>
      <w:r w:rsidRPr="00A25530">
        <w:rPr>
          <w:b/>
          <w:bCs/>
          <w:lang w:bidi="ar-SY"/>
        </w:rPr>
        <w:t>2</w:t>
      </w:r>
      <w:r>
        <w:rPr>
          <w:rtl/>
          <w:lang w:bidi="ar-SY"/>
        </w:rPr>
        <w:t xml:space="preserve"> وإعادتها في موعد أقصاه </w:t>
      </w:r>
      <w:r w:rsidRPr="00A25530">
        <w:rPr>
          <w:b/>
          <w:bCs/>
          <w:lang w:bidi="ar-SY"/>
        </w:rPr>
        <w:t>28</w:t>
      </w:r>
      <w:r w:rsidRPr="00A25530">
        <w:rPr>
          <w:b/>
          <w:bCs/>
          <w:rtl/>
          <w:lang w:bidi="ar-SY"/>
        </w:rPr>
        <w:t xml:space="preserve"> أغسطس </w:t>
      </w:r>
      <w:r w:rsidRPr="00A25530">
        <w:rPr>
          <w:b/>
          <w:bCs/>
          <w:lang w:bidi="ar-SY"/>
        </w:rPr>
        <w:t>2025</w:t>
      </w:r>
      <w:r>
        <w:rPr>
          <w:rtl/>
          <w:lang w:bidi="ar-SY"/>
        </w:rPr>
        <w:t xml:space="preserve">، الساعة </w:t>
      </w:r>
      <w:r>
        <w:rPr>
          <w:lang w:bidi="ar-SY"/>
        </w:rPr>
        <w:t>23:59</w:t>
      </w:r>
      <w:r>
        <w:rPr>
          <w:rtl/>
          <w:lang w:bidi="ar-SY"/>
        </w:rPr>
        <w:t xml:space="preserve"> بالتوقيت العالمي المنسق.</w:t>
      </w:r>
    </w:p>
    <w:p w14:paraId="53BB411F" w14:textId="4625B9A8" w:rsidR="00D517B2" w:rsidRDefault="001638DE" w:rsidP="005B2EBB">
      <w:pPr>
        <w:rPr>
          <w:rtl/>
          <w:lang w:bidi="ar-SY"/>
        </w:rPr>
      </w:pPr>
      <w:r>
        <w:rPr>
          <w:rtl/>
          <w:lang w:bidi="ar-SY"/>
        </w:rPr>
        <w:t>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w:t>
      </w:r>
    </w:p>
    <w:p w14:paraId="51BE28B0" w14:textId="5A3A8CFE" w:rsidR="00E84438" w:rsidRPr="00D517B2" w:rsidRDefault="00E84438" w:rsidP="005B2EBB">
      <w:pPr>
        <w:spacing w:before="240"/>
        <w:jc w:val="left"/>
        <w:rPr>
          <w:rtl/>
          <w:lang w:bidi="ar-EG"/>
        </w:rPr>
      </w:pPr>
      <w:r w:rsidRPr="00D517B2">
        <w:rPr>
          <w:rFonts w:hint="cs"/>
          <w:rtl/>
          <w:lang w:bidi="ar-EG"/>
        </w:rPr>
        <w:t>وتفضلوا بقبول فائق التقدير والاحترام.</w:t>
      </w:r>
    </w:p>
    <w:p w14:paraId="36734CEC" w14:textId="488F7F2A" w:rsidR="00E84438" w:rsidRPr="00D517B2" w:rsidRDefault="009516B8" w:rsidP="00F15882">
      <w:pPr>
        <w:spacing w:before="840"/>
        <w:jc w:val="left"/>
        <w:rPr>
          <w:rtl/>
        </w:rPr>
      </w:pPr>
      <w:r>
        <w:rPr>
          <w:rFonts w:hint="cs"/>
          <w:noProof/>
          <w:rtl/>
          <w:lang w:val="ar-SY" w:bidi="ar-SY"/>
        </w:rPr>
        <w:drawing>
          <wp:anchor distT="0" distB="0" distL="114300" distR="114300" simplePos="0" relativeHeight="251658240" behindDoc="1" locked="0" layoutInCell="1" allowOverlap="1" wp14:anchorId="440E3B5C" wp14:editId="7A26A0A1">
            <wp:simplePos x="0" y="0"/>
            <wp:positionH relativeFrom="margin">
              <wp:align>right</wp:align>
            </wp:positionH>
            <wp:positionV relativeFrom="paragraph">
              <wp:posOffset>106045</wp:posOffset>
            </wp:positionV>
            <wp:extent cx="768389" cy="368319"/>
            <wp:effectExtent l="0" t="0" r="0" b="0"/>
            <wp:wrapNone/>
            <wp:docPr id="985613915"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13915" name="Picture 1" descr="A black and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46B11915" w14:textId="77777777" w:rsidR="001638DE" w:rsidRPr="001638DE" w:rsidRDefault="001638DE" w:rsidP="005B2EBB">
      <w:pPr>
        <w:spacing w:before="480"/>
        <w:rPr>
          <w:rtl/>
        </w:rPr>
      </w:pPr>
      <w:r w:rsidRPr="001638DE">
        <w:rPr>
          <w:b/>
          <w:bCs/>
          <w:rtl/>
        </w:rPr>
        <w:t>الملحقات</w:t>
      </w:r>
      <w:r w:rsidRPr="001638DE">
        <w:rPr>
          <w:lang w:bidi="ar-EG"/>
        </w:rPr>
        <w:t>:</w:t>
      </w:r>
      <w:r w:rsidRPr="001638DE">
        <w:rPr>
          <w:rtl/>
        </w:rPr>
        <w:t xml:space="preserve"> </w:t>
      </w:r>
      <w:r w:rsidRPr="001638DE">
        <w:t>2</w:t>
      </w:r>
    </w:p>
    <w:p w14:paraId="09ECEC9A" w14:textId="0CAB04A7" w:rsidR="001638DE" w:rsidRPr="001638DE" w:rsidRDefault="001638DE" w:rsidP="00F17B02">
      <w:pPr>
        <w:pStyle w:val="Annextitle"/>
        <w:rPr>
          <w:lang w:bidi="ar-EG"/>
        </w:rPr>
      </w:pPr>
      <w:r w:rsidRPr="001638DE">
        <w:rPr>
          <w:rtl/>
        </w:rPr>
        <w:lastRenderedPageBreak/>
        <w:t xml:space="preserve">الملحق </w:t>
      </w:r>
      <w:r w:rsidRPr="001638DE">
        <w:t>1</w:t>
      </w:r>
      <w:r w:rsidR="009946AC">
        <w:rPr>
          <w:rtl/>
        </w:rPr>
        <w:br/>
      </w:r>
      <w:r w:rsidRPr="001638DE">
        <w:rPr>
          <w:rtl/>
        </w:rPr>
        <w:t xml:space="preserve">ملخصات مشاريع مراجعة التوصيات المحددة </w:t>
      </w:r>
      <w:r w:rsidRPr="001638DE">
        <w:t>ITU-T E.118</w:t>
      </w:r>
      <w:r w:rsidRPr="001638DE">
        <w:rPr>
          <w:rtl/>
        </w:rPr>
        <w:t xml:space="preserve"> و</w:t>
      </w:r>
      <w:r w:rsidRPr="001638DE">
        <w:t>ITU-T E.156</w:t>
      </w:r>
      <w:r w:rsidRPr="001638DE">
        <w:rPr>
          <w:rtl/>
        </w:rPr>
        <w:t xml:space="preserve"> و</w:t>
      </w:r>
      <w:r w:rsidRPr="001638DE">
        <w:t>ITU-T E.164</w:t>
      </w:r>
      <w:r w:rsidRPr="001638DE">
        <w:rPr>
          <w:rtl/>
        </w:rPr>
        <w:t xml:space="preserve"> ومشروع التوصية الجديدة </w:t>
      </w:r>
      <w:r w:rsidRPr="001638DE">
        <w:t>ITU-T E.371</w:t>
      </w:r>
      <w:r w:rsidRPr="001638DE">
        <w:rPr>
          <w:rtl/>
        </w:rPr>
        <w:t xml:space="preserve"> (E.dit سابقاً) والوثائق التي ترد فيها</w:t>
      </w:r>
    </w:p>
    <w:p w14:paraId="613D7568" w14:textId="7E262311" w:rsidR="001638DE" w:rsidRPr="001638DE" w:rsidRDefault="001638DE" w:rsidP="00923346">
      <w:pPr>
        <w:pStyle w:val="Heading1"/>
        <w:rPr>
          <w:lang w:bidi="ar-EG"/>
        </w:rPr>
      </w:pPr>
      <w:r w:rsidRPr="001638DE">
        <w:rPr>
          <w:rFonts w:hint="cs"/>
        </w:rPr>
        <w:t>1</w:t>
      </w:r>
      <w:r w:rsidRPr="001638DE">
        <w:rPr>
          <w:rtl/>
        </w:rPr>
        <w:tab/>
        <w:t xml:space="preserve">مشروع مراجعة التوصية </w:t>
      </w:r>
      <w:r w:rsidRPr="001638DE">
        <w:t>ITU-T E.118</w:t>
      </w:r>
      <w:r w:rsidR="00D86EB9">
        <w:rPr>
          <w:rFonts w:hint="cs"/>
          <w:rtl/>
        </w:rPr>
        <w:t xml:space="preserve"> </w:t>
      </w:r>
      <w:r w:rsidRPr="001638DE">
        <w:t>[</w:t>
      </w:r>
      <w:hyperlink r:id="rId14" w:history="1">
        <w:r w:rsidRPr="001638DE">
          <w:rPr>
            <w:rStyle w:val="Hyperlink"/>
          </w:rPr>
          <w:t>SG2-R4</w:t>
        </w:r>
      </w:hyperlink>
      <w:r w:rsidRPr="001638DE">
        <w:t>]</w:t>
      </w:r>
    </w:p>
    <w:p w14:paraId="0DCE1018" w14:textId="77777777" w:rsidR="001638DE" w:rsidRPr="001638DE" w:rsidRDefault="001638DE" w:rsidP="009946AC">
      <w:pPr>
        <w:rPr>
          <w:lang w:bidi="ar-EG"/>
        </w:rPr>
      </w:pPr>
      <w:r w:rsidRPr="001638DE">
        <w:rPr>
          <w:rtl/>
        </w:rPr>
        <w:t>موارد الترقيم للبطاقات لتحديد حسابات رسوم خدمات الاتصالات</w:t>
      </w:r>
    </w:p>
    <w:p w14:paraId="354C1F1E" w14:textId="77777777" w:rsidR="001638DE" w:rsidRPr="001638DE" w:rsidRDefault="001638DE" w:rsidP="00D86EB9">
      <w:pPr>
        <w:pStyle w:val="Headingb"/>
        <w:rPr>
          <w:lang w:val="ar-SA" w:bidi="ar-EG"/>
        </w:rPr>
      </w:pPr>
      <w:r w:rsidRPr="001638DE">
        <w:rPr>
          <w:rtl/>
        </w:rPr>
        <w:t>ملخص</w:t>
      </w:r>
    </w:p>
    <w:p w14:paraId="445296CB" w14:textId="3513625A" w:rsidR="001638DE" w:rsidRPr="001638DE" w:rsidRDefault="001638DE" w:rsidP="001638DE">
      <w:pPr>
        <w:rPr>
          <w:lang w:val="ar-SA" w:bidi="ar-EG"/>
        </w:rPr>
      </w:pPr>
      <w:r w:rsidRPr="001638DE">
        <w:rPr>
          <w:rtl/>
        </w:rPr>
        <w:t xml:space="preserve">تحدد هذه التوصية نسق الأرقام ومعايير تخصيصها، التي تسمى أرقام الحسابات الأولية </w:t>
      </w:r>
      <w:r w:rsidRPr="001638DE">
        <w:rPr>
          <w:rFonts w:hint="cs"/>
        </w:rPr>
        <w:t>(</w:t>
      </w:r>
      <w:r w:rsidRPr="001638DE">
        <w:rPr>
          <w:lang w:bidi="ar-EG"/>
        </w:rPr>
        <w:t>PAN</w:t>
      </w:r>
      <w:r w:rsidRPr="001638DE">
        <w:t>)</w:t>
      </w:r>
      <w:r w:rsidRPr="001638DE">
        <w:rPr>
          <w:rtl/>
        </w:rPr>
        <w:t xml:space="preserve">، </w:t>
      </w:r>
      <w:r w:rsidRPr="001638DE">
        <w:rPr>
          <w:rFonts w:hint="cs"/>
          <w:rtl/>
        </w:rPr>
        <w:t>و</w:t>
      </w:r>
      <w:r w:rsidRPr="001638DE">
        <w:rPr>
          <w:rtl/>
        </w:rPr>
        <w:t xml:space="preserve">التي تحدد الحسابات </w:t>
      </w:r>
      <w:r w:rsidRPr="001638DE">
        <w:rPr>
          <w:rFonts w:hint="cs"/>
          <w:rtl/>
        </w:rPr>
        <w:t>الم</w:t>
      </w:r>
      <w:r w:rsidRPr="001638DE">
        <w:rPr>
          <w:rtl/>
        </w:rPr>
        <w:t xml:space="preserve">مكن استعمالها لرسوم خدمات الاتصالات. </w:t>
      </w:r>
      <w:r w:rsidRPr="001638DE">
        <w:rPr>
          <w:rFonts w:hint="cs"/>
          <w:rtl/>
        </w:rPr>
        <w:t>و</w:t>
      </w:r>
      <w:r w:rsidRPr="001638DE">
        <w:rPr>
          <w:rtl/>
        </w:rPr>
        <w:t xml:space="preserve">في حالة وحدة هوية المشترك </w:t>
      </w:r>
      <w:r w:rsidRPr="001638DE">
        <w:t>(</w:t>
      </w:r>
      <w:r w:rsidRPr="001638DE">
        <w:rPr>
          <w:lang w:bidi="ar-EG"/>
        </w:rPr>
        <w:t>SIM</w:t>
      </w:r>
      <w:r w:rsidRPr="001638DE">
        <w:t>)</w:t>
      </w:r>
      <w:r w:rsidRPr="001638DE">
        <w:rPr>
          <w:rtl/>
        </w:rPr>
        <w:t xml:space="preserve"> وبطاقة </w:t>
      </w:r>
      <w:r w:rsidRPr="001638DE">
        <w:rPr>
          <w:lang w:bidi="ar-EG"/>
        </w:rPr>
        <w:t>SIM</w:t>
      </w:r>
      <w:r w:rsidRPr="001638DE">
        <w:rPr>
          <w:rtl/>
        </w:rPr>
        <w:t xml:space="preserve"> المضم</w:t>
      </w:r>
      <w:r w:rsidRPr="001638DE">
        <w:rPr>
          <w:rFonts w:hint="cs"/>
          <w:rtl/>
        </w:rPr>
        <w:t>َّ</w:t>
      </w:r>
      <w:r w:rsidRPr="001638DE">
        <w:rPr>
          <w:rtl/>
        </w:rPr>
        <w:t xml:space="preserve">نة </w:t>
      </w:r>
      <w:r w:rsidRPr="001638DE">
        <w:t>(</w:t>
      </w:r>
      <w:proofErr w:type="spellStart"/>
      <w:r w:rsidRPr="001638DE">
        <w:rPr>
          <w:lang w:bidi="ar-EG"/>
        </w:rPr>
        <w:t>eSIM</w:t>
      </w:r>
      <w:proofErr w:type="spellEnd"/>
      <w:r w:rsidRPr="001638DE">
        <w:t>)</w:t>
      </w:r>
      <w:r w:rsidRPr="001638DE">
        <w:rPr>
          <w:rtl/>
        </w:rPr>
        <w:t xml:space="preserve">، </w:t>
      </w:r>
      <w:r w:rsidRPr="001638DE">
        <w:rPr>
          <w:rFonts w:hint="cs"/>
          <w:rtl/>
        </w:rPr>
        <w:t>يُ</w:t>
      </w:r>
      <w:r w:rsidRPr="001638DE">
        <w:rPr>
          <w:rtl/>
        </w:rPr>
        <w:t>عرف</w:t>
      </w:r>
      <w:r w:rsidRPr="001638DE">
        <w:rPr>
          <w:rFonts w:hint="cs"/>
          <w:rtl/>
        </w:rPr>
        <w:t xml:space="preserve"> رقم</w:t>
      </w:r>
      <w:r w:rsidRPr="001638DE">
        <w:rPr>
          <w:rtl/>
        </w:rPr>
        <w:t xml:space="preserve"> </w:t>
      </w:r>
      <w:r w:rsidRPr="001638DE">
        <w:rPr>
          <w:lang w:bidi="ar-EG"/>
        </w:rPr>
        <w:t>PAN</w:t>
      </w:r>
      <w:r w:rsidRPr="001638DE">
        <w:rPr>
          <w:rtl/>
        </w:rPr>
        <w:t xml:space="preserve"> أيضاً باسم رقم معرف بطاقة الدائرة المتكاملة </w:t>
      </w:r>
      <w:r w:rsidRPr="001638DE">
        <w:t>(</w:t>
      </w:r>
      <w:r w:rsidRPr="001638DE">
        <w:rPr>
          <w:lang w:bidi="ar-EG"/>
        </w:rPr>
        <w:t>ICCID</w:t>
      </w:r>
      <w:r w:rsidRPr="001638DE">
        <w:t>)</w:t>
      </w:r>
      <w:r w:rsidRPr="001638DE">
        <w:rPr>
          <w:rtl/>
        </w:rPr>
        <w:t xml:space="preserve"> أو الرقم التسلسلي لوحدة هوية المشترك </w:t>
      </w:r>
      <w:r w:rsidRPr="001638DE">
        <w:t>(</w:t>
      </w:r>
      <w:r w:rsidRPr="001638DE">
        <w:rPr>
          <w:lang w:bidi="ar-EG"/>
        </w:rPr>
        <w:t>SIM</w:t>
      </w:r>
      <w:r w:rsidRPr="001638DE">
        <w:t>)</w:t>
      </w:r>
      <w:r w:rsidRPr="001638DE">
        <w:rPr>
          <w:rtl/>
        </w:rPr>
        <w:t xml:space="preserve">. </w:t>
      </w:r>
      <w:r w:rsidRPr="001638DE">
        <w:rPr>
          <w:rFonts w:hint="cs"/>
          <w:rtl/>
        </w:rPr>
        <w:t>و</w:t>
      </w:r>
      <w:r w:rsidRPr="001638DE">
        <w:rPr>
          <w:rtl/>
        </w:rPr>
        <w:t xml:space="preserve">PAN هو رقم فريد لتحديد بطاقة الدوائر المتكاملة العالمية </w:t>
      </w:r>
      <w:r w:rsidRPr="001638DE">
        <w:t>(</w:t>
      </w:r>
      <w:r w:rsidRPr="001638DE">
        <w:rPr>
          <w:lang w:bidi="ar-EG"/>
        </w:rPr>
        <w:t>UICC</w:t>
      </w:r>
      <w:r w:rsidRPr="001638DE">
        <w:t>)</w:t>
      </w:r>
      <w:r w:rsidRPr="001638DE">
        <w:rPr>
          <w:rtl/>
        </w:rPr>
        <w:t xml:space="preserve"> أو ملف تعريف في بطاقة </w:t>
      </w:r>
      <w:r w:rsidRPr="001638DE">
        <w:rPr>
          <w:lang w:bidi="ar-EG"/>
        </w:rPr>
        <w:t>UICC</w:t>
      </w:r>
      <w:r w:rsidRPr="001638DE">
        <w:rPr>
          <w:rtl/>
        </w:rPr>
        <w:t xml:space="preserve"> المضم</w:t>
      </w:r>
      <w:r w:rsidRPr="001638DE">
        <w:rPr>
          <w:rFonts w:hint="cs"/>
          <w:rtl/>
        </w:rPr>
        <w:t>َّ</w:t>
      </w:r>
      <w:r w:rsidRPr="001638DE">
        <w:rPr>
          <w:rtl/>
        </w:rPr>
        <w:t xml:space="preserve">نة </w:t>
      </w:r>
      <w:r w:rsidRPr="001638DE">
        <w:t>(</w:t>
      </w:r>
      <w:proofErr w:type="spellStart"/>
      <w:r w:rsidRPr="001638DE">
        <w:rPr>
          <w:lang w:bidi="ar-EG"/>
        </w:rPr>
        <w:t>eUICC</w:t>
      </w:r>
      <w:proofErr w:type="spellEnd"/>
      <w:r w:rsidRPr="001638DE">
        <w:t>)</w:t>
      </w:r>
      <w:r w:rsidRPr="001638DE">
        <w:rPr>
          <w:rtl/>
        </w:rPr>
        <w:t xml:space="preserve"> أو بطاقة </w:t>
      </w:r>
      <w:r w:rsidRPr="001638DE">
        <w:rPr>
          <w:rFonts w:hint="cs"/>
          <w:rtl/>
        </w:rPr>
        <w:t>رسوم</w:t>
      </w:r>
      <w:r w:rsidRPr="001638DE">
        <w:rPr>
          <w:rtl/>
        </w:rPr>
        <w:t>.</w:t>
      </w:r>
    </w:p>
    <w:p w14:paraId="2F6FBBDE" w14:textId="6035AFD0" w:rsidR="001638DE" w:rsidRPr="001638DE" w:rsidRDefault="001638DE" w:rsidP="001638DE">
      <w:pPr>
        <w:rPr>
          <w:lang w:val="ar-SA" w:bidi="ar-EG"/>
        </w:rPr>
      </w:pPr>
      <w:r w:rsidRPr="001638DE">
        <w:rPr>
          <w:rFonts w:hint="cs"/>
          <w:rtl/>
        </w:rPr>
        <w:t>وقد</w:t>
      </w:r>
      <w:r w:rsidRPr="001638DE">
        <w:rPr>
          <w:rtl/>
        </w:rPr>
        <w:t xml:space="preserve"> استفادت هذه التوصية من معرفات هوية الصناعة الرئيسية </w:t>
      </w:r>
      <w:r w:rsidRPr="001638DE">
        <w:rPr>
          <w:lang w:bidi="ar-EG"/>
        </w:rPr>
        <w:t>(MII)</w:t>
      </w:r>
      <w:r w:rsidRPr="001638DE">
        <w:rPr>
          <w:rtl/>
        </w:rPr>
        <w:t xml:space="preserve"> المخصصة لقطاع تقييس الاتصالات وفقا</w:t>
      </w:r>
      <w:r w:rsidR="009946AC">
        <w:rPr>
          <w:rFonts w:hint="cs"/>
          <w:rtl/>
        </w:rPr>
        <w:t>ً</w:t>
      </w:r>
      <w:r w:rsidRPr="001638DE">
        <w:rPr>
          <w:rtl/>
        </w:rPr>
        <w:t xml:space="preserve"> للمعيار</w:t>
      </w:r>
      <w:r w:rsidR="009946AC">
        <w:rPr>
          <w:rFonts w:hint="cs"/>
          <w:rtl/>
        </w:rPr>
        <w:t> </w:t>
      </w:r>
      <w:r w:rsidRPr="001638DE">
        <w:rPr>
          <w:lang w:bidi="ar-EG"/>
        </w:rPr>
        <w:t>ISO/IEC 7812-1</w:t>
      </w:r>
      <w:r w:rsidRPr="001638DE">
        <w:rPr>
          <w:rtl/>
        </w:rPr>
        <w:t xml:space="preserve"> لأغراض الاتصالات.</w:t>
      </w:r>
    </w:p>
    <w:p w14:paraId="6C87107B" w14:textId="5832E5D2" w:rsidR="001638DE" w:rsidRPr="001638DE" w:rsidRDefault="001638DE" w:rsidP="00D86EB9">
      <w:pPr>
        <w:rPr>
          <w:lang w:val="ar-SA" w:bidi="ar-EG"/>
        </w:rPr>
      </w:pPr>
      <w:r w:rsidRPr="001638DE">
        <w:rPr>
          <w:rFonts w:hint="cs"/>
          <w:rtl/>
        </w:rPr>
        <w:t>ويصار إلى</w:t>
      </w:r>
      <w:r w:rsidRPr="001638DE">
        <w:rPr>
          <w:rtl/>
        </w:rPr>
        <w:t xml:space="preserve"> إنشاء</w:t>
      </w:r>
      <w:r w:rsidRPr="001638DE">
        <w:rPr>
          <w:rFonts w:hint="cs"/>
          <w:rtl/>
        </w:rPr>
        <w:t xml:space="preserve"> رقم</w:t>
      </w:r>
      <w:r w:rsidRPr="001638DE">
        <w:rPr>
          <w:rtl/>
        </w:rPr>
        <w:t xml:space="preserve"> </w:t>
      </w:r>
      <w:r w:rsidRPr="001638DE">
        <w:rPr>
          <w:lang w:bidi="ar-EG"/>
        </w:rPr>
        <w:t>PAN</w:t>
      </w:r>
      <w:r w:rsidRPr="001638DE">
        <w:rPr>
          <w:rtl/>
        </w:rPr>
        <w:t xml:space="preserve"> بواسطة جهة إصدار، </w:t>
      </w:r>
      <w:r w:rsidRPr="001638DE">
        <w:rPr>
          <w:rFonts w:hint="cs"/>
          <w:rtl/>
        </w:rPr>
        <w:t>وتتحدد هويته</w:t>
      </w:r>
      <w:r w:rsidRPr="001638DE">
        <w:rPr>
          <w:rtl/>
        </w:rPr>
        <w:t xml:space="preserve"> </w:t>
      </w:r>
      <w:r w:rsidRPr="001638DE">
        <w:rPr>
          <w:rFonts w:hint="cs"/>
          <w:rtl/>
        </w:rPr>
        <w:t>ب</w:t>
      </w:r>
      <w:r w:rsidRPr="001638DE">
        <w:rPr>
          <w:rtl/>
        </w:rPr>
        <w:t xml:space="preserve">رقم تعريف المصدر الذي يتضمن رقم معرف جهة </w:t>
      </w:r>
      <w:r w:rsidRPr="001638DE">
        <w:rPr>
          <w:rFonts w:hint="cs"/>
          <w:rtl/>
        </w:rPr>
        <w:t>ال</w:t>
      </w:r>
      <w:r w:rsidRPr="001638DE">
        <w:rPr>
          <w:rtl/>
        </w:rPr>
        <w:t xml:space="preserve">إصدار </w:t>
      </w:r>
      <w:r w:rsidR="009946AC">
        <w:t>(</w:t>
      </w:r>
      <w:r w:rsidRPr="001638DE">
        <w:rPr>
          <w:lang w:bidi="ar-EG"/>
        </w:rPr>
        <w:t>IIN</w:t>
      </w:r>
      <w:r w:rsidR="009946AC">
        <w:rPr>
          <w:lang w:bidi="ar-EG"/>
        </w:rPr>
        <w:t>)</w:t>
      </w:r>
      <w:r w:rsidR="009946AC" w:rsidRPr="001638DE">
        <w:rPr>
          <w:rtl/>
        </w:rPr>
        <w:t xml:space="preserve">. </w:t>
      </w:r>
      <w:r w:rsidRPr="001638DE">
        <w:rPr>
          <w:rtl/>
        </w:rPr>
        <w:t xml:space="preserve">واستناداً إلى المعايير المحددة في هذه التوصية، </w:t>
      </w:r>
      <w:r w:rsidRPr="001638DE">
        <w:rPr>
          <w:rFonts w:hint="cs"/>
          <w:rtl/>
        </w:rPr>
        <w:t>يخصص</w:t>
      </w:r>
      <w:r w:rsidRPr="001638DE">
        <w:rPr>
          <w:rtl/>
        </w:rPr>
        <w:t xml:space="preserve"> مكتب تقييس الاتصالات أرقام </w:t>
      </w:r>
      <w:r w:rsidRPr="001638DE">
        <w:rPr>
          <w:lang w:bidi="ar-EG"/>
        </w:rPr>
        <w:t>IIN</w:t>
      </w:r>
      <w:r w:rsidRPr="001638DE">
        <w:rPr>
          <w:rtl/>
        </w:rPr>
        <w:t xml:space="preserve"> لأرقام </w:t>
      </w:r>
      <w:r w:rsidRPr="001638DE">
        <w:rPr>
          <w:lang w:bidi="ar-EG"/>
        </w:rPr>
        <w:t>IIN</w:t>
      </w:r>
      <w:r w:rsidRPr="001638DE">
        <w:rPr>
          <w:rtl/>
        </w:rPr>
        <w:t xml:space="preserve"> العالمية المشتركة أو </w:t>
      </w:r>
      <w:r w:rsidRPr="001638DE">
        <w:rPr>
          <w:rFonts w:hint="cs"/>
          <w:rtl/>
        </w:rPr>
        <w:t xml:space="preserve">يخصصها </w:t>
      </w:r>
      <w:r w:rsidRPr="001638DE">
        <w:rPr>
          <w:rtl/>
        </w:rPr>
        <w:t xml:space="preserve">مدير (مدراء) خطة الترقيم الوطنية </w:t>
      </w:r>
      <w:r w:rsidRPr="001638DE">
        <w:t>(</w:t>
      </w:r>
      <w:r w:rsidRPr="001638DE">
        <w:rPr>
          <w:lang w:bidi="ar-EG"/>
        </w:rPr>
        <w:t>NPA</w:t>
      </w:r>
      <w:r w:rsidRPr="001638DE">
        <w:t>)</w:t>
      </w:r>
      <w:r w:rsidRPr="001638DE">
        <w:rPr>
          <w:rtl/>
        </w:rPr>
        <w:t xml:space="preserve"> المحددة</w:t>
      </w:r>
      <w:r w:rsidRPr="001638DE">
        <w:rPr>
          <w:rFonts w:hint="cs"/>
          <w:rtl/>
        </w:rPr>
        <w:t xml:space="preserve"> هويته</w:t>
      </w:r>
      <w:r w:rsidRPr="001638DE">
        <w:rPr>
          <w:rtl/>
        </w:rPr>
        <w:t xml:space="preserve"> بالرمز الدليلي ال</w:t>
      </w:r>
      <w:r w:rsidR="00D86EB9">
        <w:rPr>
          <w:rFonts w:hint="cs"/>
          <w:rtl/>
        </w:rPr>
        <w:t>قُ</w:t>
      </w:r>
      <w:r w:rsidRPr="001638DE">
        <w:rPr>
          <w:rtl/>
        </w:rPr>
        <w:t xml:space="preserve">طري للمنطقة الجغرافية. </w:t>
      </w:r>
      <w:r w:rsidRPr="001638DE">
        <w:rPr>
          <w:rFonts w:hint="cs"/>
          <w:rtl/>
        </w:rPr>
        <w:t>ويخصص</w:t>
      </w:r>
      <w:r w:rsidRPr="001638DE">
        <w:rPr>
          <w:rtl/>
        </w:rPr>
        <w:t xml:space="preserve"> مدير مكتب تقييس الاتصالات أرقام </w:t>
      </w:r>
      <w:r w:rsidRPr="001638DE">
        <w:rPr>
          <w:lang w:bidi="ar-EG"/>
        </w:rPr>
        <w:t>IIN</w:t>
      </w:r>
      <w:r w:rsidRPr="001638DE">
        <w:rPr>
          <w:rtl/>
        </w:rPr>
        <w:t xml:space="preserve"> العالمية المشتركة وفقا</w:t>
      </w:r>
      <w:r w:rsidR="009946AC">
        <w:rPr>
          <w:rFonts w:hint="cs"/>
          <w:rtl/>
        </w:rPr>
        <w:t>ً</w:t>
      </w:r>
      <w:r w:rsidRPr="001638DE">
        <w:rPr>
          <w:rtl/>
        </w:rPr>
        <w:t xml:space="preserve"> للتوصية </w:t>
      </w:r>
      <w:r w:rsidRPr="001638DE">
        <w:t>ITU-T E.118</w:t>
      </w:r>
      <w:r w:rsidR="00E80F5A">
        <w:t>.</w:t>
      </w:r>
      <w:r w:rsidRPr="001638DE">
        <w:t>1</w:t>
      </w:r>
      <w:r w:rsidRPr="001638DE">
        <w:rPr>
          <w:rtl/>
        </w:rPr>
        <w:t>.</w:t>
      </w:r>
    </w:p>
    <w:p w14:paraId="149040E9" w14:textId="77777777" w:rsidR="001638DE" w:rsidRPr="001638DE" w:rsidRDefault="001638DE" w:rsidP="001638DE">
      <w:pPr>
        <w:rPr>
          <w:lang w:val="ar-SA" w:bidi="ar-EG"/>
        </w:rPr>
      </w:pPr>
      <w:r w:rsidRPr="001638DE">
        <w:rPr>
          <w:rFonts w:hint="cs"/>
          <w:rtl/>
        </w:rPr>
        <w:t>و</w:t>
      </w:r>
      <w:r w:rsidRPr="001638DE">
        <w:rPr>
          <w:rtl/>
        </w:rPr>
        <w:t xml:space="preserve">تتوافق بطاقات الرسوم الصادرة وفقاً لهذه التوصية مع معايير </w:t>
      </w:r>
      <w:r w:rsidRPr="001638DE">
        <w:rPr>
          <w:lang w:bidi="ar-EG"/>
        </w:rPr>
        <w:t>ISO</w:t>
      </w:r>
      <w:r w:rsidRPr="001638DE">
        <w:rPr>
          <w:rtl/>
        </w:rPr>
        <w:t xml:space="preserve"> المناسبة.</w:t>
      </w:r>
    </w:p>
    <w:p w14:paraId="7D16F8CB" w14:textId="74E9165F" w:rsidR="001638DE" w:rsidRPr="001638DE" w:rsidRDefault="001638DE" w:rsidP="001638DE">
      <w:pPr>
        <w:rPr>
          <w:iCs/>
          <w:lang w:val="ar-SA" w:bidi="ar-EG"/>
        </w:rPr>
      </w:pPr>
      <w:r w:rsidRPr="001638DE">
        <w:rPr>
          <w:rtl/>
        </w:rPr>
        <w:t xml:space="preserve">ولا تخصص أرقام </w:t>
      </w:r>
      <w:r w:rsidRPr="001638DE">
        <w:rPr>
          <w:lang w:bidi="ar-EG"/>
        </w:rPr>
        <w:t>IIN</w:t>
      </w:r>
      <w:r w:rsidRPr="001638DE">
        <w:rPr>
          <w:rtl/>
        </w:rPr>
        <w:t xml:space="preserve"> إلا بهدف </w:t>
      </w:r>
      <w:r w:rsidRPr="001638DE">
        <w:rPr>
          <w:rFonts w:hint="cs"/>
          <w:rtl/>
        </w:rPr>
        <w:t>إنشاء رقم</w:t>
      </w:r>
      <w:r w:rsidRPr="001638DE">
        <w:rPr>
          <w:rtl/>
        </w:rPr>
        <w:t xml:space="preserve"> </w:t>
      </w:r>
      <w:r w:rsidRPr="001638DE">
        <w:rPr>
          <w:lang w:bidi="ar-EG"/>
        </w:rPr>
        <w:t>PAN</w:t>
      </w:r>
      <w:r w:rsidRPr="001638DE">
        <w:rPr>
          <w:rtl/>
        </w:rPr>
        <w:t xml:space="preserve"> وفقاً لهذه التوصية.</w:t>
      </w:r>
    </w:p>
    <w:p w14:paraId="75536EE4" w14:textId="34EE42B2" w:rsidR="001638DE" w:rsidRPr="001638DE" w:rsidRDefault="001638DE" w:rsidP="00923346">
      <w:pPr>
        <w:pStyle w:val="Heading1"/>
        <w:rPr>
          <w:lang w:bidi="ar-EG"/>
        </w:rPr>
      </w:pPr>
      <w:r w:rsidRPr="001638DE">
        <w:t>2</w:t>
      </w:r>
      <w:r w:rsidRPr="001638DE">
        <w:rPr>
          <w:rtl/>
        </w:rPr>
        <w:tab/>
        <w:t xml:space="preserve">مشروع مراجعة التوصية </w:t>
      </w:r>
      <w:r w:rsidRPr="001638DE">
        <w:t>ITU-T E.156</w:t>
      </w:r>
      <w:r w:rsidR="00D86EB9">
        <w:rPr>
          <w:rFonts w:hint="cs"/>
          <w:rtl/>
        </w:rPr>
        <w:t xml:space="preserve"> </w:t>
      </w:r>
      <w:r w:rsidRPr="001638DE">
        <w:t>[</w:t>
      </w:r>
      <w:hyperlink r:id="rId15" w:history="1">
        <w:r w:rsidRPr="001638DE">
          <w:rPr>
            <w:rStyle w:val="Hyperlink"/>
          </w:rPr>
          <w:t>SG2-R5</w:t>
        </w:r>
      </w:hyperlink>
      <w:r w:rsidRPr="001638DE">
        <w:t>]</w:t>
      </w:r>
    </w:p>
    <w:p w14:paraId="1CD21771" w14:textId="77777777" w:rsidR="001638DE" w:rsidRPr="001638DE" w:rsidRDefault="001638DE" w:rsidP="009946AC">
      <w:pPr>
        <w:rPr>
          <w:lang w:bidi="ar-EG"/>
        </w:rPr>
      </w:pPr>
      <w:r w:rsidRPr="001638DE">
        <w:rPr>
          <w:rtl/>
        </w:rPr>
        <w:t xml:space="preserve">مبادئ توجيهية بشأن إجراءات قطاع تقييس الاتصالات إزاء الإبلاغ عن إساءة استعمال موارد ترقيم التوصية </w:t>
      </w:r>
      <w:r w:rsidRPr="001638DE">
        <w:t>ITU-T E.164</w:t>
      </w:r>
    </w:p>
    <w:p w14:paraId="42DA1235" w14:textId="77777777" w:rsidR="001638DE" w:rsidRPr="001638DE" w:rsidRDefault="001638DE" w:rsidP="00D86EB9">
      <w:pPr>
        <w:pStyle w:val="Headingb"/>
        <w:rPr>
          <w:lang w:val="ar-SA" w:bidi="ar-EG"/>
        </w:rPr>
      </w:pPr>
      <w:r w:rsidRPr="001638DE">
        <w:rPr>
          <w:rtl/>
        </w:rPr>
        <w:t>ملخص</w:t>
      </w:r>
    </w:p>
    <w:p w14:paraId="42F95205" w14:textId="3D8B1F91" w:rsidR="001638DE" w:rsidRPr="001638DE" w:rsidRDefault="001638DE" w:rsidP="001638DE">
      <w:pPr>
        <w:rPr>
          <w:lang w:val="ar-SA" w:bidi="ar-EG"/>
        </w:rPr>
      </w:pPr>
      <w:bookmarkStart w:id="0" w:name="_Hlk53129002"/>
      <w:r w:rsidRPr="001638DE">
        <w:rPr>
          <w:rtl/>
        </w:rPr>
        <w:t xml:space="preserve">تحدد التوصية </w:t>
      </w:r>
      <w:r w:rsidRPr="001638DE">
        <w:t>ITU-T E.156</w:t>
      </w:r>
      <w:r w:rsidRPr="001638DE">
        <w:rPr>
          <w:rtl/>
        </w:rPr>
        <w:t xml:space="preserve"> إجراءات التبليغ عن سوء استعمال الأرقام والإجراءات التي يتعين اتخاذها حيال سوء استعمال الأرقام المزعوم. وهي تحدد أيضاً الإجراءات التي يتعين على مدير مكتب تقييس الاتصالات الاضطلاع بها عندما يتلقى تقارير من</w:t>
      </w:r>
      <w:r w:rsidR="009946AC">
        <w:t> </w:t>
      </w:r>
      <w:r w:rsidRPr="001638DE">
        <w:rPr>
          <w:rtl/>
        </w:rPr>
        <w:t xml:space="preserve">الأعضاء تزعم سوء الاستعمال، بما في ذلك السُّبل الكفيلة بمعالجة حالات سوء الاستعمال والتصدي لها عند توجيه </w:t>
      </w:r>
      <w:r w:rsidRPr="001638DE">
        <w:rPr>
          <w:rFonts w:hint="cs"/>
          <w:rtl/>
          <w:lang w:bidi="ar-EG"/>
        </w:rPr>
        <w:t>عنايته</w:t>
      </w:r>
      <w:r w:rsidRPr="001638DE">
        <w:rPr>
          <w:rtl/>
        </w:rPr>
        <w:t xml:space="preserve"> إلى</w:t>
      </w:r>
      <w:r w:rsidR="00087D58">
        <w:rPr>
          <w:rFonts w:hint="cs"/>
          <w:rtl/>
        </w:rPr>
        <w:t> </w:t>
      </w:r>
      <w:r w:rsidRPr="001638DE">
        <w:rPr>
          <w:rtl/>
        </w:rPr>
        <w:t>مثل هذه الحالات.</w:t>
      </w:r>
    </w:p>
    <w:bookmarkEnd w:id="0"/>
    <w:p w14:paraId="71CC70B1" w14:textId="64B787B2" w:rsidR="001638DE" w:rsidRPr="001638DE" w:rsidRDefault="001638DE" w:rsidP="00923346">
      <w:pPr>
        <w:pStyle w:val="Heading1"/>
        <w:rPr>
          <w:lang w:bidi="ar-EG"/>
        </w:rPr>
      </w:pPr>
      <w:r w:rsidRPr="001638DE">
        <w:t>3</w:t>
      </w:r>
      <w:r w:rsidRPr="001638DE">
        <w:rPr>
          <w:rtl/>
        </w:rPr>
        <w:tab/>
        <w:t xml:space="preserve">مشروع مراجعة التوصية </w:t>
      </w:r>
      <w:r w:rsidRPr="001638DE">
        <w:t>ITU-T E.164</w:t>
      </w:r>
      <w:r w:rsidR="00D86EB9">
        <w:rPr>
          <w:rFonts w:hint="cs"/>
          <w:rtl/>
        </w:rPr>
        <w:t xml:space="preserve"> </w:t>
      </w:r>
      <w:r w:rsidRPr="001638DE">
        <w:t>[</w:t>
      </w:r>
      <w:hyperlink r:id="rId16" w:history="1">
        <w:r w:rsidRPr="001638DE">
          <w:rPr>
            <w:rStyle w:val="Hyperlink"/>
          </w:rPr>
          <w:t>SG2-R6</w:t>
        </w:r>
      </w:hyperlink>
      <w:r w:rsidRPr="001638DE">
        <w:t>]</w:t>
      </w:r>
    </w:p>
    <w:p w14:paraId="4B0C1F33" w14:textId="77777777" w:rsidR="001638DE" w:rsidRPr="001638DE" w:rsidRDefault="001638DE" w:rsidP="009946AC">
      <w:pPr>
        <w:rPr>
          <w:lang w:bidi="ar-EG"/>
        </w:rPr>
      </w:pPr>
      <w:r w:rsidRPr="001638DE">
        <w:rPr>
          <w:rtl/>
        </w:rPr>
        <w:t>خطة ترقيم الاتصالات العمومية الدولية</w:t>
      </w:r>
    </w:p>
    <w:p w14:paraId="2B15CCC2" w14:textId="77777777" w:rsidR="001638DE" w:rsidRPr="001638DE" w:rsidRDefault="001638DE" w:rsidP="00D86EB9">
      <w:pPr>
        <w:pStyle w:val="Headingb"/>
        <w:rPr>
          <w:lang w:val="ar-SA" w:bidi="ar-EG"/>
        </w:rPr>
      </w:pPr>
      <w:r w:rsidRPr="001638DE">
        <w:rPr>
          <w:rtl/>
        </w:rPr>
        <w:t>ملخص</w:t>
      </w:r>
    </w:p>
    <w:p w14:paraId="7E5CF129" w14:textId="484A8F86" w:rsidR="001638DE" w:rsidRPr="001638DE" w:rsidRDefault="001638DE" w:rsidP="001638DE">
      <w:pPr>
        <w:rPr>
          <w:lang w:val="ar-SA" w:bidi="ar-EG"/>
        </w:rPr>
      </w:pPr>
      <w:r w:rsidRPr="001638DE">
        <w:rPr>
          <w:rtl/>
        </w:rPr>
        <w:t xml:space="preserve">تقدم التوصية </w:t>
      </w:r>
      <w:r w:rsidRPr="001638DE">
        <w:t>ITU-T E.164</w:t>
      </w:r>
      <w:r w:rsidRPr="001638DE">
        <w:rPr>
          <w:rtl/>
        </w:rPr>
        <w:t xml:space="preserve"> </w:t>
      </w:r>
      <w:r w:rsidRPr="001638DE">
        <w:rPr>
          <w:rFonts w:hint="cs"/>
          <w:rtl/>
        </w:rPr>
        <w:t>هيكل</w:t>
      </w:r>
      <w:r w:rsidRPr="001638DE">
        <w:rPr>
          <w:rtl/>
        </w:rPr>
        <w:t xml:space="preserve"> الأرقام </w:t>
      </w:r>
      <w:r w:rsidRPr="001638DE">
        <w:rPr>
          <w:rFonts w:hint="cs"/>
          <w:rtl/>
        </w:rPr>
        <w:t>وخواصها الوظيفية</w:t>
      </w:r>
      <w:r w:rsidRPr="001638DE">
        <w:rPr>
          <w:rtl/>
        </w:rPr>
        <w:t xml:space="preserve"> لفئات الأرقام السبع المستعملة في الاتصالات العمومية الدولية</w:t>
      </w:r>
      <w:r w:rsidRPr="001638DE">
        <w:rPr>
          <w:rFonts w:hint="cs"/>
          <w:rtl/>
        </w:rPr>
        <w:t xml:space="preserve"> وهي:</w:t>
      </w:r>
      <w:r w:rsidRPr="001638DE">
        <w:rPr>
          <w:rtl/>
        </w:rPr>
        <w:t>- المناطق الجغرافية، والخدمات العالمية</w:t>
      </w:r>
      <w:r w:rsidR="00D86EB9">
        <w:rPr>
          <w:rFonts w:hint="cs"/>
          <w:rtl/>
        </w:rPr>
        <w:t>،</w:t>
      </w:r>
      <w:r w:rsidRPr="001638DE">
        <w:rPr>
          <w:rtl/>
        </w:rPr>
        <w:t xml:space="preserve"> والأنظمة الساتلية المتنقلة العالمية، والخدمات العالمية الأخرى</w:t>
      </w:r>
      <w:r w:rsidR="00D86EB9">
        <w:rPr>
          <w:rFonts w:hint="cs"/>
          <w:rtl/>
        </w:rPr>
        <w:t xml:space="preserve">، </w:t>
      </w:r>
      <w:r w:rsidRPr="001638DE">
        <w:rPr>
          <w:rFonts w:hint="cs"/>
          <w:rtl/>
        </w:rPr>
        <w:t>و</w:t>
      </w:r>
      <w:r w:rsidRPr="001638DE">
        <w:rPr>
          <w:rtl/>
        </w:rPr>
        <w:t xml:space="preserve">موارد الشبكات ومجموعات البلدان </w:t>
      </w:r>
      <w:r w:rsidRPr="001638DE">
        <w:t>(</w:t>
      </w:r>
      <w:r w:rsidRPr="001638DE">
        <w:rPr>
          <w:cs/>
        </w:rPr>
        <w:t>‎</w:t>
      </w:r>
      <w:r w:rsidRPr="001638DE">
        <w:rPr>
          <w:lang w:bidi="ar-EG"/>
        </w:rPr>
        <w:t>GoC</w:t>
      </w:r>
      <w:r w:rsidRPr="001638DE">
        <w:t>)</w:t>
      </w:r>
      <w:r w:rsidRPr="001638DE">
        <w:rPr>
          <w:rtl/>
        </w:rPr>
        <w:t xml:space="preserve"> ‏للتجارب وإنترنت الأشياء</w:t>
      </w:r>
      <w:r w:rsidR="00D86EB9">
        <w:rPr>
          <w:rFonts w:hint="cs"/>
          <w:rtl/>
        </w:rPr>
        <w:t> </w:t>
      </w:r>
      <w:r w:rsidR="00D86EB9">
        <w:t>(IoT)</w:t>
      </w:r>
      <w:r w:rsidRPr="001638DE">
        <w:rPr>
          <w:rtl/>
        </w:rPr>
        <w:t>/الاتصالات من آلة إلى</w:t>
      </w:r>
      <w:r w:rsidR="009946AC">
        <w:rPr>
          <w:rFonts w:hint="cs"/>
          <w:rtl/>
        </w:rPr>
        <w:t> </w:t>
      </w:r>
      <w:r w:rsidRPr="001638DE">
        <w:rPr>
          <w:rtl/>
        </w:rPr>
        <w:t>آلة</w:t>
      </w:r>
      <w:r w:rsidR="009946AC">
        <w:rPr>
          <w:rFonts w:hint="eastAsia"/>
          <w:rtl/>
          <w:lang w:bidi="ar-EG"/>
        </w:rPr>
        <w:t> </w:t>
      </w:r>
      <w:r w:rsidRPr="001638DE">
        <w:rPr>
          <w:rtl/>
        </w:rPr>
        <w:t>(</w:t>
      </w:r>
      <w:r w:rsidRPr="001638DE">
        <w:rPr>
          <w:cs/>
        </w:rPr>
        <w:t>‎</w:t>
      </w:r>
      <w:r w:rsidRPr="001638DE">
        <w:rPr>
          <w:lang w:bidi="ar-EG"/>
        </w:rPr>
        <w:t>M2M</w:t>
      </w:r>
      <w:r w:rsidRPr="001638DE">
        <w:rPr>
          <w:rtl/>
        </w:rPr>
        <w:t>). وتُف</w:t>
      </w:r>
      <w:r w:rsidRPr="001638DE">
        <w:rPr>
          <w:rFonts w:hint="cs"/>
          <w:rtl/>
        </w:rPr>
        <w:t>َ</w:t>
      </w:r>
      <w:r w:rsidRPr="001638DE">
        <w:rPr>
          <w:rtl/>
        </w:rPr>
        <w:t>ص</w:t>
      </w:r>
      <w:r w:rsidRPr="001638DE">
        <w:rPr>
          <w:rFonts w:hint="cs"/>
          <w:rtl/>
        </w:rPr>
        <w:t>ِّ</w:t>
      </w:r>
      <w:r w:rsidRPr="001638DE">
        <w:rPr>
          <w:rtl/>
        </w:rPr>
        <w:t>ل هذه التوصية لكل فئة، مكونات هيكل الترقيم، وتحل</w:t>
      </w:r>
      <w:r w:rsidRPr="001638DE">
        <w:rPr>
          <w:rFonts w:hint="cs"/>
          <w:rtl/>
        </w:rPr>
        <w:t>ي</w:t>
      </w:r>
      <w:r w:rsidRPr="001638DE">
        <w:rPr>
          <w:rtl/>
        </w:rPr>
        <w:t xml:space="preserve">ل </w:t>
      </w:r>
      <w:r w:rsidRPr="001638DE">
        <w:rPr>
          <w:rFonts w:hint="cs"/>
          <w:rtl/>
        </w:rPr>
        <w:t>الخانات الرقمية</w:t>
      </w:r>
      <w:r w:rsidRPr="001638DE">
        <w:rPr>
          <w:rtl/>
        </w:rPr>
        <w:t xml:space="preserve"> المطلوبة </w:t>
      </w:r>
      <w:r w:rsidRPr="001638DE">
        <w:rPr>
          <w:rFonts w:hint="cs"/>
          <w:rtl/>
        </w:rPr>
        <w:t>لتسيير</w:t>
      </w:r>
      <w:r w:rsidRPr="001638DE">
        <w:rPr>
          <w:rtl/>
        </w:rPr>
        <w:t xml:space="preserve"> المكالمات بنجاح. ويقدم الملحق </w:t>
      </w:r>
      <w:r w:rsidRPr="001638DE">
        <w:rPr>
          <w:lang w:bidi="ar-EG"/>
        </w:rPr>
        <w:t>A</w:t>
      </w:r>
      <w:r w:rsidRPr="001638DE">
        <w:rPr>
          <w:rtl/>
        </w:rPr>
        <w:t xml:space="preserve"> معلومات إضافية </w:t>
      </w:r>
      <w:r w:rsidRPr="001638DE">
        <w:rPr>
          <w:rFonts w:hint="cs"/>
          <w:rtl/>
        </w:rPr>
        <w:t>عن</w:t>
      </w:r>
      <w:r w:rsidRPr="001638DE">
        <w:rPr>
          <w:rtl/>
        </w:rPr>
        <w:t xml:space="preserve"> </w:t>
      </w:r>
      <w:r w:rsidRPr="001638DE">
        <w:rPr>
          <w:rFonts w:hint="cs"/>
          <w:rtl/>
        </w:rPr>
        <w:t>هيكل</w:t>
      </w:r>
      <w:r w:rsidRPr="001638DE">
        <w:rPr>
          <w:rtl/>
        </w:rPr>
        <w:t xml:space="preserve"> أرقام الاتصالات العمومية الدولية (المشار إليها فيما يلي "بأرقام</w:t>
      </w:r>
      <w:r w:rsidR="00087D58">
        <w:rPr>
          <w:rFonts w:hint="cs"/>
          <w:rtl/>
        </w:rPr>
        <w:t> </w:t>
      </w:r>
      <w:r w:rsidRPr="001638DE">
        <w:t>E.164</w:t>
      </w:r>
      <w:r w:rsidR="00087D58">
        <w:rPr>
          <w:rFonts w:hint="cs"/>
          <w:rtl/>
        </w:rPr>
        <w:t> </w:t>
      </w:r>
      <w:r w:rsidRPr="001638DE">
        <w:rPr>
          <w:rtl/>
        </w:rPr>
        <w:t>الدولية")</w:t>
      </w:r>
      <w:r w:rsidRPr="001638DE">
        <w:rPr>
          <w:rFonts w:hint="cs"/>
          <w:rtl/>
        </w:rPr>
        <w:t xml:space="preserve"> وخواصها الوظيفية</w:t>
      </w:r>
      <w:r w:rsidRPr="001638DE">
        <w:rPr>
          <w:rtl/>
        </w:rPr>
        <w:t>.</w:t>
      </w:r>
    </w:p>
    <w:p w14:paraId="4E9CA50F" w14:textId="699746B0" w:rsidR="001638DE" w:rsidRPr="001638DE" w:rsidRDefault="001638DE" w:rsidP="00923346">
      <w:pPr>
        <w:pStyle w:val="Heading1"/>
        <w:rPr>
          <w:rtl/>
        </w:rPr>
      </w:pPr>
      <w:r w:rsidRPr="001638DE">
        <w:lastRenderedPageBreak/>
        <w:t>4</w:t>
      </w:r>
      <w:r w:rsidRPr="001638DE">
        <w:rPr>
          <w:rtl/>
        </w:rPr>
        <w:tab/>
        <w:t>مشروع التوصية الجديدة</w:t>
      </w:r>
      <w:r w:rsidRPr="001638DE">
        <w:rPr>
          <w:rFonts w:hint="cs"/>
          <w:rtl/>
        </w:rPr>
        <w:t xml:space="preserve"> </w:t>
      </w:r>
      <w:r w:rsidRPr="001638DE">
        <w:rPr>
          <w:lang w:val="fr-CH" w:bidi="ar-EG"/>
        </w:rPr>
        <w:t>ITU-T E.371</w:t>
      </w:r>
      <w:r w:rsidR="00D86EB9">
        <w:rPr>
          <w:rFonts w:hint="cs"/>
          <w:rtl/>
          <w:lang w:val="fr-CH" w:bidi="ar-EG"/>
        </w:rPr>
        <w:t xml:space="preserve"> </w:t>
      </w:r>
      <w:r w:rsidRPr="001638DE">
        <w:rPr>
          <w:rFonts w:hint="cs"/>
          <w:rtl/>
        </w:rPr>
        <w:t>(</w:t>
      </w:r>
      <w:proofErr w:type="spellStart"/>
      <w:r w:rsidRPr="001638DE">
        <w:rPr>
          <w:lang w:bidi="ar-EG"/>
        </w:rPr>
        <w:t>E.dit</w:t>
      </w:r>
      <w:proofErr w:type="spellEnd"/>
      <w:r w:rsidRPr="001638DE">
        <w:rPr>
          <w:rFonts w:hint="cs"/>
          <w:rtl/>
        </w:rPr>
        <w:t xml:space="preserve"> سابقاً)</w:t>
      </w:r>
      <w:r w:rsidR="00D86EB9">
        <w:rPr>
          <w:rFonts w:hint="cs"/>
          <w:rtl/>
        </w:rPr>
        <w:t xml:space="preserve"> </w:t>
      </w:r>
      <w:r w:rsidR="00D86EB9" w:rsidRPr="001638DE">
        <w:rPr>
          <w:lang w:val="fr-CH" w:bidi="ar-EG"/>
        </w:rPr>
        <w:t>[</w:t>
      </w:r>
      <w:hyperlink r:id="rId17" w:history="1">
        <w:r w:rsidR="00D86EB9" w:rsidRPr="001638DE">
          <w:rPr>
            <w:rStyle w:val="Hyperlink"/>
            <w:lang w:val="fr-CH" w:bidi="ar-EG"/>
          </w:rPr>
          <w:t>SG2-R7</w:t>
        </w:r>
      </w:hyperlink>
      <w:r w:rsidR="00D86EB9" w:rsidRPr="001638DE">
        <w:rPr>
          <w:lang w:val="fr-CH" w:bidi="ar-EG"/>
        </w:rPr>
        <w:t>]</w:t>
      </w:r>
    </w:p>
    <w:p w14:paraId="6A751154" w14:textId="6B7FAE71" w:rsidR="001638DE" w:rsidRPr="001638DE" w:rsidRDefault="001638DE" w:rsidP="009946AC">
      <w:pPr>
        <w:rPr>
          <w:rtl/>
        </w:rPr>
      </w:pPr>
      <w:r w:rsidRPr="001C3E05">
        <w:rPr>
          <w:rtl/>
        </w:rPr>
        <w:t>الحركة التي تُعتبر غير مسموح</w:t>
      </w:r>
      <w:r w:rsidRPr="001C3E05">
        <w:rPr>
          <w:rFonts w:hint="cs"/>
          <w:rtl/>
        </w:rPr>
        <w:t>ة</w:t>
      </w:r>
    </w:p>
    <w:p w14:paraId="2826BE66" w14:textId="77777777" w:rsidR="001638DE" w:rsidRPr="001638DE" w:rsidRDefault="001638DE" w:rsidP="001C3E05">
      <w:pPr>
        <w:pStyle w:val="Headingb"/>
        <w:rPr>
          <w:lang w:val="ar-SA" w:bidi="ar-EG"/>
        </w:rPr>
      </w:pPr>
      <w:r w:rsidRPr="001638DE">
        <w:rPr>
          <w:rtl/>
        </w:rPr>
        <w:t>ملخص</w:t>
      </w:r>
    </w:p>
    <w:p w14:paraId="716324B2" w14:textId="66C6D329" w:rsidR="001638DE" w:rsidRPr="001638DE" w:rsidRDefault="001638DE" w:rsidP="001638DE">
      <w:pPr>
        <w:rPr>
          <w:lang w:val="ar-SA" w:bidi="ar-EG"/>
        </w:rPr>
      </w:pPr>
      <w:r w:rsidRPr="001638DE">
        <w:rPr>
          <w:rtl/>
        </w:rPr>
        <w:t xml:space="preserve">وتعرف التوصية </w:t>
      </w:r>
      <w:r w:rsidRPr="001638DE">
        <w:t>E.371</w:t>
      </w:r>
      <w:r w:rsidRPr="001638DE">
        <w:rPr>
          <w:rtl/>
        </w:rPr>
        <w:t xml:space="preserve"> </w:t>
      </w:r>
      <w:r w:rsidRPr="001638DE">
        <w:rPr>
          <w:rFonts w:hint="cs"/>
          <w:rtl/>
        </w:rPr>
        <w:t>ال</w:t>
      </w:r>
      <w:r w:rsidRPr="001638DE">
        <w:rPr>
          <w:rtl/>
        </w:rPr>
        <w:t>حركة التي تعتبر غير مسموح</w:t>
      </w:r>
      <w:r w:rsidRPr="001638DE">
        <w:rPr>
          <w:rFonts w:hint="cs"/>
          <w:rtl/>
        </w:rPr>
        <w:t>ة</w:t>
      </w:r>
      <w:r w:rsidRPr="001638DE">
        <w:rPr>
          <w:rtl/>
        </w:rPr>
        <w:t xml:space="preserve"> والتي تعتبر غير ملائمة أو غير قانونية أو مخالفة لشروط الخدمة. </w:t>
      </w:r>
      <w:r w:rsidRPr="001638DE">
        <w:rPr>
          <w:rFonts w:hint="cs"/>
          <w:rtl/>
        </w:rPr>
        <w:t>و</w:t>
      </w:r>
      <w:r w:rsidRPr="001638DE">
        <w:rPr>
          <w:rtl/>
        </w:rPr>
        <w:t xml:space="preserve">يمكن أن تشمل أنشطة مختلفة مثل </w:t>
      </w:r>
      <w:r w:rsidRPr="001638DE">
        <w:rPr>
          <w:rFonts w:hint="cs"/>
          <w:rtl/>
        </w:rPr>
        <w:t>تسيير</w:t>
      </w:r>
      <w:r w:rsidRPr="001638DE">
        <w:rPr>
          <w:rtl/>
        </w:rPr>
        <w:t xml:space="preserve"> المكالمات</w:t>
      </w:r>
      <w:r w:rsidRPr="001638DE">
        <w:rPr>
          <w:rFonts w:hint="cs"/>
          <w:rtl/>
        </w:rPr>
        <w:t xml:space="preserve"> الالتفافي</w:t>
      </w:r>
      <w:r w:rsidRPr="001638DE">
        <w:rPr>
          <w:rtl/>
        </w:rPr>
        <w:t xml:space="preserve">، أو </w:t>
      </w:r>
      <w:r w:rsidRPr="001638DE">
        <w:rPr>
          <w:rFonts w:hint="cs"/>
          <w:rtl/>
        </w:rPr>
        <w:t>ال</w:t>
      </w:r>
      <w:r w:rsidRPr="001638DE">
        <w:rPr>
          <w:rtl/>
        </w:rPr>
        <w:t>تجاوز</w:t>
      </w:r>
      <w:r w:rsidRPr="001638DE">
        <w:rPr>
          <w:rFonts w:hint="cs"/>
          <w:rtl/>
        </w:rPr>
        <w:t xml:space="preserve"> بالخدمات المتاحة عبر الإنترنت</w:t>
      </w:r>
      <w:r w:rsidRPr="001638DE">
        <w:rPr>
          <w:rtl/>
        </w:rPr>
        <w:t xml:space="preserve"> </w:t>
      </w:r>
      <w:r w:rsidRPr="001638DE">
        <w:rPr>
          <w:rFonts w:hint="cs"/>
        </w:rPr>
        <w:t>(</w:t>
      </w:r>
      <w:r w:rsidRPr="001638DE">
        <w:rPr>
          <w:lang w:bidi="ar-EG"/>
        </w:rPr>
        <w:t>OTT</w:t>
      </w:r>
      <w:r w:rsidRPr="001638DE">
        <w:rPr>
          <w:rFonts w:hint="cs"/>
        </w:rPr>
        <w:t>)</w:t>
      </w:r>
      <w:r w:rsidRPr="001638DE">
        <w:rPr>
          <w:rtl/>
        </w:rPr>
        <w:t>، أو</w:t>
      </w:r>
      <w:r w:rsidRPr="001638DE">
        <w:rPr>
          <w:rFonts w:hint="cs"/>
          <w:rtl/>
        </w:rPr>
        <w:t xml:space="preserve"> </w:t>
      </w:r>
      <w:bookmarkStart w:id="1" w:name="_Hlk191307552"/>
      <w:r w:rsidRPr="001638DE">
        <w:rPr>
          <w:rFonts w:hint="cs"/>
          <w:rtl/>
        </w:rPr>
        <w:t>الرنة الواحدة ثم قطع المكالمة</w:t>
      </w:r>
      <w:r w:rsidR="001C3E05">
        <w:rPr>
          <w:rFonts w:hint="cs"/>
          <w:rtl/>
        </w:rPr>
        <w:t xml:space="preserve"> </w:t>
      </w:r>
      <w:r w:rsidRPr="001638DE">
        <w:rPr>
          <w:rFonts w:hint="cs"/>
          <w:rtl/>
        </w:rPr>
        <w:t>لاستدراج المتلقي إلى الاتصال برقم ذي رسوم عالية</w:t>
      </w:r>
      <w:bookmarkEnd w:id="1"/>
      <w:r w:rsidR="001C3E05">
        <w:rPr>
          <w:rFonts w:hint="cs"/>
          <w:rtl/>
        </w:rPr>
        <w:t xml:space="preserve"> </w:t>
      </w:r>
      <w:r w:rsidR="001C3E05" w:rsidRPr="001638DE">
        <w:rPr>
          <w:rtl/>
        </w:rPr>
        <w:t xml:space="preserve"> </w:t>
      </w:r>
      <w:r w:rsidR="001C3E05" w:rsidRPr="001638DE">
        <w:rPr>
          <w:rFonts w:hint="cs"/>
        </w:rPr>
        <w:t>(</w:t>
      </w:r>
      <w:proofErr w:type="spellStart"/>
      <w:r w:rsidR="001C3E05">
        <w:rPr>
          <w:lang w:bidi="ar-EG"/>
        </w:rPr>
        <w:t>W</w:t>
      </w:r>
      <w:r w:rsidR="001C3E05" w:rsidRPr="001638DE">
        <w:rPr>
          <w:lang w:bidi="ar-EG"/>
        </w:rPr>
        <w:t>angiri</w:t>
      </w:r>
      <w:proofErr w:type="spellEnd"/>
      <w:r w:rsidR="001C3E05" w:rsidRPr="001638DE">
        <w:rPr>
          <w:rFonts w:hint="cs"/>
        </w:rPr>
        <w:t>)</w:t>
      </w:r>
      <w:r w:rsidRPr="001638DE">
        <w:rPr>
          <w:rtl/>
        </w:rPr>
        <w:t>، وما إلى ذلك، أو أي سلوك آخر ينتهك القواعد واللوائح المعمول بها في أي بلد.</w:t>
      </w:r>
    </w:p>
    <w:p w14:paraId="0383B21C" w14:textId="77777777" w:rsidR="001638DE" w:rsidRPr="001638DE" w:rsidRDefault="001638DE" w:rsidP="001638DE">
      <w:pPr>
        <w:rPr>
          <w:lang w:val="ar-SA" w:bidi="ar-EG"/>
        </w:rPr>
      </w:pPr>
      <w:r w:rsidRPr="001638DE">
        <w:rPr>
          <w:rFonts w:hint="cs"/>
          <w:rtl/>
        </w:rPr>
        <w:t>و</w:t>
      </w:r>
      <w:r w:rsidRPr="001638DE">
        <w:rPr>
          <w:rtl/>
        </w:rPr>
        <w:t>يمكن أن يكون ل</w:t>
      </w:r>
      <w:r w:rsidRPr="001638DE">
        <w:rPr>
          <w:rFonts w:hint="cs"/>
          <w:rtl/>
        </w:rPr>
        <w:t>ل</w:t>
      </w:r>
      <w:r w:rsidRPr="001638DE">
        <w:rPr>
          <w:rtl/>
        </w:rPr>
        <w:t>حركة غير المسموح</w:t>
      </w:r>
      <w:r w:rsidRPr="001638DE">
        <w:rPr>
          <w:rFonts w:hint="cs"/>
          <w:rtl/>
        </w:rPr>
        <w:t>ة</w:t>
      </w:r>
      <w:r w:rsidRPr="001638DE">
        <w:rPr>
          <w:rtl/>
        </w:rPr>
        <w:t xml:space="preserve"> آثار خطيرة</w:t>
      </w:r>
      <w:r w:rsidRPr="001638DE">
        <w:rPr>
          <w:rFonts w:hint="cs"/>
          <w:rtl/>
        </w:rPr>
        <w:t xml:space="preserve"> من الناحية</w:t>
      </w:r>
      <w:r w:rsidRPr="001638DE">
        <w:rPr>
          <w:rtl/>
        </w:rPr>
        <w:t xml:space="preserve"> </w:t>
      </w:r>
      <w:r w:rsidRPr="001638DE">
        <w:rPr>
          <w:rFonts w:hint="cs"/>
          <w:rtl/>
        </w:rPr>
        <w:t>ال</w:t>
      </w:r>
      <w:r w:rsidRPr="001638DE">
        <w:rPr>
          <w:rtl/>
        </w:rPr>
        <w:t>قانونية و</w:t>
      </w:r>
      <w:r w:rsidRPr="001638DE">
        <w:rPr>
          <w:rFonts w:hint="cs"/>
          <w:rtl/>
        </w:rPr>
        <w:t>ال</w:t>
      </w:r>
      <w:r w:rsidRPr="001638DE">
        <w:rPr>
          <w:rtl/>
        </w:rPr>
        <w:t>أخلاقية و</w:t>
      </w:r>
      <w:r w:rsidRPr="001638DE">
        <w:rPr>
          <w:rFonts w:hint="cs"/>
          <w:rtl/>
        </w:rPr>
        <w:t>بشأن ال</w:t>
      </w:r>
      <w:r w:rsidRPr="001638DE">
        <w:rPr>
          <w:rtl/>
        </w:rPr>
        <w:t>خصوصي</w:t>
      </w:r>
      <w:r w:rsidRPr="001638DE">
        <w:rPr>
          <w:rFonts w:hint="cs"/>
          <w:rtl/>
        </w:rPr>
        <w:t>ات</w:t>
      </w:r>
      <w:r w:rsidRPr="001638DE">
        <w:rPr>
          <w:rtl/>
        </w:rPr>
        <w:t xml:space="preserve">، </w:t>
      </w:r>
      <w:r w:rsidRPr="001638DE">
        <w:rPr>
          <w:rFonts w:hint="cs"/>
          <w:rtl/>
        </w:rPr>
        <w:t>فت</w:t>
      </w:r>
      <w:r w:rsidRPr="001638DE">
        <w:rPr>
          <w:rtl/>
        </w:rPr>
        <w:t>ؤدي إلى خسارة مالية و</w:t>
      </w:r>
      <w:r w:rsidRPr="001638DE">
        <w:rPr>
          <w:rFonts w:hint="cs"/>
          <w:rtl/>
        </w:rPr>
        <w:t>مساس بحرمة ال</w:t>
      </w:r>
      <w:r w:rsidRPr="001638DE">
        <w:rPr>
          <w:rtl/>
        </w:rPr>
        <w:t xml:space="preserve">معلومات </w:t>
      </w:r>
      <w:r w:rsidRPr="001638DE">
        <w:rPr>
          <w:rFonts w:hint="cs"/>
          <w:rtl/>
        </w:rPr>
        <w:t>ال</w:t>
      </w:r>
      <w:r w:rsidRPr="001638DE">
        <w:rPr>
          <w:rtl/>
        </w:rPr>
        <w:t>شخصية بالإضافة إلى انتهاك الخصوصي</w:t>
      </w:r>
      <w:r w:rsidRPr="001638DE">
        <w:rPr>
          <w:rFonts w:hint="cs"/>
          <w:rtl/>
        </w:rPr>
        <w:t>ات</w:t>
      </w:r>
      <w:r w:rsidRPr="001638DE">
        <w:rPr>
          <w:rtl/>
        </w:rPr>
        <w:t>.</w:t>
      </w:r>
    </w:p>
    <w:p w14:paraId="6E548FF2" w14:textId="646FD4D7" w:rsidR="001638DE" w:rsidRPr="001638DE" w:rsidRDefault="001638DE" w:rsidP="001638DE">
      <w:pPr>
        <w:rPr>
          <w:lang w:val="ar-SA" w:bidi="ar-EG"/>
        </w:rPr>
      </w:pPr>
      <w:r w:rsidRPr="001638DE">
        <w:rPr>
          <w:rtl/>
        </w:rPr>
        <w:t xml:space="preserve">وتشدد التوصية على أهمية فهم </w:t>
      </w:r>
      <w:r w:rsidRPr="001638DE">
        <w:rPr>
          <w:rFonts w:hint="cs"/>
          <w:rtl/>
        </w:rPr>
        <w:t>ال</w:t>
      </w:r>
      <w:r w:rsidRPr="001638DE">
        <w:rPr>
          <w:rtl/>
        </w:rPr>
        <w:t>حركة غير المسموح</w:t>
      </w:r>
      <w:r w:rsidRPr="001638DE">
        <w:rPr>
          <w:rFonts w:hint="cs"/>
          <w:rtl/>
        </w:rPr>
        <w:t>ة</w:t>
      </w:r>
      <w:r w:rsidRPr="001638DE">
        <w:rPr>
          <w:rtl/>
        </w:rPr>
        <w:t xml:space="preserve"> وعواقبها المحتملة. و</w:t>
      </w:r>
      <w:r w:rsidRPr="001638DE">
        <w:rPr>
          <w:rFonts w:hint="cs"/>
          <w:rtl/>
        </w:rPr>
        <w:t>ت</w:t>
      </w:r>
      <w:r w:rsidRPr="001638DE">
        <w:rPr>
          <w:rtl/>
        </w:rPr>
        <w:t>سلط الضوء على التأثير السلبي على الأمن والخصوصي</w:t>
      </w:r>
      <w:r w:rsidRPr="001638DE">
        <w:rPr>
          <w:rFonts w:hint="cs"/>
          <w:rtl/>
        </w:rPr>
        <w:t>ات</w:t>
      </w:r>
      <w:r w:rsidRPr="001638DE">
        <w:rPr>
          <w:rtl/>
        </w:rPr>
        <w:t xml:space="preserve"> وتجربة المستخدم وكذلك جودة الخدمة </w:t>
      </w:r>
      <w:r w:rsidRPr="001638DE">
        <w:rPr>
          <w:lang w:bidi="ar-EG"/>
        </w:rPr>
        <w:t>(QoS)</w:t>
      </w:r>
      <w:r w:rsidRPr="001638DE">
        <w:rPr>
          <w:rtl/>
        </w:rPr>
        <w:t xml:space="preserve"> وجودة التجربة (</w:t>
      </w:r>
      <w:r w:rsidRPr="001638DE">
        <w:rPr>
          <w:rtl/>
          <w:lang w:bidi="ar-EG"/>
        </w:rPr>
        <w:t>QoE</w:t>
      </w:r>
      <w:r w:rsidRPr="001638DE">
        <w:rPr>
          <w:rtl/>
        </w:rPr>
        <w:t xml:space="preserve">). </w:t>
      </w:r>
      <w:r w:rsidRPr="001638DE">
        <w:rPr>
          <w:rFonts w:hint="cs"/>
          <w:rtl/>
        </w:rPr>
        <w:t>وتقدم</w:t>
      </w:r>
      <w:r w:rsidRPr="001638DE">
        <w:rPr>
          <w:rtl/>
        </w:rPr>
        <w:t xml:space="preserve"> أقسام الحلول </w:t>
      </w:r>
      <w:r w:rsidRPr="001638DE">
        <w:rPr>
          <w:rFonts w:hint="cs"/>
          <w:rtl/>
        </w:rPr>
        <w:t>و</w:t>
      </w:r>
      <w:r w:rsidRPr="001638DE">
        <w:rPr>
          <w:rtl/>
        </w:rPr>
        <w:t>حال</w:t>
      </w:r>
      <w:r w:rsidRPr="001638DE">
        <w:rPr>
          <w:rFonts w:hint="cs"/>
          <w:rtl/>
        </w:rPr>
        <w:t>ات</w:t>
      </w:r>
      <w:r w:rsidRPr="001638DE">
        <w:rPr>
          <w:rtl/>
        </w:rPr>
        <w:t xml:space="preserve"> الاستعمال في التوصية تدابير عملية لمكافحة الحركة غير المسموح</w:t>
      </w:r>
      <w:r w:rsidRPr="001638DE">
        <w:rPr>
          <w:rFonts w:hint="cs"/>
          <w:rtl/>
        </w:rPr>
        <w:t>ة</w:t>
      </w:r>
      <w:r w:rsidRPr="001638DE">
        <w:rPr>
          <w:rtl/>
        </w:rPr>
        <w:t xml:space="preserve"> مكافحة فعالة.</w:t>
      </w:r>
    </w:p>
    <w:p w14:paraId="3D232476" w14:textId="77777777" w:rsidR="001638DE" w:rsidRPr="001638DE" w:rsidRDefault="001638DE" w:rsidP="001638DE">
      <w:pPr>
        <w:rPr>
          <w:b/>
          <w:bCs/>
          <w:rtl/>
        </w:rPr>
      </w:pPr>
      <w:r w:rsidRPr="001638DE">
        <w:rPr>
          <w:b/>
          <w:bCs/>
          <w:rtl/>
        </w:rPr>
        <w:br w:type="page"/>
      </w:r>
    </w:p>
    <w:p w14:paraId="4916BA65" w14:textId="20E8D136" w:rsidR="001638DE" w:rsidRPr="001638DE" w:rsidRDefault="001638DE" w:rsidP="009946AC">
      <w:pPr>
        <w:pStyle w:val="Annextitle"/>
        <w:rPr>
          <w:lang w:bidi="ar-EG"/>
        </w:rPr>
      </w:pPr>
      <w:r w:rsidRPr="001638DE">
        <w:rPr>
          <w:rtl/>
        </w:rPr>
        <w:lastRenderedPageBreak/>
        <w:t xml:space="preserve">الملحق </w:t>
      </w:r>
      <w:r w:rsidRPr="001638DE">
        <w:t>2</w:t>
      </w:r>
      <w:r w:rsidR="009946AC">
        <w:br/>
      </w:r>
      <w:r w:rsidRPr="001638DE">
        <w:rPr>
          <w:rtl/>
        </w:rPr>
        <w:t xml:space="preserve">الموضوع: رد الدول الأعضاء على الرسالة المعممة </w:t>
      </w:r>
      <w:r w:rsidRPr="001638DE">
        <w:t>29</w:t>
      </w:r>
      <w:r w:rsidRPr="001638DE">
        <w:rPr>
          <w:rtl/>
        </w:rPr>
        <w:t xml:space="preserve"> لمكتب تقييس الاتصالات</w:t>
      </w:r>
      <w:r w:rsidR="009946AC" w:rsidRPr="001638DE">
        <w:rPr>
          <w:rtl/>
        </w:rPr>
        <w:t>:</w:t>
      </w:r>
      <w:r w:rsidR="009946AC">
        <w:br/>
      </w:r>
      <w:r w:rsidRPr="001638DE">
        <w:rPr>
          <w:rtl/>
        </w:rPr>
        <w:t xml:space="preserve">مشاورة بشأن مشاريع مراجعة التوصيات المحددة </w:t>
      </w:r>
      <w:r w:rsidRPr="001638DE">
        <w:t>ITU-T E.118</w:t>
      </w:r>
      <w:r w:rsidRPr="001638DE">
        <w:rPr>
          <w:rtl/>
        </w:rPr>
        <w:t xml:space="preserve"> و</w:t>
      </w:r>
      <w:r w:rsidRPr="001638DE">
        <w:t>ITU-T E.156</w:t>
      </w:r>
      <w:r w:rsidRPr="001638DE">
        <w:rPr>
          <w:rtl/>
        </w:rPr>
        <w:t xml:space="preserve"> </w:t>
      </w:r>
      <w:r w:rsidR="009946AC">
        <w:br/>
      </w:r>
      <w:r w:rsidRPr="001638DE">
        <w:rPr>
          <w:rtl/>
        </w:rPr>
        <w:t>و</w:t>
      </w:r>
      <w:r w:rsidRPr="001638DE">
        <w:t>ITU-T E.164</w:t>
      </w:r>
      <w:r w:rsidRPr="001638DE">
        <w:rPr>
          <w:rtl/>
        </w:rPr>
        <w:t xml:space="preserve"> ومشروع التوصية الجديدة </w:t>
      </w:r>
      <w:r w:rsidRPr="001638DE">
        <w:t>ITU-T E.371</w:t>
      </w:r>
      <w:r w:rsidRPr="001638DE">
        <w:rPr>
          <w:rtl/>
        </w:rPr>
        <w:t> (E.dit سابقاً)</w:t>
      </w:r>
    </w:p>
    <w:tbl>
      <w:tblPr>
        <w:bidiVisual/>
        <w:tblW w:w="5000" w:type="pct"/>
        <w:jc w:val="center"/>
        <w:tblLayout w:type="fixed"/>
        <w:tblLook w:val="04A0" w:firstRow="1" w:lastRow="0" w:firstColumn="1" w:lastColumn="0" w:noHBand="0" w:noVBand="1"/>
      </w:tblPr>
      <w:tblGrid>
        <w:gridCol w:w="1699"/>
        <w:gridCol w:w="3643"/>
        <w:gridCol w:w="1601"/>
        <w:gridCol w:w="2696"/>
      </w:tblGrid>
      <w:tr w:rsidR="001638DE" w:rsidRPr="001638DE" w14:paraId="31C47172" w14:textId="77777777" w:rsidTr="001C3E05">
        <w:trPr>
          <w:jc w:val="center"/>
        </w:trPr>
        <w:tc>
          <w:tcPr>
            <w:tcW w:w="1699" w:type="dxa"/>
            <w:shd w:val="clear" w:color="auto" w:fill="auto"/>
          </w:tcPr>
          <w:p w14:paraId="07F9907B" w14:textId="77777777" w:rsidR="001638DE" w:rsidRPr="001638DE" w:rsidRDefault="001638DE" w:rsidP="001638DE">
            <w:pPr>
              <w:rPr>
                <w:lang w:bidi="ar-EG"/>
              </w:rPr>
            </w:pPr>
            <w:r w:rsidRPr="001638DE">
              <w:rPr>
                <w:b/>
                <w:bCs/>
                <w:rtl/>
              </w:rPr>
              <w:t>إلى</w:t>
            </w:r>
            <w:r w:rsidRPr="001C3E05">
              <w:rPr>
                <w:rtl/>
              </w:rPr>
              <w:t>:</w:t>
            </w:r>
          </w:p>
        </w:tc>
        <w:tc>
          <w:tcPr>
            <w:tcW w:w="3643" w:type="dxa"/>
            <w:tcBorders>
              <w:right w:val="single" w:sz="8" w:space="0" w:color="auto"/>
            </w:tcBorders>
            <w:shd w:val="clear" w:color="auto" w:fill="auto"/>
          </w:tcPr>
          <w:p w14:paraId="0CC04354" w14:textId="3AD79783" w:rsidR="001638DE" w:rsidRPr="009946AC" w:rsidRDefault="001638DE" w:rsidP="001C3E05">
            <w:pPr>
              <w:jc w:val="left"/>
              <w:rPr>
                <w:lang w:val="ar-SA" w:bidi="ar-EG"/>
              </w:rPr>
            </w:pPr>
            <w:r w:rsidRPr="001638DE">
              <w:rPr>
                <w:rtl/>
              </w:rPr>
              <w:t>مدير مكتب تقييس الاتصالات،</w:t>
            </w:r>
            <w:r w:rsidR="009946AC">
              <w:rPr>
                <w:lang w:bidi="ar-EG"/>
              </w:rPr>
              <w:br/>
            </w:r>
            <w:r w:rsidRPr="001638DE">
              <w:rPr>
                <w:rtl/>
              </w:rPr>
              <w:t>الاتحاد الدولي للاتصالات</w:t>
            </w:r>
            <w:r w:rsidR="009946AC">
              <w:rPr>
                <w:lang w:bidi="ar-EG"/>
              </w:rPr>
              <w:br/>
            </w:r>
            <w:r w:rsidR="001C3E05" w:rsidRPr="001C3E05">
              <w:rPr>
                <w:lang w:val="fr-CH"/>
              </w:rPr>
              <w:t>Place des Nations</w:t>
            </w:r>
            <w:r w:rsidR="001C3E05">
              <w:rPr>
                <w:lang w:val="fr-CH"/>
              </w:rPr>
              <w:br/>
            </w:r>
            <w:r w:rsidRPr="00D30B17">
              <w:rPr>
                <w:lang w:val="fr-CH"/>
              </w:rPr>
              <w:t xml:space="preserve">CH 1211 Geneva 20, </w:t>
            </w:r>
            <w:proofErr w:type="spellStart"/>
            <w:r w:rsidRPr="00D30B17">
              <w:rPr>
                <w:lang w:val="fr-CH"/>
              </w:rPr>
              <w:t>Switzerland</w:t>
            </w:r>
            <w:proofErr w:type="spellEnd"/>
          </w:p>
        </w:tc>
        <w:tc>
          <w:tcPr>
            <w:tcW w:w="1601" w:type="dxa"/>
            <w:tcBorders>
              <w:left w:val="single" w:sz="8" w:space="0" w:color="auto"/>
            </w:tcBorders>
            <w:shd w:val="clear" w:color="auto" w:fill="auto"/>
          </w:tcPr>
          <w:p w14:paraId="46E3947A" w14:textId="77777777" w:rsidR="001638DE" w:rsidRPr="001638DE" w:rsidRDefault="001638DE" w:rsidP="001638DE">
            <w:pPr>
              <w:rPr>
                <w:lang w:val="ar-SA" w:bidi="ar-EG"/>
              </w:rPr>
            </w:pPr>
            <w:r w:rsidRPr="001C3E05">
              <w:rPr>
                <w:b/>
                <w:bCs/>
                <w:rtl/>
              </w:rPr>
              <w:t>من</w:t>
            </w:r>
            <w:r w:rsidRPr="001638DE">
              <w:rPr>
                <w:rtl/>
              </w:rPr>
              <w:t>:</w:t>
            </w:r>
          </w:p>
        </w:tc>
        <w:tc>
          <w:tcPr>
            <w:tcW w:w="2696" w:type="dxa"/>
            <w:shd w:val="clear" w:color="auto" w:fill="auto"/>
          </w:tcPr>
          <w:p w14:paraId="00F77EB4" w14:textId="47566A52" w:rsidR="001638DE" w:rsidRPr="001638DE" w:rsidRDefault="001638DE" w:rsidP="009946AC">
            <w:pPr>
              <w:rPr>
                <w:highlight w:val="green"/>
                <w:lang w:val="ar-SA" w:bidi="ar-EG"/>
              </w:rPr>
            </w:pPr>
            <w:r w:rsidRPr="001638DE">
              <w:rPr>
                <w:highlight w:val="green"/>
                <w:rtl/>
              </w:rPr>
              <w:t>[الاسم]</w:t>
            </w:r>
            <w:r w:rsidR="009946AC">
              <w:rPr>
                <w:highlight w:val="green"/>
                <w:lang w:bidi="ar-EG"/>
              </w:rPr>
              <w:br/>
            </w:r>
            <w:r w:rsidRPr="001638DE">
              <w:rPr>
                <w:highlight w:val="green"/>
                <w:rtl/>
              </w:rPr>
              <w:t>[الدور/المنصب الرسمي]</w:t>
            </w:r>
            <w:r w:rsidR="009946AC">
              <w:rPr>
                <w:b/>
                <w:bCs/>
                <w:rtl/>
              </w:rPr>
              <w:t xml:space="preserve"> </w:t>
            </w:r>
            <w:r w:rsidR="009946AC">
              <w:rPr>
                <w:b/>
                <w:bCs/>
                <w:rtl/>
              </w:rPr>
              <w:tab/>
            </w:r>
            <w:r w:rsidR="009946AC">
              <w:rPr>
                <w:highlight w:val="green"/>
                <w:lang w:bidi="ar-EG"/>
              </w:rPr>
              <w:br/>
            </w:r>
            <w:r w:rsidRPr="001638DE">
              <w:rPr>
                <w:highlight w:val="green"/>
                <w:rtl/>
              </w:rPr>
              <w:t>[العنوان]</w:t>
            </w:r>
          </w:p>
        </w:tc>
      </w:tr>
      <w:tr w:rsidR="001638DE" w:rsidRPr="001638DE" w14:paraId="26895A24" w14:textId="77777777" w:rsidTr="001C3E05">
        <w:trPr>
          <w:jc w:val="center"/>
        </w:trPr>
        <w:tc>
          <w:tcPr>
            <w:tcW w:w="1699" w:type="dxa"/>
            <w:shd w:val="clear" w:color="auto" w:fill="auto"/>
          </w:tcPr>
          <w:p w14:paraId="5840E2C7" w14:textId="77777777" w:rsidR="001638DE" w:rsidRPr="001638DE" w:rsidRDefault="001638DE" w:rsidP="001638DE">
            <w:pPr>
              <w:rPr>
                <w:lang w:val="ar-SA" w:bidi="ar-EG"/>
              </w:rPr>
            </w:pPr>
            <w:r w:rsidRPr="001638DE">
              <w:rPr>
                <w:b/>
                <w:bCs/>
                <w:rtl/>
              </w:rPr>
              <w:t>الفاكس</w:t>
            </w:r>
            <w:r w:rsidRPr="001C3E05">
              <w:rPr>
                <w:rtl/>
              </w:rPr>
              <w:t>:</w:t>
            </w:r>
          </w:p>
          <w:p w14:paraId="4C48D2C2" w14:textId="77777777" w:rsidR="001638DE" w:rsidRPr="001638DE" w:rsidRDefault="001638DE" w:rsidP="001638DE">
            <w:pPr>
              <w:rPr>
                <w:lang w:val="ar-SA" w:bidi="ar-EG"/>
              </w:rPr>
            </w:pPr>
            <w:r w:rsidRPr="001638DE">
              <w:rPr>
                <w:b/>
                <w:bCs/>
                <w:rtl/>
              </w:rPr>
              <w:t>البريد الإلكتروني</w:t>
            </w:r>
            <w:r w:rsidRPr="001C3E05">
              <w:rPr>
                <w:rtl/>
              </w:rPr>
              <w:t>:</w:t>
            </w:r>
          </w:p>
        </w:tc>
        <w:tc>
          <w:tcPr>
            <w:tcW w:w="3643" w:type="dxa"/>
            <w:tcBorders>
              <w:right w:val="single" w:sz="8" w:space="0" w:color="auto"/>
            </w:tcBorders>
            <w:shd w:val="clear" w:color="auto" w:fill="auto"/>
          </w:tcPr>
          <w:p w14:paraId="20CA3232" w14:textId="77777777" w:rsidR="001638DE" w:rsidRPr="001638DE" w:rsidRDefault="001638DE" w:rsidP="001638DE">
            <w:pPr>
              <w:rPr>
                <w:lang w:bidi="ar-EG"/>
              </w:rPr>
            </w:pPr>
            <w:r w:rsidRPr="001638DE">
              <w:rPr>
                <w:lang w:bidi="ar-EG"/>
              </w:rPr>
              <w:t>+41-22-730-5853</w:t>
            </w:r>
          </w:p>
          <w:p w14:paraId="07F47A37" w14:textId="77777777" w:rsidR="001638DE" w:rsidRPr="001638DE" w:rsidRDefault="001638DE" w:rsidP="001638DE">
            <w:pPr>
              <w:rPr>
                <w:lang w:val="ar-SA" w:bidi="ar-EG"/>
              </w:rPr>
            </w:pPr>
            <w:hyperlink r:id="rId18" w:history="1">
              <w:hyperlink r:id="rId19" w:history="1">
                <w:r w:rsidRPr="001638DE">
                  <w:rPr>
                    <w:rStyle w:val="Hyperlink"/>
                    <w:lang w:bidi="ar-EG"/>
                  </w:rPr>
                  <w:t>tsbdir@itu.int</w:t>
                </w:r>
              </w:hyperlink>
            </w:hyperlink>
          </w:p>
        </w:tc>
        <w:tc>
          <w:tcPr>
            <w:tcW w:w="1601" w:type="dxa"/>
            <w:tcBorders>
              <w:left w:val="single" w:sz="8" w:space="0" w:color="auto"/>
            </w:tcBorders>
            <w:shd w:val="clear" w:color="auto" w:fill="auto"/>
          </w:tcPr>
          <w:p w14:paraId="49013F7C" w14:textId="77777777" w:rsidR="001638DE" w:rsidRPr="001638DE" w:rsidRDefault="001638DE" w:rsidP="001638DE">
            <w:pPr>
              <w:rPr>
                <w:lang w:val="ar-SA" w:bidi="ar-EG"/>
              </w:rPr>
            </w:pPr>
            <w:r w:rsidRPr="001638DE">
              <w:rPr>
                <w:b/>
                <w:bCs/>
                <w:rtl/>
              </w:rPr>
              <w:t>الفاكس</w:t>
            </w:r>
            <w:r w:rsidRPr="001C3E05">
              <w:rPr>
                <w:rtl/>
              </w:rPr>
              <w:t>:</w:t>
            </w:r>
          </w:p>
          <w:p w14:paraId="4FED5808" w14:textId="77777777" w:rsidR="001638DE" w:rsidRPr="001638DE" w:rsidRDefault="001638DE" w:rsidP="001638DE">
            <w:pPr>
              <w:rPr>
                <w:lang w:val="ar-SA" w:bidi="ar-EG"/>
              </w:rPr>
            </w:pPr>
            <w:r w:rsidRPr="001638DE">
              <w:rPr>
                <w:b/>
                <w:bCs/>
                <w:rtl/>
              </w:rPr>
              <w:t>البريد الإلكتروني</w:t>
            </w:r>
            <w:r w:rsidRPr="001C3E05">
              <w:rPr>
                <w:rtl/>
              </w:rPr>
              <w:t>:</w:t>
            </w:r>
          </w:p>
        </w:tc>
        <w:tc>
          <w:tcPr>
            <w:tcW w:w="2696" w:type="dxa"/>
            <w:shd w:val="clear" w:color="auto" w:fill="auto"/>
          </w:tcPr>
          <w:p w14:paraId="5F56F888" w14:textId="77777777" w:rsidR="001638DE" w:rsidRPr="001638DE" w:rsidRDefault="001638DE" w:rsidP="001638DE">
            <w:pPr>
              <w:rPr>
                <w:highlight w:val="green"/>
                <w:lang w:bidi="ar-EG"/>
              </w:rPr>
            </w:pPr>
          </w:p>
        </w:tc>
      </w:tr>
      <w:tr w:rsidR="001638DE" w:rsidRPr="001638DE" w14:paraId="6A7B9F7B" w14:textId="77777777" w:rsidTr="001C3E05">
        <w:trPr>
          <w:jc w:val="center"/>
        </w:trPr>
        <w:tc>
          <w:tcPr>
            <w:tcW w:w="1699" w:type="dxa"/>
            <w:shd w:val="clear" w:color="auto" w:fill="auto"/>
          </w:tcPr>
          <w:p w14:paraId="7E53DDA8" w14:textId="77777777" w:rsidR="001638DE" w:rsidRPr="001638DE" w:rsidRDefault="001638DE" w:rsidP="001638DE">
            <w:pPr>
              <w:rPr>
                <w:lang w:bidi="ar-EG"/>
              </w:rPr>
            </w:pPr>
          </w:p>
        </w:tc>
        <w:tc>
          <w:tcPr>
            <w:tcW w:w="3643" w:type="dxa"/>
            <w:tcBorders>
              <w:right w:val="single" w:sz="8" w:space="0" w:color="auto"/>
            </w:tcBorders>
            <w:shd w:val="clear" w:color="auto" w:fill="auto"/>
          </w:tcPr>
          <w:p w14:paraId="726B7A47" w14:textId="77777777" w:rsidR="001638DE" w:rsidRPr="001638DE" w:rsidRDefault="001638DE" w:rsidP="001638DE">
            <w:pPr>
              <w:rPr>
                <w:lang w:bidi="ar-EG"/>
              </w:rPr>
            </w:pPr>
          </w:p>
        </w:tc>
        <w:tc>
          <w:tcPr>
            <w:tcW w:w="1601" w:type="dxa"/>
            <w:tcBorders>
              <w:left w:val="single" w:sz="8" w:space="0" w:color="auto"/>
            </w:tcBorders>
            <w:shd w:val="clear" w:color="auto" w:fill="auto"/>
          </w:tcPr>
          <w:p w14:paraId="203EE690" w14:textId="77777777" w:rsidR="001638DE" w:rsidRPr="001638DE" w:rsidRDefault="001638DE" w:rsidP="001638DE">
            <w:pPr>
              <w:rPr>
                <w:lang w:val="ar-SA" w:bidi="ar-EG"/>
              </w:rPr>
            </w:pPr>
            <w:r w:rsidRPr="001638DE">
              <w:rPr>
                <w:b/>
                <w:bCs/>
                <w:rtl/>
              </w:rPr>
              <w:t>التاريخ</w:t>
            </w:r>
            <w:r w:rsidRPr="001C3E05">
              <w:rPr>
                <w:rtl/>
              </w:rPr>
              <w:t>:</w:t>
            </w:r>
          </w:p>
        </w:tc>
        <w:tc>
          <w:tcPr>
            <w:tcW w:w="2696" w:type="dxa"/>
            <w:shd w:val="clear" w:color="auto" w:fill="auto"/>
          </w:tcPr>
          <w:p w14:paraId="281FE407" w14:textId="77777777" w:rsidR="001638DE" w:rsidRPr="001638DE" w:rsidRDefault="001638DE" w:rsidP="001638DE">
            <w:pPr>
              <w:rPr>
                <w:highlight w:val="green"/>
                <w:lang w:val="ar-SA" w:bidi="ar-EG"/>
              </w:rPr>
            </w:pPr>
            <w:r w:rsidRPr="001638DE">
              <w:rPr>
                <w:highlight w:val="green"/>
                <w:rtl/>
              </w:rPr>
              <w:t>[المكان]، [التاريخ]</w:t>
            </w:r>
          </w:p>
        </w:tc>
      </w:tr>
    </w:tbl>
    <w:p w14:paraId="23A221B4" w14:textId="77777777" w:rsidR="001638DE" w:rsidRPr="001638DE" w:rsidRDefault="001638DE" w:rsidP="001C3E05">
      <w:pPr>
        <w:spacing w:before="600"/>
        <w:rPr>
          <w:rtl/>
        </w:rPr>
      </w:pPr>
      <w:r w:rsidRPr="001638DE">
        <w:rPr>
          <w:rtl/>
        </w:rPr>
        <w:t>حضرات السادة والسيدات،</w:t>
      </w:r>
    </w:p>
    <w:p w14:paraId="1DF3BF13" w14:textId="77777777" w:rsidR="001638DE" w:rsidRPr="001638DE" w:rsidRDefault="001638DE" w:rsidP="001638DE">
      <w:pPr>
        <w:rPr>
          <w:lang w:val="ar-SA" w:bidi="ar-EG"/>
        </w:rPr>
      </w:pPr>
      <w:r w:rsidRPr="001638DE">
        <w:rPr>
          <w:rtl/>
        </w:rPr>
        <w:t>تحية طيبة وبعد،</w:t>
      </w:r>
    </w:p>
    <w:p w14:paraId="2AF5F6B9" w14:textId="77777777" w:rsidR="001638DE" w:rsidRPr="001638DE" w:rsidRDefault="001638DE" w:rsidP="001C3E05">
      <w:pPr>
        <w:spacing w:after="120"/>
        <w:rPr>
          <w:lang w:val="ar-SA" w:bidi="ar-EG"/>
        </w:rPr>
      </w:pPr>
      <w:r w:rsidRPr="001638DE">
        <w:rPr>
          <w:rtl/>
        </w:rPr>
        <w:t xml:space="preserve">فيما يخص مشاورة الدول الأعضاء بشأن مشاريع النصوص المحددة الواردة في الرسالة المعممة </w:t>
      </w:r>
      <w:r w:rsidRPr="001638DE">
        <w:rPr>
          <w:rFonts w:hint="cs"/>
        </w:rPr>
        <w:t>29</w:t>
      </w:r>
      <w:r w:rsidRPr="001638DE">
        <w:rPr>
          <w:rtl/>
        </w:rPr>
        <w:t xml:space="preserve"> من مكتب تقييس الاتصالات، أود أن أطلعكم على رأي هذه الإدارة المبين في الجدول أدناه.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7437"/>
      </w:tblGrid>
      <w:tr w:rsidR="001638DE" w:rsidRPr="001638DE" w14:paraId="6C28645D" w14:textId="77777777" w:rsidTr="001C3E05">
        <w:trPr>
          <w:tblHeader/>
          <w:jc w:val="center"/>
        </w:trPr>
        <w:tc>
          <w:tcPr>
            <w:tcW w:w="2211" w:type="dxa"/>
            <w:shd w:val="clear" w:color="auto" w:fill="auto"/>
            <w:vAlign w:val="center"/>
          </w:tcPr>
          <w:p w14:paraId="3906E13D" w14:textId="77777777" w:rsidR="001638DE" w:rsidRPr="001638DE" w:rsidRDefault="001638DE" w:rsidP="001638DE">
            <w:pPr>
              <w:rPr>
                <w:b/>
                <w:bCs/>
                <w:lang w:bidi="ar-EG"/>
              </w:rPr>
            </w:pPr>
          </w:p>
        </w:tc>
        <w:tc>
          <w:tcPr>
            <w:tcW w:w="7508" w:type="dxa"/>
            <w:shd w:val="clear" w:color="auto" w:fill="auto"/>
            <w:vAlign w:val="center"/>
          </w:tcPr>
          <w:p w14:paraId="57FBA651" w14:textId="77777777" w:rsidR="001638DE" w:rsidRPr="001638DE" w:rsidRDefault="001638DE" w:rsidP="00D5314F">
            <w:pPr>
              <w:jc w:val="center"/>
              <w:rPr>
                <w:b/>
                <w:bCs/>
                <w:lang w:val="ar-SA" w:bidi="ar-EG"/>
              </w:rPr>
            </w:pPr>
            <w:r w:rsidRPr="001638DE">
              <w:rPr>
                <w:b/>
                <w:bCs/>
                <w:rtl/>
              </w:rPr>
              <w:t>يُرجى اختيار أحد المربعين فيما يتعلق بكل نص</w:t>
            </w:r>
          </w:p>
        </w:tc>
      </w:tr>
      <w:tr w:rsidR="001638DE" w:rsidRPr="001638DE" w14:paraId="434570E5" w14:textId="77777777" w:rsidTr="001C3E05">
        <w:trPr>
          <w:trHeight w:val="748"/>
          <w:jc w:val="center"/>
        </w:trPr>
        <w:tc>
          <w:tcPr>
            <w:tcW w:w="2211" w:type="dxa"/>
            <w:vMerge w:val="restart"/>
            <w:shd w:val="clear" w:color="auto" w:fill="auto"/>
            <w:vAlign w:val="center"/>
          </w:tcPr>
          <w:p w14:paraId="649F360D" w14:textId="77777777" w:rsidR="001638DE" w:rsidRPr="001638DE" w:rsidRDefault="001638DE" w:rsidP="00D5314F">
            <w:pPr>
              <w:jc w:val="center"/>
              <w:rPr>
                <w:b/>
                <w:bCs/>
                <w:lang w:bidi="ar-EG"/>
              </w:rPr>
            </w:pPr>
            <w:r w:rsidRPr="001638DE">
              <w:rPr>
                <w:b/>
                <w:bCs/>
                <w:rtl/>
              </w:rPr>
              <w:t xml:space="preserve">مشروع </w:t>
            </w:r>
            <w:r w:rsidRPr="001638DE">
              <w:rPr>
                <w:rFonts w:hint="cs"/>
                <w:b/>
                <w:bCs/>
                <w:rtl/>
              </w:rPr>
              <w:t xml:space="preserve">مراجعة </w:t>
            </w:r>
            <w:r w:rsidRPr="001638DE">
              <w:rPr>
                <w:b/>
                <w:bCs/>
                <w:rtl/>
              </w:rPr>
              <w:t xml:space="preserve">التوصية </w:t>
            </w:r>
            <w:r w:rsidRPr="001638DE">
              <w:rPr>
                <w:b/>
                <w:bCs/>
                <w:lang w:bidi="ar-EG"/>
              </w:rPr>
              <w:t>ITU-T E.118</w:t>
            </w:r>
          </w:p>
        </w:tc>
        <w:tc>
          <w:tcPr>
            <w:tcW w:w="7508" w:type="dxa"/>
            <w:shd w:val="clear" w:color="auto" w:fill="auto"/>
            <w:vAlign w:val="center"/>
          </w:tcPr>
          <w:p w14:paraId="4AE96AB6" w14:textId="5A64CDC6" w:rsidR="001638DE" w:rsidRPr="001638DE" w:rsidRDefault="009516B8" w:rsidP="007356D7">
            <w:pPr>
              <w:ind w:left="454" w:hanging="454"/>
              <w:rPr>
                <w:lang w:val="ar-SA" w:bidi="ar-EG"/>
              </w:rPr>
            </w:pPr>
            <w:sdt>
              <w:sdtPr>
                <w:rPr>
                  <w:rtl/>
                </w:rPr>
                <w:id w:val="355704490"/>
                <w14:checkbox>
                  <w14:checked w14:val="0"/>
                  <w14:checkedState w14:val="2612" w14:font="MS Gothic"/>
                  <w14:uncheckedState w14:val="2610" w14:font="MS Gothic"/>
                </w14:checkbox>
              </w:sdtPr>
              <w:sdtEndPr/>
              <w:sdtContent>
                <w:r w:rsidR="001C3E05">
                  <w:rPr>
                    <w:rFonts w:ascii="MS Gothic" w:eastAsia="MS Gothic" w:hAnsi="MS Gothic" w:hint="eastAsia"/>
                    <w:rtl/>
                  </w:rPr>
                  <w:t>☐</w:t>
                </w:r>
              </w:sdtContent>
            </w:sdt>
            <w:r w:rsidR="001638DE" w:rsidRPr="001638DE">
              <w:rPr>
                <w:rtl/>
              </w:rPr>
              <w:tab/>
            </w:r>
            <w:r w:rsidR="001638DE" w:rsidRPr="001638DE">
              <w:rPr>
                <w:b/>
                <w:bCs/>
                <w:rtl/>
              </w:rPr>
              <w:t xml:space="preserve">تفوض </w:t>
            </w:r>
            <w:r w:rsidR="001638DE" w:rsidRPr="001638DE">
              <w:rPr>
                <w:rtl/>
              </w:rPr>
              <w:t xml:space="preserve">لجنة الدراسات </w:t>
            </w:r>
            <w:r w:rsidR="001638DE" w:rsidRPr="001638DE">
              <w:t>2</w:t>
            </w:r>
            <w:r w:rsidR="001638DE" w:rsidRPr="001638DE">
              <w:rPr>
                <w:rtl/>
              </w:rPr>
              <w:t xml:space="preserve"> </w:t>
            </w:r>
            <w:r w:rsidR="001638DE" w:rsidRPr="001638DE">
              <w:rPr>
                <w:b/>
                <w:bCs/>
                <w:rtl/>
              </w:rPr>
              <w:t>سلطة</w:t>
            </w:r>
            <w:r w:rsidR="001638DE" w:rsidRPr="001638DE">
              <w:rPr>
                <w:rtl/>
              </w:rPr>
              <w:t xml:space="preserve"> النظر في هذا النص بغرض الموافقة عليه (وفي هذه الحالة، تحديد أحد الخيارين):</w:t>
            </w:r>
          </w:p>
          <w:p w14:paraId="77AFA7B9" w14:textId="4EF20FFE" w:rsidR="001638DE" w:rsidRPr="001638DE" w:rsidRDefault="009516B8" w:rsidP="007356D7">
            <w:pPr>
              <w:ind w:left="454"/>
              <w:rPr>
                <w:lang w:val="ar-SA" w:bidi="ar-EG"/>
              </w:rPr>
            </w:pPr>
            <w:sdt>
              <w:sdtPr>
                <w:rPr>
                  <w:rFonts w:ascii="Cambria Math" w:hAnsi="Cambria Math" w:cs="Cambria Math"/>
                  <w:rtl/>
                </w:rPr>
                <w:id w:val="652334850"/>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D30B17">
              <w:rPr>
                <w:b/>
                <w:bCs/>
                <w:rtl/>
              </w:rPr>
              <w:tab/>
            </w:r>
            <w:r w:rsidR="001638DE" w:rsidRPr="001638DE">
              <w:rPr>
                <w:rtl/>
              </w:rPr>
              <w:t>لا تعليقات أو تغييرات مقترحة</w:t>
            </w:r>
          </w:p>
          <w:p w14:paraId="28C25BB8" w14:textId="69944F6B" w:rsidR="001638DE" w:rsidRPr="001638DE" w:rsidRDefault="009516B8" w:rsidP="007356D7">
            <w:pPr>
              <w:ind w:left="454"/>
              <w:rPr>
                <w:lang w:val="ar-SA" w:bidi="ar-EG"/>
              </w:rPr>
            </w:pPr>
            <w:sdt>
              <w:sdtPr>
                <w:rPr>
                  <w:rFonts w:ascii="Cambria Math" w:hAnsi="Cambria Math" w:cs="Cambria Math"/>
                  <w:rtl/>
                </w:rPr>
                <w:id w:val="-1393581513"/>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D30B17">
              <w:rPr>
                <w:b/>
                <w:bCs/>
                <w:rtl/>
              </w:rPr>
              <w:tab/>
            </w:r>
            <w:r w:rsidR="001638DE" w:rsidRPr="001638DE">
              <w:rPr>
                <w:rtl/>
              </w:rPr>
              <w:t>التعليقات والتغييرات المقترحة مرفقة بالطي</w:t>
            </w:r>
          </w:p>
        </w:tc>
      </w:tr>
      <w:tr w:rsidR="001638DE" w:rsidRPr="001638DE" w14:paraId="397940D2" w14:textId="77777777" w:rsidTr="001C3E05">
        <w:trPr>
          <w:trHeight w:val="747"/>
          <w:jc w:val="center"/>
        </w:trPr>
        <w:tc>
          <w:tcPr>
            <w:tcW w:w="2211" w:type="dxa"/>
            <w:vMerge/>
            <w:shd w:val="clear" w:color="auto" w:fill="auto"/>
            <w:vAlign w:val="center"/>
          </w:tcPr>
          <w:p w14:paraId="5A08CCDE" w14:textId="77777777" w:rsidR="001638DE" w:rsidRPr="001638DE" w:rsidRDefault="001638DE" w:rsidP="00D5314F">
            <w:pPr>
              <w:jc w:val="center"/>
              <w:rPr>
                <w:b/>
                <w:bCs/>
                <w:lang w:bidi="ar-EG"/>
              </w:rPr>
            </w:pPr>
          </w:p>
        </w:tc>
        <w:tc>
          <w:tcPr>
            <w:tcW w:w="7508" w:type="dxa"/>
            <w:shd w:val="clear" w:color="auto" w:fill="auto"/>
            <w:vAlign w:val="center"/>
          </w:tcPr>
          <w:p w14:paraId="1EA84C06" w14:textId="5021DF21" w:rsidR="001638DE" w:rsidRPr="001638DE" w:rsidRDefault="009516B8" w:rsidP="007356D7">
            <w:pPr>
              <w:ind w:left="454" w:hanging="454"/>
              <w:rPr>
                <w:lang w:val="ar-SA" w:bidi="ar-EG"/>
              </w:rPr>
            </w:pPr>
            <w:sdt>
              <w:sdtPr>
                <w:rPr>
                  <w:rtl/>
                </w:rPr>
                <w:id w:val="-121077988"/>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1638DE" w:rsidRPr="001638DE">
              <w:rPr>
                <w:rtl/>
              </w:rPr>
              <w:tab/>
            </w:r>
            <w:r w:rsidR="001638DE" w:rsidRPr="001638DE">
              <w:rPr>
                <w:b/>
                <w:bCs/>
                <w:rtl/>
              </w:rPr>
              <w:t xml:space="preserve">لا تفوض </w:t>
            </w:r>
            <w:r w:rsidR="001638DE" w:rsidRPr="001638DE">
              <w:rPr>
                <w:rtl/>
              </w:rPr>
              <w:t xml:space="preserve">لجنة الدراسات </w:t>
            </w:r>
            <w:r w:rsidR="001638DE" w:rsidRPr="001638DE">
              <w:t>2</w:t>
            </w:r>
            <w:r w:rsidR="001638DE" w:rsidRPr="001638DE">
              <w:rPr>
                <w:rtl/>
              </w:rPr>
              <w:t xml:space="preserve"> </w:t>
            </w:r>
            <w:r w:rsidR="001638DE" w:rsidRPr="001638DE">
              <w:rPr>
                <w:b/>
                <w:bCs/>
                <w:rtl/>
              </w:rPr>
              <w:t>سلطة</w:t>
            </w:r>
            <w:r w:rsidR="001638DE" w:rsidRPr="001638DE">
              <w:rPr>
                <w:rtl/>
              </w:rPr>
              <w:t xml:space="preserve"> النظر في هذا النص بغرض الموافقة عليه (ترفق بالطي أسباب هذا الرأي ولمحة عن التغييرات المحتملة التي من شأنها أن تمكّن من إحراز تقدم في العمل)</w:t>
            </w:r>
          </w:p>
        </w:tc>
      </w:tr>
      <w:tr w:rsidR="001638DE" w:rsidRPr="001638DE" w14:paraId="363EA640" w14:textId="77777777" w:rsidTr="001C3E05">
        <w:trPr>
          <w:trHeight w:val="748"/>
          <w:jc w:val="center"/>
        </w:trPr>
        <w:tc>
          <w:tcPr>
            <w:tcW w:w="2211" w:type="dxa"/>
            <w:vMerge w:val="restart"/>
            <w:shd w:val="clear" w:color="auto" w:fill="auto"/>
            <w:vAlign w:val="center"/>
          </w:tcPr>
          <w:p w14:paraId="7BB88C6E" w14:textId="77777777" w:rsidR="001638DE" w:rsidRPr="001638DE" w:rsidRDefault="001638DE" w:rsidP="00D5314F">
            <w:pPr>
              <w:jc w:val="center"/>
              <w:rPr>
                <w:b/>
                <w:bCs/>
                <w:lang w:bidi="ar-EG"/>
              </w:rPr>
            </w:pPr>
            <w:r w:rsidRPr="001638DE">
              <w:rPr>
                <w:b/>
                <w:bCs/>
                <w:rtl/>
              </w:rPr>
              <w:t xml:space="preserve">مشروع </w:t>
            </w:r>
            <w:r w:rsidRPr="001638DE">
              <w:rPr>
                <w:rFonts w:hint="cs"/>
                <w:b/>
                <w:bCs/>
                <w:rtl/>
              </w:rPr>
              <w:t xml:space="preserve">مراجعة </w:t>
            </w:r>
            <w:r w:rsidRPr="001638DE">
              <w:rPr>
                <w:b/>
                <w:bCs/>
                <w:rtl/>
              </w:rPr>
              <w:t xml:space="preserve">التوصية </w:t>
            </w:r>
            <w:r w:rsidRPr="001638DE">
              <w:rPr>
                <w:b/>
                <w:bCs/>
              </w:rPr>
              <w:t xml:space="preserve">ITU-T </w:t>
            </w:r>
            <w:r w:rsidRPr="001638DE">
              <w:rPr>
                <w:b/>
                <w:bCs/>
                <w:lang w:val="fr-CH" w:bidi="ar-EG"/>
              </w:rPr>
              <w:t>E.156</w:t>
            </w:r>
          </w:p>
        </w:tc>
        <w:tc>
          <w:tcPr>
            <w:tcW w:w="7508" w:type="dxa"/>
            <w:shd w:val="clear" w:color="auto" w:fill="auto"/>
            <w:vAlign w:val="center"/>
          </w:tcPr>
          <w:p w14:paraId="71F0577C" w14:textId="3E79D5B9" w:rsidR="001638DE" w:rsidRPr="001638DE" w:rsidRDefault="009516B8" w:rsidP="007356D7">
            <w:pPr>
              <w:ind w:left="454" w:hanging="454"/>
              <w:rPr>
                <w:lang w:val="ar-SA" w:bidi="ar-EG"/>
              </w:rPr>
            </w:pPr>
            <w:sdt>
              <w:sdtPr>
                <w:rPr>
                  <w:rtl/>
                </w:rPr>
                <w:id w:val="1340730403"/>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1638DE" w:rsidRPr="001638DE">
              <w:rPr>
                <w:rtl/>
              </w:rPr>
              <w:tab/>
            </w:r>
            <w:r w:rsidR="001638DE" w:rsidRPr="001638DE">
              <w:rPr>
                <w:b/>
                <w:bCs/>
                <w:rtl/>
              </w:rPr>
              <w:t xml:space="preserve">تفوض </w:t>
            </w:r>
            <w:r w:rsidR="001638DE" w:rsidRPr="001638DE">
              <w:rPr>
                <w:rtl/>
              </w:rPr>
              <w:t xml:space="preserve">لجنة الدراسات </w:t>
            </w:r>
            <w:r w:rsidR="001638DE" w:rsidRPr="001638DE">
              <w:t>2</w:t>
            </w:r>
            <w:r w:rsidR="001638DE" w:rsidRPr="001638DE">
              <w:rPr>
                <w:rtl/>
              </w:rPr>
              <w:t xml:space="preserve"> </w:t>
            </w:r>
            <w:r w:rsidR="001638DE" w:rsidRPr="001638DE">
              <w:rPr>
                <w:b/>
                <w:bCs/>
                <w:rtl/>
              </w:rPr>
              <w:t>سلطة</w:t>
            </w:r>
            <w:r w:rsidR="001638DE" w:rsidRPr="001638DE">
              <w:rPr>
                <w:rtl/>
              </w:rPr>
              <w:t xml:space="preserve"> النظر في هذا النص بغرض الموافقة عليه (وفي هذه الحالة، تحديد أحد الخيارين):</w:t>
            </w:r>
          </w:p>
          <w:p w14:paraId="2C59363F" w14:textId="2F496E68" w:rsidR="001638DE" w:rsidRPr="001638DE" w:rsidRDefault="009516B8" w:rsidP="007356D7">
            <w:pPr>
              <w:ind w:left="454"/>
              <w:rPr>
                <w:lang w:val="ar-SA" w:bidi="ar-EG"/>
              </w:rPr>
            </w:pPr>
            <w:sdt>
              <w:sdtPr>
                <w:rPr>
                  <w:rFonts w:ascii="Cambria Math" w:hAnsi="Cambria Math" w:cs="Cambria Math"/>
                  <w:rtl/>
                </w:rPr>
                <w:id w:val="732972753"/>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D30B17">
              <w:rPr>
                <w:b/>
                <w:bCs/>
                <w:rtl/>
              </w:rPr>
              <w:tab/>
            </w:r>
            <w:r w:rsidR="001638DE" w:rsidRPr="001638DE">
              <w:rPr>
                <w:rtl/>
              </w:rPr>
              <w:t>لا تعليقات أو تغييرات مقترحة</w:t>
            </w:r>
          </w:p>
          <w:p w14:paraId="7582CEA6" w14:textId="472196C2" w:rsidR="001638DE" w:rsidRPr="001638DE" w:rsidRDefault="009516B8" w:rsidP="007356D7">
            <w:pPr>
              <w:ind w:left="454"/>
              <w:rPr>
                <w:lang w:val="ar-SA" w:bidi="ar-EG"/>
              </w:rPr>
            </w:pPr>
            <w:sdt>
              <w:sdtPr>
                <w:rPr>
                  <w:rFonts w:ascii="Cambria Math" w:hAnsi="Cambria Math" w:cs="Cambria Math"/>
                  <w:rtl/>
                </w:rPr>
                <w:id w:val="480667605"/>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D30B17">
              <w:rPr>
                <w:b/>
                <w:bCs/>
                <w:rtl/>
              </w:rPr>
              <w:tab/>
            </w:r>
            <w:r w:rsidR="001638DE" w:rsidRPr="001638DE">
              <w:rPr>
                <w:rtl/>
              </w:rPr>
              <w:t>التعليقات والتغييرات المقترحة مرفقة بالطي</w:t>
            </w:r>
          </w:p>
        </w:tc>
      </w:tr>
      <w:tr w:rsidR="001638DE" w:rsidRPr="001638DE" w14:paraId="79FF33EB" w14:textId="77777777" w:rsidTr="001C3E05">
        <w:trPr>
          <w:trHeight w:val="747"/>
          <w:jc w:val="center"/>
        </w:trPr>
        <w:tc>
          <w:tcPr>
            <w:tcW w:w="2211" w:type="dxa"/>
            <w:vMerge/>
            <w:shd w:val="clear" w:color="auto" w:fill="auto"/>
            <w:vAlign w:val="center"/>
          </w:tcPr>
          <w:p w14:paraId="1C7CA71D" w14:textId="77777777" w:rsidR="001638DE" w:rsidRPr="001638DE" w:rsidRDefault="001638DE" w:rsidP="00D5314F">
            <w:pPr>
              <w:jc w:val="center"/>
              <w:rPr>
                <w:b/>
                <w:bCs/>
                <w:lang w:bidi="ar-EG"/>
              </w:rPr>
            </w:pPr>
          </w:p>
        </w:tc>
        <w:tc>
          <w:tcPr>
            <w:tcW w:w="7508" w:type="dxa"/>
            <w:shd w:val="clear" w:color="auto" w:fill="auto"/>
            <w:vAlign w:val="center"/>
          </w:tcPr>
          <w:p w14:paraId="7523D069" w14:textId="6308E0CA" w:rsidR="001638DE" w:rsidRPr="001638DE" w:rsidRDefault="009516B8" w:rsidP="007356D7">
            <w:pPr>
              <w:ind w:left="454" w:hanging="454"/>
              <w:rPr>
                <w:lang w:val="ar-SA" w:bidi="ar-EG"/>
              </w:rPr>
            </w:pPr>
            <w:sdt>
              <w:sdtPr>
                <w:rPr>
                  <w:rFonts w:ascii="Cambria Math" w:hAnsi="Cambria Math" w:cs="Cambria Math"/>
                  <w:rtl/>
                </w:rPr>
                <w:id w:val="1458914296"/>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7356D7" w:rsidRPr="001638DE">
              <w:rPr>
                <w:b/>
                <w:bCs/>
                <w:rtl/>
              </w:rPr>
              <w:t xml:space="preserve"> </w:t>
            </w:r>
            <w:r w:rsidR="007356D7">
              <w:rPr>
                <w:b/>
                <w:bCs/>
                <w:rtl/>
              </w:rPr>
              <w:tab/>
            </w:r>
            <w:r w:rsidR="001638DE" w:rsidRPr="001638DE">
              <w:rPr>
                <w:b/>
                <w:bCs/>
                <w:rtl/>
              </w:rPr>
              <w:t xml:space="preserve">لا تفوض </w:t>
            </w:r>
            <w:r w:rsidR="001638DE" w:rsidRPr="001638DE">
              <w:rPr>
                <w:rtl/>
              </w:rPr>
              <w:t xml:space="preserve">لجنة الدراسات </w:t>
            </w:r>
            <w:r w:rsidR="001638DE" w:rsidRPr="001638DE">
              <w:t>2</w:t>
            </w:r>
            <w:r w:rsidR="001638DE" w:rsidRPr="001638DE">
              <w:rPr>
                <w:rtl/>
              </w:rPr>
              <w:t xml:space="preserve"> </w:t>
            </w:r>
            <w:r w:rsidR="001638DE" w:rsidRPr="001638DE">
              <w:rPr>
                <w:b/>
                <w:bCs/>
                <w:rtl/>
              </w:rPr>
              <w:t>سلطة</w:t>
            </w:r>
            <w:r w:rsidR="001638DE" w:rsidRPr="001638DE">
              <w:rPr>
                <w:rtl/>
              </w:rPr>
              <w:t xml:space="preserve"> النظر في هذا النص بغرض الموافقة عليه (ترفق بالطي أسباب هذا الرأي ولمحة عن التغييرات المحتملة التي من شأنها أن تمكّن من إحراز تقدم في العمل)</w:t>
            </w:r>
          </w:p>
        </w:tc>
      </w:tr>
      <w:tr w:rsidR="001638DE" w:rsidRPr="001638DE" w14:paraId="1FF8F37A" w14:textId="77777777" w:rsidTr="001C3E05">
        <w:trPr>
          <w:trHeight w:val="748"/>
          <w:jc w:val="center"/>
        </w:trPr>
        <w:tc>
          <w:tcPr>
            <w:tcW w:w="2211" w:type="dxa"/>
            <w:vMerge w:val="restart"/>
            <w:shd w:val="clear" w:color="auto" w:fill="auto"/>
            <w:vAlign w:val="center"/>
          </w:tcPr>
          <w:p w14:paraId="4E77AE3D" w14:textId="52268B8B" w:rsidR="001638DE" w:rsidRPr="001638DE" w:rsidRDefault="001638DE" w:rsidP="001C3E05">
            <w:pPr>
              <w:keepNext/>
              <w:jc w:val="center"/>
              <w:rPr>
                <w:b/>
                <w:bCs/>
                <w:lang w:bidi="ar-EG"/>
              </w:rPr>
            </w:pPr>
            <w:r w:rsidRPr="001638DE">
              <w:rPr>
                <w:b/>
                <w:bCs/>
                <w:rtl/>
              </w:rPr>
              <w:lastRenderedPageBreak/>
              <w:t xml:space="preserve">مشروع </w:t>
            </w:r>
            <w:r w:rsidRPr="001638DE">
              <w:rPr>
                <w:rFonts w:hint="cs"/>
                <w:b/>
                <w:bCs/>
                <w:rtl/>
              </w:rPr>
              <w:t xml:space="preserve">مراجعة </w:t>
            </w:r>
            <w:r w:rsidRPr="001638DE">
              <w:rPr>
                <w:b/>
                <w:bCs/>
                <w:rtl/>
              </w:rPr>
              <w:t xml:space="preserve">التوصية </w:t>
            </w:r>
            <w:r w:rsidRPr="001638DE">
              <w:rPr>
                <w:b/>
                <w:bCs/>
              </w:rPr>
              <w:t xml:space="preserve">ITU-T </w:t>
            </w:r>
            <w:r w:rsidRPr="001638DE">
              <w:rPr>
                <w:b/>
                <w:bCs/>
                <w:lang w:bidi="ar-EG"/>
              </w:rPr>
              <w:t>E.164</w:t>
            </w:r>
          </w:p>
        </w:tc>
        <w:tc>
          <w:tcPr>
            <w:tcW w:w="7508" w:type="dxa"/>
            <w:shd w:val="clear" w:color="auto" w:fill="auto"/>
            <w:vAlign w:val="center"/>
          </w:tcPr>
          <w:p w14:paraId="60643B57" w14:textId="21F25091" w:rsidR="001638DE" w:rsidRPr="001638DE" w:rsidRDefault="009516B8" w:rsidP="001C3E05">
            <w:pPr>
              <w:keepNext/>
              <w:ind w:left="454" w:hanging="454"/>
              <w:rPr>
                <w:lang w:val="ar-SA" w:bidi="ar-EG"/>
              </w:rPr>
            </w:pPr>
            <w:sdt>
              <w:sdtPr>
                <w:rPr>
                  <w:rFonts w:ascii="Cambria Math" w:hAnsi="Cambria Math" w:cs="Cambria Math"/>
                  <w:rtl/>
                </w:rPr>
                <w:id w:val="-626235668"/>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1C3E05">
              <w:rPr>
                <w:b/>
                <w:bCs/>
                <w:rtl/>
              </w:rPr>
              <w:tab/>
            </w:r>
            <w:r w:rsidR="001638DE" w:rsidRPr="001638DE">
              <w:rPr>
                <w:b/>
                <w:bCs/>
                <w:rtl/>
              </w:rPr>
              <w:t xml:space="preserve">تفوض </w:t>
            </w:r>
            <w:r w:rsidR="001638DE" w:rsidRPr="001638DE">
              <w:rPr>
                <w:rtl/>
              </w:rPr>
              <w:t xml:space="preserve">لجنة الدراسات </w:t>
            </w:r>
            <w:r w:rsidR="001638DE" w:rsidRPr="001638DE">
              <w:t>2</w:t>
            </w:r>
            <w:r w:rsidR="001638DE" w:rsidRPr="001638DE">
              <w:rPr>
                <w:rtl/>
              </w:rPr>
              <w:t xml:space="preserve"> </w:t>
            </w:r>
            <w:r w:rsidR="001638DE" w:rsidRPr="001638DE">
              <w:rPr>
                <w:b/>
                <w:bCs/>
                <w:rtl/>
              </w:rPr>
              <w:t>سلطة</w:t>
            </w:r>
            <w:r w:rsidR="001638DE" w:rsidRPr="001638DE">
              <w:rPr>
                <w:rtl/>
              </w:rPr>
              <w:t xml:space="preserve"> النظر في هذا النص بغرض الموافقة عليه (وفي هذه الحالة، تحديد أحد الخيارين):</w:t>
            </w:r>
          </w:p>
          <w:p w14:paraId="00456901" w14:textId="00925E87" w:rsidR="001638DE" w:rsidRPr="001638DE" w:rsidRDefault="009516B8" w:rsidP="001C3E05">
            <w:pPr>
              <w:keepNext/>
              <w:ind w:left="454"/>
              <w:rPr>
                <w:lang w:val="ar-SA" w:bidi="ar-EG"/>
              </w:rPr>
            </w:pPr>
            <w:sdt>
              <w:sdtPr>
                <w:rPr>
                  <w:rFonts w:ascii="Cambria Math" w:hAnsi="Cambria Math" w:cs="Cambria Math"/>
                  <w:rtl/>
                </w:rPr>
                <w:id w:val="419308589"/>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D30B17">
              <w:rPr>
                <w:b/>
                <w:bCs/>
                <w:rtl/>
              </w:rPr>
              <w:tab/>
            </w:r>
            <w:r w:rsidR="001638DE" w:rsidRPr="001638DE">
              <w:rPr>
                <w:rtl/>
              </w:rPr>
              <w:t>لا تعليقات أو تغييرات مقترحة</w:t>
            </w:r>
          </w:p>
          <w:p w14:paraId="01D9EA2A" w14:textId="0DDFD5B0" w:rsidR="001638DE" w:rsidRPr="001638DE" w:rsidRDefault="009516B8" w:rsidP="001C3E05">
            <w:pPr>
              <w:keepNext/>
              <w:ind w:left="454"/>
              <w:rPr>
                <w:lang w:val="ar-SA" w:bidi="ar-EG"/>
              </w:rPr>
            </w:pPr>
            <w:sdt>
              <w:sdtPr>
                <w:rPr>
                  <w:rFonts w:ascii="Cambria Math" w:hAnsi="Cambria Math" w:cs="Cambria Math"/>
                  <w:rtl/>
                </w:rPr>
                <w:id w:val="-1726448561"/>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D30B17">
              <w:rPr>
                <w:b/>
                <w:bCs/>
                <w:rtl/>
              </w:rPr>
              <w:tab/>
            </w:r>
            <w:r w:rsidR="001638DE" w:rsidRPr="001638DE">
              <w:rPr>
                <w:rtl/>
              </w:rPr>
              <w:t>التعليقات والتغييرات المقترحة مرفقة بالطي</w:t>
            </w:r>
          </w:p>
        </w:tc>
      </w:tr>
      <w:tr w:rsidR="001638DE" w:rsidRPr="001638DE" w14:paraId="45622CD7" w14:textId="77777777" w:rsidTr="001C3E05">
        <w:trPr>
          <w:trHeight w:val="747"/>
          <w:jc w:val="center"/>
        </w:trPr>
        <w:tc>
          <w:tcPr>
            <w:tcW w:w="2211" w:type="dxa"/>
            <w:vMerge/>
            <w:shd w:val="clear" w:color="auto" w:fill="auto"/>
            <w:vAlign w:val="center"/>
          </w:tcPr>
          <w:p w14:paraId="2CA1433C" w14:textId="77777777" w:rsidR="001638DE" w:rsidRPr="001638DE" w:rsidRDefault="001638DE" w:rsidP="00D5314F">
            <w:pPr>
              <w:jc w:val="center"/>
              <w:rPr>
                <w:b/>
                <w:bCs/>
                <w:lang w:bidi="ar-EG"/>
              </w:rPr>
            </w:pPr>
          </w:p>
        </w:tc>
        <w:tc>
          <w:tcPr>
            <w:tcW w:w="7508" w:type="dxa"/>
            <w:shd w:val="clear" w:color="auto" w:fill="auto"/>
            <w:vAlign w:val="center"/>
          </w:tcPr>
          <w:p w14:paraId="419D2A07" w14:textId="4727B466" w:rsidR="001638DE" w:rsidRPr="001638DE" w:rsidRDefault="009516B8" w:rsidP="007356D7">
            <w:pPr>
              <w:ind w:left="454" w:hanging="454"/>
              <w:rPr>
                <w:lang w:val="ar-SA" w:bidi="ar-EG"/>
              </w:rPr>
            </w:pPr>
            <w:sdt>
              <w:sdtPr>
                <w:rPr>
                  <w:rFonts w:ascii="Cambria Math" w:hAnsi="Cambria Math" w:cs="Cambria Math"/>
                  <w:rtl/>
                </w:rPr>
                <w:id w:val="1711539550"/>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7356D7" w:rsidRPr="001638DE">
              <w:rPr>
                <w:b/>
                <w:bCs/>
                <w:rtl/>
              </w:rPr>
              <w:t xml:space="preserve"> </w:t>
            </w:r>
            <w:r w:rsidR="007356D7">
              <w:rPr>
                <w:b/>
                <w:bCs/>
                <w:rtl/>
              </w:rPr>
              <w:tab/>
            </w:r>
            <w:r w:rsidR="001638DE" w:rsidRPr="001638DE">
              <w:rPr>
                <w:b/>
                <w:bCs/>
                <w:rtl/>
              </w:rPr>
              <w:t xml:space="preserve">لا تفوض </w:t>
            </w:r>
            <w:r w:rsidR="001638DE" w:rsidRPr="001638DE">
              <w:rPr>
                <w:rtl/>
              </w:rPr>
              <w:t xml:space="preserve">لجنة الدراسات </w:t>
            </w:r>
            <w:r w:rsidR="001638DE" w:rsidRPr="001638DE">
              <w:t>2</w:t>
            </w:r>
            <w:r w:rsidR="001638DE" w:rsidRPr="001638DE">
              <w:rPr>
                <w:rtl/>
              </w:rPr>
              <w:t xml:space="preserve"> </w:t>
            </w:r>
            <w:r w:rsidR="001638DE" w:rsidRPr="001638DE">
              <w:rPr>
                <w:b/>
                <w:bCs/>
                <w:rtl/>
              </w:rPr>
              <w:t>سلطة</w:t>
            </w:r>
            <w:r w:rsidR="001638DE" w:rsidRPr="001638DE">
              <w:rPr>
                <w:rtl/>
              </w:rPr>
              <w:t xml:space="preserve"> النظر في هذا النص بغرض الموافقة عليه (ترفق بالطي أسباب هذا الرأي ولمحة عن التغييرات المحتملة التي من شأنها أن تمكّن من إحراز تقدم في العمل)</w:t>
            </w:r>
          </w:p>
        </w:tc>
      </w:tr>
      <w:tr w:rsidR="001638DE" w:rsidRPr="001638DE" w14:paraId="5A9A082A" w14:textId="77777777" w:rsidTr="001C3E05">
        <w:trPr>
          <w:trHeight w:val="748"/>
          <w:jc w:val="center"/>
        </w:trPr>
        <w:tc>
          <w:tcPr>
            <w:tcW w:w="2211" w:type="dxa"/>
            <w:vMerge w:val="restart"/>
            <w:shd w:val="clear" w:color="auto" w:fill="auto"/>
            <w:vAlign w:val="center"/>
          </w:tcPr>
          <w:p w14:paraId="625F119D" w14:textId="70862A4F" w:rsidR="001638DE" w:rsidRPr="001638DE" w:rsidRDefault="001638DE" w:rsidP="00D5314F">
            <w:pPr>
              <w:jc w:val="center"/>
              <w:rPr>
                <w:b/>
                <w:bCs/>
                <w:lang w:val="ar-SA" w:bidi="ar-EG"/>
              </w:rPr>
            </w:pPr>
            <w:r w:rsidRPr="001638DE">
              <w:rPr>
                <w:b/>
                <w:bCs/>
                <w:rtl/>
              </w:rPr>
              <w:t xml:space="preserve">مشروع التوصية الجديدة </w:t>
            </w:r>
            <w:r w:rsidRPr="001638DE">
              <w:rPr>
                <w:b/>
                <w:bCs/>
              </w:rPr>
              <w:t xml:space="preserve">ITU-T </w:t>
            </w:r>
            <w:r w:rsidRPr="001638DE">
              <w:rPr>
                <w:b/>
                <w:bCs/>
                <w:lang w:val="fr-CH" w:bidi="ar-EG"/>
              </w:rPr>
              <w:t>E.371</w:t>
            </w:r>
            <w:r w:rsidRPr="001638DE">
              <w:rPr>
                <w:b/>
                <w:bCs/>
                <w:rtl/>
              </w:rPr>
              <w:t xml:space="preserve"> </w:t>
            </w:r>
            <w:r w:rsidR="00A14836">
              <w:rPr>
                <w:b/>
                <w:bCs/>
              </w:rPr>
              <w:br/>
            </w:r>
            <w:r w:rsidRPr="001638DE">
              <w:rPr>
                <w:b/>
                <w:bCs/>
                <w:rtl/>
              </w:rPr>
              <w:t>(</w:t>
            </w:r>
            <w:proofErr w:type="spellStart"/>
            <w:r w:rsidRPr="001638DE">
              <w:rPr>
                <w:b/>
                <w:bCs/>
                <w:lang w:val="fr-CH" w:bidi="ar-EG"/>
              </w:rPr>
              <w:t>E.dit</w:t>
            </w:r>
            <w:proofErr w:type="spellEnd"/>
            <w:r w:rsidRPr="001638DE">
              <w:rPr>
                <w:b/>
                <w:bCs/>
                <w:rtl/>
              </w:rPr>
              <w:t xml:space="preserve"> سابقاً)</w:t>
            </w:r>
          </w:p>
        </w:tc>
        <w:tc>
          <w:tcPr>
            <w:tcW w:w="7508" w:type="dxa"/>
            <w:shd w:val="clear" w:color="auto" w:fill="auto"/>
            <w:vAlign w:val="center"/>
          </w:tcPr>
          <w:p w14:paraId="7433A83F" w14:textId="59408060" w:rsidR="001638DE" w:rsidRPr="001638DE" w:rsidRDefault="009516B8" w:rsidP="007356D7">
            <w:pPr>
              <w:ind w:left="454" w:hanging="454"/>
              <w:rPr>
                <w:lang w:val="ar-SA" w:bidi="ar-EG"/>
              </w:rPr>
            </w:pPr>
            <w:sdt>
              <w:sdtPr>
                <w:rPr>
                  <w:rFonts w:ascii="Cambria Math" w:hAnsi="Cambria Math" w:cs="Cambria Math"/>
                  <w:rtl/>
                </w:rPr>
                <w:id w:val="-1431253"/>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7356D7" w:rsidRPr="001638DE">
              <w:rPr>
                <w:b/>
                <w:bCs/>
                <w:rtl/>
              </w:rPr>
              <w:t xml:space="preserve"> </w:t>
            </w:r>
            <w:r w:rsidR="007356D7">
              <w:rPr>
                <w:b/>
                <w:bCs/>
                <w:rtl/>
              </w:rPr>
              <w:tab/>
            </w:r>
            <w:r w:rsidR="001638DE" w:rsidRPr="001638DE">
              <w:rPr>
                <w:b/>
                <w:bCs/>
                <w:rtl/>
              </w:rPr>
              <w:t xml:space="preserve">تفوض </w:t>
            </w:r>
            <w:r w:rsidR="001638DE" w:rsidRPr="001638DE">
              <w:rPr>
                <w:rtl/>
              </w:rPr>
              <w:t xml:space="preserve">لجنة الدراسات </w:t>
            </w:r>
            <w:r w:rsidR="001638DE" w:rsidRPr="001638DE">
              <w:t>2</w:t>
            </w:r>
            <w:r w:rsidR="001638DE" w:rsidRPr="001638DE">
              <w:rPr>
                <w:rtl/>
              </w:rPr>
              <w:t xml:space="preserve"> </w:t>
            </w:r>
            <w:r w:rsidR="001638DE" w:rsidRPr="001638DE">
              <w:rPr>
                <w:b/>
                <w:bCs/>
                <w:rtl/>
              </w:rPr>
              <w:t>سلطة</w:t>
            </w:r>
            <w:r w:rsidR="001638DE" w:rsidRPr="001638DE">
              <w:rPr>
                <w:rtl/>
              </w:rPr>
              <w:t xml:space="preserve"> النظر في هذا النص بغرض الموافقة عليه (وفي هذه الحالة، تحديد أحد الخيارين):</w:t>
            </w:r>
          </w:p>
          <w:p w14:paraId="7CCA6E85" w14:textId="0B4613D5" w:rsidR="001638DE" w:rsidRPr="001638DE" w:rsidRDefault="009516B8" w:rsidP="007356D7">
            <w:pPr>
              <w:ind w:left="454"/>
              <w:rPr>
                <w:lang w:val="ar-SA" w:bidi="ar-EG"/>
              </w:rPr>
            </w:pPr>
            <w:sdt>
              <w:sdtPr>
                <w:rPr>
                  <w:rFonts w:ascii="Cambria Math" w:hAnsi="Cambria Math" w:cs="Cambria Math"/>
                  <w:rtl/>
                </w:rPr>
                <w:id w:val="881055030"/>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D30B17">
              <w:rPr>
                <w:b/>
                <w:bCs/>
                <w:rtl/>
              </w:rPr>
              <w:tab/>
            </w:r>
            <w:r w:rsidR="001638DE" w:rsidRPr="001638DE">
              <w:rPr>
                <w:rtl/>
              </w:rPr>
              <w:t>لا تعليقات أو تغييرات مقترحة</w:t>
            </w:r>
          </w:p>
          <w:p w14:paraId="7CFEEB69" w14:textId="76A30102" w:rsidR="001638DE" w:rsidRPr="001638DE" w:rsidRDefault="009516B8" w:rsidP="007356D7">
            <w:pPr>
              <w:ind w:left="454"/>
              <w:rPr>
                <w:lang w:val="ar-SA" w:bidi="ar-EG"/>
              </w:rPr>
            </w:pPr>
            <w:sdt>
              <w:sdtPr>
                <w:rPr>
                  <w:rFonts w:ascii="Cambria Math" w:hAnsi="Cambria Math" w:cs="Cambria Math"/>
                  <w:rtl/>
                </w:rPr>
                <w:id w:val="2021648822"/>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D30B17">
              <w:rPr>
                <w:b/>
                <w:bCs/>
                <w:rtl/>
              </w:rPr>
              <w:tab/>
            </w:r>
            <w:r w:rsidR="001638DE" w:rsidRPr="001638DE">
              <w:rPr>
                <w:rtl/>
              </w:rPr>
              <w:t>التعليقات والتغييرات المقترحة مرفقة بالطي</w:t>
            </w:r>
          </w:p>
        </w:tc>
      </w:tr>
      <w:tr w:rsidR="001638DE" w:rsidRPr="001638DE" w14:paraId="58DE8252" w14:textId="77777777" w:rsidTr="001C3E05">
        <w:trPr>
          <w:trHeight w:val="747"/>
          <w:jc w:val="center"/>
        </w:trPr>
        <w:tc>
          <w:tcPr>
            <w:tcW w:w="2211" w:type="dxa"/>
            <w:vMerge/>
            <w:shd w:val="clear" w:color="auto" w:fill="auto"/>
            <w:vAlign w:val="center"/>
          </w:tcPr>
          <w:p w14:paraId="6238182F" w14:textId="77777777" w:rsidR="001638DE" w:rsidRPr="001638DE" w:rsidRDefault="001638DE" w:rsidP="00D5314F">
            <w:pPr>
              <w:jc w:val="center"/>
              <w:rPr>
                <w:b/>
                <w:bCs/>
                <w:lang w:bidi="ar-EG"/>
              </w:rPr>
            </w:pPr>
          </w:p>
        </w:tc>
        <w:tc>
          <w:tcPr>
            <w:tcW w:w="7508" w:type="dxa"/>
            <w:shd w:val="clear" w:color="auto" w:fill="auto"/>
            <w:vAlign w:val="center"/>
          </w:tcPr>
          <w:p w14:paraId="1D04B69E" w14:textId="1A89BC1E" w:rsidR="001638DE" w:rsidRPr="001638DE" w:rsidRDefault="009516B8" w:rsidP="007356D7">
            <w:pPr>
              <w:ind w:left="454" w:hanging="454"/>
              <w:rPr>
                <w:lang w:val="ar-SA" w:bidi="ar-EG"/>
              </w:rPr>
            </w:pPr>
            <w:sdt>
              <w:sdtPr>
                <w:rPr>
                  <w:rFonts w:ascii="Cambria Math" w:hAnsi="Cambria Math" w:cs="Cambria Math"/>
                  <w:rtl/>
                </w:rPr>
                <w:id w:val="1151873388"/>
                <w14:checkbox>
                  <w14:checked w14:val="0"/>
                  <w14:checkedState w14:val="2612" w14:font="MS Gothic"/>
                  <w14:uncheckedState w14:val="2610" w14:font="MS Gothic"/>
                </w14:checkbox>
              </w:sdtPr>
              <w:sdtEndPr/>
              <w:sdtContent>
                <w:r w:rsidR="007356D7" w:rsidRPr="007356D7">
                  <w:rPr>
                    <w:rFonts w:ascii="Segoe UI Symbol" w:hAnsi="Segoe UI Symbol" w:cs="Segoe UI Symbol"/>
                    <w:lang w:val="en-GB" w:bidi="ar-EG"/>
                  </w:rPr>
                  <w:t>☐</w:t>
                </w:r>
              </w:sdtContent>
            </w:sdt>
            <w:r w:rsidR="007356D7" w:rsidRPr="001638DE">
              <w:rPr>
                <w:b/>
                <w:bCs/>
                <w:rtl/>
              </w:rPr>
              <w:t xml:space="preserve"> </w:t>
            </w:r>
            <w:r w:rsidR="007356D7">
              <w:rPr>
                <w:b/>
                <w:bCs/>
                <w:rtl/>
              </w:rPr>
              <w:tab/>
            </w:r>
            <w:r w:rsidR="001638DE" w:rsidRPr="001638DE">
              <w:rPr>
                <w:b/>
                <w:bCs/>
                <w:rtl/>
              </w:rPr>
              <w:t xml:space="preserve">لا تفوض </w:t>
            </w:r>
            <w:r w:rsidR="001638DE" w:rsidRPr="001638DE">
              <w:rPr>
                <w:rtl/>
              </w:rPr>
              <w:t xml:space="preserve">لجنة الدراسات </w:t>
            </w:r>
            <w:r w:rsidR="001638DE" w:rsidRPr="001638DE">
              <w:t>2</w:t>
            </w:r>
            <w:r w:rsidR="001638DE" w:rsidRPr="001638DE">
              <w:rPr>
                <w:rtl/>
              </w:rPr>
              <w:t xml:space="preserve"> </w:t>
            </w:r>
            <w:r w:rsidR="001638DE" w:rsidRPr="001638DE">
              <w:rPr>
                <w:b/>
                <w:bCs/>
                <w:rtl/>
              </w:rPr>
              <w:t>سلطة</w:t>
            </w:r>
            <w:r w:rsidR="001638DE" w:rsidRPr="001638DE">
              <w:rPr>
                <w:rtl/>
              </w:rPr>
              <w:t xml:space="preserve"> النظر في هذا النص بغرض الموافقة عليه (ترفق بالطي أسباب هذا الرأي ولمحة عن التغييرات المحتملة التي من شأنها أن تمكّن من إحراز تقدم في العمل)</w:t>
            </w:r>
          </w:p>
        </w:tc>
      </w:tr>
    </w:tbl>
    <w:p w14:paraId="39F891B8" w14:textId="77777777" w:rsidR="001638DE" w:rsidRPr="001638DE" w:rsidRDefault="001638DE" w:rsidP="001C3E05">
      <w:pPr>
        <w:spacing w:before="480"/>
        <w:rPr>
          <w:lang w:val="ar-SA" w:bidi="ar-EG"/>
        </w:rPr>
      </w:pPr>
      <w:r w:rsidRPr="001638DE">
        <w:rPr>
          <w:rtl/>
        </w:rPr>
        <w:t>وتفضلوا بقبول فائق التقدير والاحترام.</w:t>
      </w:r>
    </w:p>
    <w:p w14:paraId="0FFB1F61" w14:textId="77777777" w:rsidR="001638DE" w:rsidRPr="001638DE" w:rsidRDefault="001638DE" w:rsidP="001638DE">
      <w:pPr>
        <w:rPr>
          <w:highlight w:val="green"/>
          <w:lang w:bidi="ar-EG"/>
        </w:rPr>
      </w:pPr>
      <w:r w:rsidRPr="001638DE">
        <w:rPr>
          <w:highlight w:val="green"/>
          <w:rtl/>
        </w:rPr>
        <w:t>[الاسم]</w:t>
      </w:r>
    </w:p>
    <w:p w14:paraId="2FEF966B" w14:textId="77777777" w:rsidR="001638DE" w:rsidRPr="001638DE" w:rsidRDefault="001638DE" w:rsidP="001638DE">
      <w:pPr>
        <w:rPr>
          <w:lang w:val="ar-SA" w:bidi="ar-EG"/>
        </w:rPr>
      </w:pPr>
      <w:r w:rsidRPr="001638DE">
        <w:rPr>
          <w:highlight w:val="green"/>
          <w:rtl/>
        </w:rPr>
        <w:t>[الدور/المنصب الرسمي]</w:t>
      </w:r>
    </w:p>
    <w:p w14:paraId="156A59F8" w14:textId="77777777" w:rsidR="001638DE" w:rsidRPr="001638DE" w:rsidRDefault="001638DE" w:rsidP="001638DE">
      <w:pPr>
        <w:rPr>
          <w:lang w:bidi="ar-EG"/>
        </w:rPr>
      </w:pPr>
      <w:r w:rsidRPr="001638DE">
        <w:rPr>
          <w:rtl/>
        </w:rPr>
        <w:t xml:space="preserve">إدارة </w:t>
      </w:r>
      <w:r w:rsidRPr="001638DE">
        <w:rPr>
          <w:highlight w:val="green"/>
          <w:rtl/>
        </w:rPr>
        <w:t>[الدولة العضو]</w:t>
      </w:r>
    </w:p>
    <w:p w14:paraId="35590F1F" w14:textId="131C663B" w:rsidR="00596808" w:rsidRPr="00D517B2" w:rsidRDefault="00D30B17" w:rsidP="001C3E0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FFE71" w14:textId="77777777" w:rsidR="006272DD" w:rsidRDefault="006272DD" w:rsidP="006C3242">
      <w:pPr>
        <w:spacing w:before="0" w:line="240" w:lineRule="auto"/>
      </w:pPr>
      <w:r>
        <w:separator/>
      </w:r>
    </w:p>
  </w:endnote>
  <w:endnote w:type="continuationSeparator" w:id="0">
    <w:p w14:paraId="547EDAB5" w14:textId="77777777" w:rsidR="006272DD" w:rsidRDefault="006272D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339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A40B5" w14:textId="77777777" w:rsidR="006272DD" w:rsidRDefault="006272DD" w:rsidP="006C3242">
      <w:pPr>
        <w:spacing w:before="0" w:line="240" w:lineRule="auto"/>
      </w:pPr>
      <w:r>
        <w:separator/>
      </w:r>
    </w:p>
  </w:footnote>
  <w:footnote w:type="continuationSeparator" w:id="0">
    <w:p w14:paraId="3AA9B7A6" w14:textId="77777777" w:rsidR="006272DD" w:rsidRDefault="006272D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DD55" w14:textId="2EEE6595"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1638DE">
      <w:rPr>
        <w:sz w:val="20"/>
        <w:szCs w:val="20"/>
        <w:lang w:bidi="ar-EG"/>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3043109">
    <w:abstractNumId w:val="9"/>
  </w:num>
  <w:num w:numId="2" w16cid:durableId="1341734795">
    <w:abstractNumId w:val="7"/>
  </w:num>
  <w:num w:numId="3" w16cid:durableId="1273778492">
    <w:abstractNumId w:val="6"/>
  </w:num>
  <w:num w:numId="4" w16cid:durableId="1910312546">
    <w:abstractNumId w:val="5"/>
  </w:num>
  <w:num w:numId="5" w16cid:durableId="2001882399">
    <w:abstractNumId w:val="4"/>
  </w:num>
  <w:num w:numId="6" w16cid:durableId="1922908478">
    <w:abstractNumId w:val="8"/>
  </w:num>
  <w:num w:numId="7" w16cid:durableId="1812938224">
    <w:abstractNumId w:val="3"/>
  </w:num>
  <w:num w:numId="8" w16cid:durableId="6643040">
    <w:abstractNumId w:val="2"/>
  </w:num>
  <w:num w:numId="9" w16cid:durableId="1471555920">
    <w:abstractNumId w:val="1"/>
  </w:num>
  <w:num w:numId="10" w16cid:durableId="1614046998">
    <w:abstractNumId w:val="0"/>
  </w:num>
  <w:num w:numId="11" w16cid:durableId="108009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DE"/>
    <w:rsid w:val="00002A63"/>
    <w:rsid w:val="0006468A"/>
    <w:rsid w:val="00087D58"/>
    <w:rsid w:val="00090574"/>
    <w:rsid w:val="000C1C0E"/>
    <w:rsid w:val="000C548A"/>
    <w:rsid w:val="000E327F"/>
    <w:rsid w:val="0011029A"/>
    <w:rsid w:val="0011341B"/>
    <w:rsid w:val="001229B1"/>
    <w:rsid w:val="00146FE2"/>
    <w:rsid w:val="001638DE"/>
    <w:rsid w:val="001C0169"/>
    <w:rsid w:val="001C3E05"/>
    <w:rsid w:val="001D1D50"/>
    <w:rsid w:val="001D6745"/>
    <w:rsid w:val="001E2788"/>
    <w:rsid w:val="001E446E"/>
    <w:rsid w:val="002154EE"/>
    <w:rsid w:val="002276D2"/>
    <w:rsid w:val="0023283D"/>
    <w:rsid w:val="0026373E"/>
    <w:rsid w:val="00271C43"/>
    <w:rsid w:val="00275CF5"/>
    <w:rsid w:val="00290728"/>
    <w:rsid w:val="002978F4"/>
    <w:rsid w:val="002A6C98"/>
    <w:rsid w:val="002B028D"/>
    <w:rsid w:val="002E196B"/>
    <w:rsid w:val="002E6541"/>
    <w:rsid w:val="00334924"/>
    <w:rsid w:val="003409BC"/>
    <w:rsid w:val="00357185"/>
    <w:rsid w:val="00383829"/>
    <w:rsid w:val="003A3046"/>
    <w:rsid w:val="003C1EEB"/>
    <w:rsid w:val="003C7EDF"/>
    <w:rsid w:val="003F4B29"/>
    <w:rsid w:val="003F5200"/>
    <w:rsid w:val="00400EC6"/>
    <w:rsid w:val="0042686F"/>
    <w:rsid w:val="004317D8"/>
    <w:rsid w:val="00434183"/>
    <w:rsid w:val="00443869"/>
    <w:rsid w:val="00447F32"/>
    <w:rsid w:val="004A2A84"/>
    <w:rsid w:val="004E11DC"/>
    <w:rsid w:val="004E357B"/>
    <w:rsid w:val="005004AA"/>
    <w:rsid w:val="005233C9"/>
    <w:rsid w:val="00525DDD"/>
    <w:rsid w:val="005409AC"/>
    <w:rsid w:val="0055516A"/>
    <w:rsid w:val="005731DD"/>
    <w:rsid w:val="0058491B"/>
    <w:rsid w:val="00592EA5"/>
    <w:rsid w:val="00595B52"/>
    <w:rsid w:val="00596808"/>
    <w:rsid w:val="005A3170"/>
    <w:rsid w:val="005B2EBB"/>
    <w:rsid w:val="005E1067"/>
    <w:rsid w:val="006019C6"/>
    <w:rsid w:val="00610521"/>
    <w:rsid w:val="006272DD"/>
    <w:rsid w:val="006635B2"/>
    <w:rsid w:val="00677396"/>
    <w:rsid w:val="0069200F"/>
    <w:rsid w:val="006A65CB"/>
    <w:rsid w:val="006C1530"/>
    <w:rsid w:val="006C3242"/>
    <w:rsid w:val="006C7CC0"/>
    <w:rsid w:val="006E1BAD"/>
    <w:rsid w:val="006E6264"/>
    <w:rsid w:val="006F63F7"/>
    <w:rsid w:val="006F7B92"/>
    <w:rsid w:val="007025C7"/>
    <w:rsid w:val="00706D7A"/>
    <w:rsid w:val="007139D8"/>
    <w:rsid w:val="00722F0D"/>
    <w:rsid w:val="007356D7"/>
    <w:rsid w:val="0074420E"/>
    <w:rsid w:val="00783E26"/>
    <w:rsid w:val="007C1F42"/>
    <w:rsid w:val="007C3BC7"/>
    <w:rsid w:val="007C3BCD"/>
    <w:rsid w:val="007D4ACF"/>
    <w:rsid w:val="007F0787"/>
    <w:rsid w:val="00807031"/>
    <w:rsid w:val="00810B7B"/>
    <w:rsid w:val="0082358A"/>
    <w:rsid w:val="008235CD"/>
    <w:rsid w:val="008247DE"/>
    <w:rsid w:val="00840B10"/>
    <w:rsid w:val="008513CB"/>
    <w:rsid w:val="00873469"/>
    <w:rsid w:val="00877F4B"/>
    <w:rsid w:val="00891703"/>
    <w:rsid w:val="008A7F84"/>
    <w:rsid w:val="00913AEC"/>
    <w:rsid w:val="0091702E"/>
    <w:rsid w:val="00923346"/>
    <w:rsid w:val="00923B0C"/>
    <w:rsid w:val="00926F44"/>
    <w:rsid w:val="0094021C"/>
    <w:rsid w:val="0094432F"/>
    <w:rsid w:val="009516B8"/>
    <w:rsid w:val="00952F86"/>
    <w:rsid w:val="009803C7"/>
    <w:rsid w:val="00982B28"/>
    <w:rsid w:val="009946AC"/>
    <w:rsid w:val="009D313F"/>
    <w:rsid w:val="00A00051"/>
    <w:rsid w:val="00A14836"/>
    <w:rsid w:val="00A25530"/>
    <w:rsid w:val="00A47A5A"/>
    <w:rsid w:val="00A6683B"/>
    <w:rsid w:val="00A77C90"/>
    <w:rsid w:val="00A9156F"/>
    <w:rsid w:val="00A97F94"/>
    <w:rsid w:val="00AA5F04"/>
    <w:rsid w:val="00AA7EA2"/>
    <w:rsid w:val="00AB0BC9"/>
    <w:rsid w:val="00AF6B5C"/>
    <w:rsid w:val="00B03099"/>
    <w:rsid w:val="00B05BC8"/>
    <w:rsid w:val="00B64B47"/>
    <w:rsid w:val="00B916A7"/>
    <w:rsid w:val="00BA0B71"/>
    <w:rsid w:val="00BB0F08"/>
    <w:rsid w:val="00BC2D51"/>
    <w:rsid w:val="00C002DE"/>
    <w:rsid w:val="00C53BF8"/>
    <w:rsid w:val="00C66157"/>
    <w:rsid w:val="00C674FE"/>
    <w:rsid w:val="00C67501"/>
    <w:rsid w:val="00C70F76"/>
    <w:rsid w:val="00C75633"/>
    <w:rsid w:val="00CE1C08"/>
    <w:rsid w:val="00CE2EE1"/>
    <w:rsid w:val="00CE3349"/>
    <w:rsid w:val="00CE36E5"/>
    <w:rsid w:val="00CF27F5"/>
    <w:rsid w:val="00CF3FFD"/>
    <w:rsid w:val="00D10CCF"/>
    <w:rsid w:val="00D22846"/>
    <w:rsid w:val="00D30B17"/>
    <w:rsid w:val="00D517B2"/>
    <w:rsid w:val="00D5314F"/>
    <w:rsid w:val="00D76170"/>
    <w:rsid w:val="00D77D0F"/>
    <w:rsid w:val="00D86EB9"/>
    <w:rsid w:val="00DA1CF0"/>
    <w:rsid w:val="00DC1E02"/>
    <w:rsid w:val="00DC24B4"/>
    <w:rsid w:val="00DC5FB0"/>
    <w:rsid w:val="00DD1EBB"/>
    <w:rsid w:val="00DF16DC"/>
    <w:rsid w:val="00E45211"/>
    <w:rsid w:val="00E473C5"/>
    <w:rsid w:val="00E80F5A"/>
    <w:rsid w:val="00E84438"/>
    <w:rsid w:val="00E92863"/>
    <w:rsid w:val="00EB796D"/>
    <w:rsid w:val="00F058DC"/>
    <w:rsid w:val="00F15882"/>
    <w:rsid w:val="00F17B02"/>
    <w:rsid w:val="00F24FC4"/>
    <w:rsid w:val="00F2676C"/>
    <w:rsid w:val="00F52941"/>
    <w:rsid w:val="00F54599"/>
    <w:rsid w:val="00F71554"/>
    <w:rsid w:val="00F84366"/>
    <w:rsid w:val="00F85089"/>
    <w:rsid w:val="00F974C5"/>
    <w:rsid w:val="00FA6F46"/>
    <w:rsid w:val="00FE5872"/>
    <w:rsid w:val="00FE7FCA"/>
    <w:rsid w:val="00FF0F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FE582"/>
  <w15:chartTrackingRefBased/>
  <w15:docId w15:val="{116CFD00-19DB-44FA-85C3-4851DF1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D30B1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tsbdir@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2@itu.int" TargetMode="External"/><Relationship Id="rId17" Type="http://schemas.openxmlformats.org/officeDocument/2006/relationships/hyperlink" Target="https://www.itu.int/md/T25-SG02-R-0007/en" TargetMode="External"/><Relationship Id="rId2" Type="http://schemas.openxmlformats.org/officeDocument/2006/relationships/customXml" Target="../customXml/item2.xml"/><Relationship Id="rId16" Type="http://schemas.openxmlformats.org/officeDocument/2006/relationships/hyperlink" Target="https://www.itu.int/md/T25-SG02-R-0006/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5-SG02-R-0005/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sbdir@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SG02-R-0004/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62607-7C5B-4852-9572-6283B4F29BF5}">
  <ds:schemaRefs>
    <ds:schemaRef ds:uri="http://schemas.microsoft.com/sharepoint/v3/contenttype/forms"/>
  </ds:schemaRefs>
</ds:datastoreItem>
</file>

<file path=customXml/itemProps2.xml><?xml version="1.0" encoding="utf-8"?>
<ds:datastoreItem xmlns:ds="http://schemas.openxmlformats.org/officeDocument/2006/customXml" ds:itemID="{F42BF979-4B4A-4810-B3CA-839390DE580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customXml/itemProps4.xml><?xml version="1.0" encoding="utf-8"?>
<ds:datastoreItem xmlns:ds="http://schemas.openxmlformats.org/officeDocument/2006/customXml" ds:itemID="{0A54EB49-883E-4DFF-83EA-41A75F5C8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PA_TSB Circ.dotx</Template>
  <TotalTime>22</TotalTime>
  <Pages>5</Pages>
  <Words>1252</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Braud, Olivia</cp:lastModifiedBy>
  <cp:revision>8</cp:revision>
  <cp:lastPrinted>2025-02-27T16:13:00Z</cp:lastPrinted>
  <dcterms:created xsi:type="dcterms:W3CDTF">2025-02-27T15:24:00Z</dcterms:created>
  <dcterms:modified xsi:type="dcterms:W3CDTF">2025-02-27T16:14:00Z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97c67c71aeb3f87461b6341e413f0ccfec74c024bcadbea2ded29249c58b2789</vt:lpwstr>
  </property>
  <property fmtid="{D5CDD505-2E9C-101B-9397-08002B2CF9AE}" pid="3" name="ContentTypeId">
    <vt:lpwstr>0x010100D1E61AAD99A901438D9BC061B6D8E5BF</vt:lpwstr>
  </property>
  <property fmtid="{D5CDD505-2E9C-101B-9397-08002B2CF9AE}" pid="4" name="MediaServiceImageTags">
    <vt:lpwstr/>
  </property>
</Properties>
</file>