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484"/>
        <w:gridCol w:w="4966"/>
      </w:tblGrid>
      <w:tr w:rsidR="00EF6A23" w:rsidRPr="004A4AFB" w14:paraId="3FDAE1F3" w14:textId="77777777" w:rsidTr="003F083D">
        <w:trPr>
          <w:cantSplit/>
        </w:trPr>
        <w:tc>
          <w:tcPr>
            <w:tcW w:w="0" w:type="auto"/>
            <w:vAlign w:val="center"/>
          </w:tcPr>
          <w:p w14:paraId="3DE42CAA" w14:textId="77777777" w:rsidR="00EF6A23" w:rsidRPr="004A4AFB" w:rsidRDefault="00EF6A23" w:rsidP="00D14F31">
            <w:pPr>
              <w:tabs>
                <w:tab w:val="right" w:pos="8732"/>
              </w:tabs>
              <w:spacing w:before="0"/>
              <w:rPr>
                <w:b/>
                <w:bCs/>
                <w:iCs/>
                <w:color w:val="FFFFFF"/>
                <w:sz w:val="30"/>
                <w:szCs w:val="30"/>
              </w:rPr>
            </w:pPr>
            <w:r w:rsidRPr="004A4AFB">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4A4AFB" w:rsidRDefault="00EF6A23" w:rsidP="00EF6A23">
            <w:pPr>
              <w:spacing w:before="0"/>
              <w:rPr>
                <w:rFonts w:cs="Times New Roman Bold"/>
                <w:b/>
                <w:bCs/>
                <w:iCs/>
                <w:smallCaps/>
                <w:sz w:val="34"/>
                <w:szCs w:val="34"/>
              </w:rPr>
            </w:pPr>
            <w:r w:rsidRPr="004A4AFB">
              <w:rPr>
                <w:rFonts w:cs="Times New Roman Bold"/>
                <w:b/>
                <w:bCs/>
                <w:iCs/>
                <w:smallCaps/>
                <w:sz w:val="34"/>
                <w:szCs w:val="34"/>
              </w:rPr>
              <w:t>Union internationale des télécommunications</w:t>
            </w:r>
          </w:p>
          <w:p w14:paraId="089E66D0" w14:textId="77777777" w:rsidR="00EF6A23" w:rsidRPr="004A4AFB" w:rsidRDefault="00EF6A23" w:rsidP="00EF6A23">
            <w:pPr>
              <w:spacing w:before="0"/>
              <w:rPr>
                <w:color w:val="FFFFFF"/>
                <w:sz w:val="26"/>
                <w:szCs w:val="26"/>
              </w:rPr>
            </w:pPr>
            <w:r w:rsidRPr="004A4AFB">
              <w:rPr>
                <w:rFonts w:cs="Times New Roman Bold"/>
                <w:b/>
                <w:bCs/>
                <w:iCs/>
                <w:smallCaps/>
                <w:sz w:val="28"/>
                <w:szCs w:val="28"/>
              </w:rPr>
              <w:t>B</w:t>
            </w:r>
            <w:r w:rsidRPr="004A4AFB">
              <w:rPr>
                <w:b/>
                <w:bCs/>
                <w:iCs/>
                <w:smallCaps/>
                <w:sz w:val="28"/>
                <w:szCs w:val="28"/>
              </w:rPr>
              <w:t>ureau de la Normalisation des Télécommunications</w:t>
            </w:r>
          </w:p>
        </w:tc>
      </w:tr>
      <w:tr w:rsidR="00036F4F" w:rsidRPr="00A269C8" w14:paraId="18B25741" w14:textId="77777777" w:rsidTr="00A269C8">
        <w:trPr>
          <w:cantSplit/>
          <w:trHeight w:val="612"/>
        </w:trPr>
        <w:tc>
          <w:tcPr>
            <w:tcW w:w="0" w:type="auto"/>
          </w:tcPr>
          <w:p w14:paraId="4B1AFD72" w14:textId="77777777" w:rsidR="00036F4F" w:rsidRPr="00A269C8" w:rsidRDefault="00036F4F" w:rsidP="00A5280F">
            <w:pPr>
              <w:tabs>
                <w:tab w:val="left" w:pos="4111"/>
              </w:tabs>
              <w:spacing w:before="10"/>
              <w:ind w:left="57"/>
              <w:rPr>
                <w:sz w:val="22"/>
                <w:szCs w:val="18"/>
              </w:rPr>
            </w:pPr>
          </w:p>
        </w:tc>
        <w:tc>
          <w:tcPr>
            <w:tcW w:w="3484" w:type="dxa"/>
          </w:tcPr>
          <w:p w14:paraId="6579D3E8" w14:textId="77777777" w:rsidR="00036F4F" w:rsidRPr="00A269C8" w:rsidRDefault="00036F4F" w:rsidP="00A5280F">
            <w:pPr>
              <w:tabs>
                <w:tab w:val="left" w:pos="4111"/>
              </w:tabs>
              <w:spacing w:before="10"/>
              <w:ind w:left="57"/>
              <w:rPr>
                <w:b/>
                <w:sz w:val="22"/>
                <w:szCs w:val="18"/>
              </w:rPr>
            </w:pPr>
          </w:p>
        </w:tc>
        <w:tc>
          <w:tcPr>
            <w:tcW w:w="4966" w:type="dxa"/>
          </w:tcPr>
          <w:p w14:paraId="0DC34ECA" w14:textId="64411223" w:rsidR="00036F4F" w:rsidRPr="00A269C8" w:rsidRDefault="00036F4F" w:rsidP="00A269C8">
            <w:pPr>
              <w:tabs>
                <w:tab w:val="clear" w:pos="794"/>
                <w:tab w:val="clear" w:pos="1191"/>
                <w:tab w:val="clear" w:pos="1588"/>
                <w:tab w:val="clear" w:pos="1985"/>
                <w:tab w:val="left" w:pos="284"/>
              </w:tabs>
              <w:spacing w:after="120"/>
              <w:rPr>
                <w:sz w:val="22"/>
                <w:szCs w:val="18"/>
              </w:rPr>
            </w:pPr>
            <w:r w:rsidRPr="00A269C8">
              <w:rPr>
                <w:sz w:val="22"/>
                <w:szCs w:val="18"/>
              </w:rPr>
              <w:t>Genève, le</w:t>
            </w:r>
            <w:r w:rsidR="004419E9" w:rsidRPr="00A269C8">
              <w:rPr>
                <w:sz w:val="22"/>
                <w:szCs w:val="18"/>
              </w:rPr>
              <w:t xml:space="preserve"> </w:t>
            </w:r>
            <w:r w:rsidR="008207F2" w:rsidRPr="00A269C8">
              <w:rPr>
                <w:sz w:val="22"/>
                <w:szCs w:val="18"/>
              </w:rPr>
              <w:t>4 mars 2025</w:t>
            </w:r>
          </w:p>
        </w:tc>
      </w:tr>
      <w:tr w:rsidR="00A308EF" w:rsidRPr="00A269C8" w14:paraId="16CDDFEF" w14:textId="77777777" w:rsidTr="00A308EF">
        <w:trPr>
          <w:cantSplit/>
          <w:trHeight w:val="340"/>
        </w:trPr>
        <w:tc>
          <w:tcPr>
            <w:tcW w:w="0" w:type="auto"/>
          </w:tcPr>
          <w:p w14:paraId="3EFF375D" w14:textId="58556577" w:rsidR="00A308EF" w:rsidRPr="00A269C8" w:rsidRDefault="00A308EF" w:rsidP="00A269C8">
            <w:pPr>
              <w:tabs>
                <w:tab w:val="left" w:pos="4111"/>
              </w:tabs>
              <w:spacing w:before="10"/>
              <w:rPr>
                <w:b/>
                <w:bCs/>
                <w:sz w:val="22"/>
                <w:szCs w:val="18"/>
              </w:rPr>
            </w:pPr>
            <w:proofErr w:type="gramStart"/>
            <w:r w:rsidRPr="00A269C8">
              <w:rPr>
                <w:b/>
                <w:bCs/>
                <w:sz w:val="22"/>
                <w:szCs w:val="18"/>
              </w:rPr>
              <w:t>Réf.:</w:t>
            </w:r>
            <w:proofErr w:type="gramEnd"/>
          </w:p>
        </w:tc>
        <w:tc>
          <w:tcPr>
            <w:tcW w:w="3484" w:type="dxa"/>
          </w:tcPr>
          <w:p w14:paraId="577F6DA2" w14:textId="246225C0" w:rsidR="00A308EF" w:rsidRPr="00A269C8" w:rsidRDefault="00A308EF" w:rsidP="00307FB4">
            <w:pPr>
              <w:tabs>
                <w:tab w:val="left" w:pos="4111"/>
              </w:tabs>
              <w:spacing w:before="10"/>
              <w:ind w:left="57"/>
              <w:rPr>
                <w:b/>
                <w:sz w:val="22"/>
                <w:szCs w:val="18"/>
              </w:rPr>
            </w:pPr>
            <w:r w:rsidRPr="00A269C8">
              <w:rPr>
                <w:b/>
                <w:sz w:val="22"/>
                <w:szCs w:val="18"/>
              </w:rPr>
              <w:t>Circulaire TSB 26</w:t>
            </w:r>
          </w:p>
        </w:tc>
        <w:tc>
          <w:tcPr>
            <w:tcW w:w="4966" w:type="dxa"/>
            <w:vMerge w:val="restart"/>
          </w:tcPr>
          <w:p w14:paraId="6110493E" w14:textId="77777777" w:rsidR="00A308EF" w:rsidRPr="00A269C8" w:rsidRDefault="00A308EF" w:rsidP="00A269C8">
            <w:pPr>
              <w:tabs>
                <w:tab w:val="left" w:pos="4111"/>
              </w:tabs>
              <w:spacing w:before="0" w:after="20"/>
              <w:ind w:left="426" w:hanging="426"/>
              <w:rPr>
                <w:sz w:val="22"/>
                <w:szCs w:val="18"/>
              </w:rPr>
            </w:pPr>
            <w:bookmarkStart w:id="0" w:name="Addressee_F"/>
            <w:bookmarkEnd w:id="0"/>
            <w:r w:rsidRPr="00A269C8">
              <w:rPr>
                <w:sz w:val="22"/>
                <w:szCs w:val="18"/>
              </w:rPr>
              <w:t>–</w:t>
            </w:r>
            <w:r w:rsidRPr="00A269C8">
              <w:rPr>
                <w:sz w:val="22"/>
                <w:szCs w:val="18"/>
              </w:rPr>
              <w:tab/>
              <w:t>Aux Administrations des États Membres de l'Union;</w:t>
            </w:r>
          </w:p>
          <w:p w14:paraId="48D6CD07" w14:textId="67653DF5" w:rsidR="00A308EF" w:rsidRPr="00A269C8" w:rsidRDefault="00A308EF" w:rsidP="00A269C8">
            <w:pPr>
              <w:tabs>
                <w:tab w:val="left" w:pos="4111"/>
              </w:tabs>
              <w:spacing w:before="0" w:after="20"/>
              <w:ind w:left="426" w:hanging="426"/>
              <w:rPr>
                <w:sz w:val="22"/>
                <w:szCs w:val="18"/>
              </w:rPr>
            </w:pPr>
            <w:r w:rsidRPr="00A269C8">
              <w:rPr>
                <w:sz w:val="22"/>
                <w:szCs w:val="18"/>
              </w:rPr>
              <w:t>–</w:t>
            </w:r>
            <w:r w:rsidRPr="00A269C8">
              <w:rPr>
                <w:sz w:val="22"/>
                <w:szCs w:val="18"/>
              </w:rPr>
              <w:tab/>
              <w:t>À l'État de Palestine (Rés. 99 (Rév. Dubaï,</w:t>
            </w:r>
            <w:r w:rsidR="00887C91" w:rsidRPr="00A269C8">
              <w:rPr>
                <w:sz w:val="22"/>
                <w:szCs w:val="18"/>
              </w:rPr>
              <w:t> </w:t>
            </w:r>
            <w:r w:rsidRPr="00A269C8">
              <w:rPr>
                <w:sz w:val="22"/>
                <w:szCs w:val="18"/>
              </w:rPr>
              <w:t>2018));</w:t>
            </w:r>
          </w:p>
          <w:p w14:paraId="738468E5" w14:textId="77777777" w:rsidR="00A308EF" w:rsidRPr="00A269C8" w:rsidRDefault="00A308EF" w:rsidP="00A269C8">
            <w:pPr>
              <w:tabs>
                <w:tab w:val="left" w:pos="4111"/>
              </w:tabs>
              <w:spacing w:before="0" w:after="20"/>
              <w:ind w:left="426" w:hanging="426"/>
              <w:rPr>
                <w:sz w:val="22"/>
                <w:szCs w:val="18"/>
              </w:rPr>
            </w:pPr>
            <w:r w:rsidRPr="00A269C8">
              <w:rPr>
                <w:sz w:val="22"/>
                <w:szCs w:val="18"/>
              </w:rPr>
              <w:t>–</w:t>
            </w:r>
            <w:r w:rsidRPr="00A269C8">
              <w:rPr>
                <w:sz w:val="22"/>
                <w:szCs w:val="18"/>
              </w:rPr>
              <w:tab/>
              <w:t>Aux Membres du Secteur de l'UIT-T;</w:t>
            </w:r>
          </w:p>
          <w:p w14:paraId="39B913DA" w14:textId="77777777" w:rsidR="00A308EF" w:rsidRPr="00A269C8" w:rsidRDefault="00A308EF" w:rsidP="00A269C8">
            <w:pPr>
              <w:tabs>
                <w:tab w:val="left" w:pos="4111"/>
              </w:tabs>
              <w:spacing w:before="0" w:after="20"/>
              <w:ind w:left="426" w:hanging="426"/>
              <w:rPr>
                <w:sz w:val="22"/>
                <w:szCs w:val="18"/>
              </w:rPr>
            </w:pPr>
            <w:r w:rsidRPr="00A269C8">
              <w:rPr>
                <w:sz w:val="22"/>
                <w:szCs w:val="18"/>
              </w:rPr>
              <w:t>–</w:t>
            </w:r>
            <w:r w:rsidRPr="00A269C8">
              <w:rPr>
                <w:sz w:val="22"/>
                <w:szCs w:val="18"/>
              </w:rPr>
              <w:tab/>
              <w:t>Aux Associés de l'UIT-T;</w:t>
            </w:r>
          </w:p>
          <w:p w14:paraId="461460AE" w14:textId="0C3B5303" w:rsidR="00A308EF" w:rsidRPr="00A269C8" w:rsidRDefault="00A308EF" w:rsidP="00A269C8">
            <w:pPr>
              <w:tabs>
                <w:tab w:val="left" w:pos="4111"/>
              </w:tabs>
              <w:spacing w:before="0" w:after="20"/>
              <w:ind w:left="426" w:hanging="426"/>
              <w:rPr>
                <w:sz w:val="22"/>
                <w:szCs w:val="18"/>
              </w:rPr>
            </w:pPr>
            <w:r w:rsidRPr="00A269C8">
              <w:rPr>
                <w:sz w:val="22"/>
                <w:szCs w:val="18"/>
              </w:rPr>
              <w:t>–</w:t>
            </w:r>
            <w:r w:rsidRPr="00A269C8">
              <w:rPr>
                <w:sz w:val="22"/>
                <w:szCs w:val="18"/>
              </w:rPr>
              <w:tab/>
              <w:t>Aux établissements universitaires participant aux travaux de l'UIT</w:t>
            </w:r>
          </w:p>
        </w:tc>
      </w:tr>
      <w:tr w:rsidR="00A308EF" w:rsidRPr="00A269C8" w14:paraId="724FD23E" w14:textId="77777777" w:rsidTr="00A308EF">
        <w:trPr>
          <w:cantSplit/>
        </w:trPr>
        <w:tc>
          <w:tcPr>
            <w:tcW w:w="0" w:type="auto"/>
          </w:tcPr>
          <w:p w14:paraId="73149CCD" w14:textId="77777777" w:rsidR="00A308EF" w:rsidRPr="00A269C8" w:rsidRDefault="00A308EF" w:rsidP="00A269C8">
            <w:pPr>
              <w:tabs>
                <w:tab w:val="left" w:pos="4111"/>
              </w:tabs>
              <w:spacing w:before="10"/>
              <w:rPr>
                <w:sz w:val="18"/>
                <w:szCs w:val="18"/>
              </w:rPr>
            </w:pPr>
            <w:proofErr w:type="gramStart"/>
            <w:r w:rsidRPr="00A269C8">
              <w:rPr>
                <w:sz w:val="22"/>
                <w:szCs w:val="18"/>
              </w:rPr>
              <w:t>Tél.:</w:t>
            </w:r>
            <w:proofErr w:type="gramEnd"/>
          </w:p>
        </w:tc>
        <w:tc>
          <w:tcPr>
            <w:tcW w:w="3484" w:type="dxa"/>
          </w:tcPr>
          <w:p w14:paraId="78D06186" w14:textId="088E0840" w:rsidR="00A308EF" w:rsidRPr="00A269C8" w:rsidRDefault="00A308EF" w:rsidP="00A5280F">
            <w:pPr>
              <w:tabs>
                <w:tab w:val="left" w:pos="4111"/>
              </w:tabs>
              <w:spacing w:before="0"/>
              <w:ind w:left="57"/>
              <w:rPr>
                <w:sz w:val="22"/>
                <w:szCs w:val="18"/>
              </w:rPr>
            </w:pPr>
            <w:r w:rsidRPr="00A269C8">
              <w:rPr>
                <w:sz w:val="22"/>
                <w:szCs w:val="18"/>
              </w:rPr>
              <w:t>+41 22 730 5882</w:t>
            </w:r>
          </w:p>
        </w:tc>
        <w:tc>
          <w:tcPr>
            <w:tcW w:w="4966" w:type="dxa"/>
            <w:vMerge/>
          </w:tcPr>
          <w:p w14:paraId="6D3A5806" w14:textId="77777777" w:rsidR="00A308EF" w:rsidRPr="00A269C8" w:rsidRDefault="00A308EF" w:rsidP="00A269C8">
            <w:pPr>
              <w:tabs>
                <w:tab w:val="left" w:pos="226"/>
                <w:tab w:val="left" w:pos="4111"/>
              </w:tabs>
              <w:spacing w:before="0" w:after="20"/>
              <w:ind w:left="226" w:hanging="226"/>
              <w:rPr>
                <w:b/>
                <w:sz w:val="22"/>
                <w:szCs w:val="18"/>
              </w:rPr>
            </w:pPr>
          </w:p>
        </w:tc>
      </w:tr>
      <w:tr w:rsidR="00A308EF" w:rsidRPr="00A269C8" w14:paraId="030F9AE5" w14:textId="77777777" w:rsidTr="00887C91">
        <w:trPr>
          <w:cantSplit/>
          <w:trHeight w:val="246"/>
        </w:trPr>
        <w:tc>
          <w:tcPr>
            <w:tcW w:w="0" w:type="auto"/>
          </w:tcPr>
          <w:p w14:paraId="7B417C4C" w14:textId="77777777" w:rsidR="00A308EF" w:rsidRPr="00A269C8" w:rsidRDefault="00A308EF" w:rsidP="00A269C8">
            <w:pPr>
              <w:tabs>
                <w:tab w:val="left" w:pos="4111"/>
              </w:tabs>
              <w:spacing w:before="10"/>
              <w:rPr>
                <w:sz w:val="18"/>
                <w:szCs w:val="18"/>
              </w:rPr>
            </w:pPr>
            <w:proofErr w:type="gramStart"/>
            <w:r w:rsidRPr="00A269C8">
              <w:rPr>
                <w:sz w:val="22"/>
                <w:szCs w:val="18"/>
              </w:rPr>
              <w:t>Télécopie:</w:t>
            </w:r>
            <w:proofErr w:type="gramEnd"/>
          </w:p>
        </w:tc>
        <w:tc>
          <w:tcPr>
            <w:tcW w:w="3484" w:type="dxa"/>
          </w:tcPr>
          <w:p w14:paraId="1A4A5F7B" w14:textId="77777777" w:rsidR="00A308EF" w:rsidRPr="00A269C8" w:rsidRDefault="00A308EF" w:rsidP="00A5280F">
            <w:pPr>
              <w:tabs>
                <w:tab w:val="left" w:pos="4111"/>
              </w:tabs>
              <w:spacing w:before="0"/>
              <w:ind w:left="57"/>
              <w:rPr>
                <w:sz w:val="22"/>
                <w:szCs w:val="18"/>
              </w:rPr>
            </w:pPr>
            <w:r w:rsidRPr="00A269C8">
              <w:rPr>
                <w:sz w:val="22"/>
                <w:szCs w:val="18"/>
              </w:rPr>
              <w:t>+41 22 730 5853</w:t>
            </w:r>
          </w:p>
        </w:tc>
        <w:tc>
          <w:tcPr>
            <w:tcW w:w="4966" w:type="dxa"/>
            <w:vMerge/>
          </w:tcPr>
          <w:p w14:paraId="323DAC81" w14:textId="77777777" w:rsidR="00A308EF" w:rsidRPr="00A269C8" w:rsidRDefault="00A308EF" w:rsidP="00A269C8">
            <w:pPr>
              <w:tabs>
                <w:tab w:val="left" w:pos="226"/>
                <w:tab w:val="left" w:pos="4111"/>
              </w:tabs>
              <w:spacing w:before="0" w:after="20"/>
              <w:ind w:left="226" w:hanging="226"/>
              <w:rPr>
                <w:b/>
                <w:sz w:val="22"/>
                <w:szCs w:val="18"/>
              </w:rPr>
            </w:pPr>
          </w:p>
        </w:tc>
      </w:tr>
      <w:tr w:rsidR="00A308EF" w:rsidRPr="00A269C8" w14:paraId="332BC0C1" w14:textId="77777777" w:rsidTr="00A308EF">
        <w:trPr>
          <w:cantSplit/>
          <w:trHeight w:val="767"/>
        </w:trPr>
        <w:tc>
          <w:tcPr>
            <w:tcW w:w="0" w:type="auto"/>
          </w:tcPr>
          <w:p w14:paraId="645BB96A" w14:textId="295A8EF3" w:rsidR="00A308EF" w:rsidRPr="00A269C8" w:rsidRDefault="00A308EF" w:rsidP="00A269C8">
            <w:pPr>
              <w:tabs>
                <w:tab w:val="left" w:pos="4111"/>
              </w:tabs>
              <w:spacing w:before="10"/>
              <w:rPr>
                <w:sz w:val="22"/>
                <w:szCs w:val="18"/>
              </w:rPr>
            </w:pPr>
            <w:r w:rsidRPr="00A269C8">
              <w:rPr>
                <w:sz w:val="22"/>
                <w:szCs w:val="18"/>
              </w:rPr>
              <w:t>Courriel</w:t>
            </w:r>
          </w:p>
        </w:tc>
        <w:tc>
          <w:tcPr>
            <w:tcW w:w="3484" w:type="dxa"/>
          </w:tcPr>
          <w:p w14:paraId="2DE4F159" w14:textId="0D98A1E7" w:rsidR="00A308EF" w:rsidRPr="00A269C8" w:rsidRDefault="00A308EF" w:rsidP="00A5280F">
            <w:pPr>
              <w:tabs>
                <w:tab w:val="left" w:pos="4111"/>
              </w:tabs>
              <w:spacing w:before="0"/>
              <w:ind w:left="57"/>
              <w:rPr>
                <w:sz w:val="22"/>
                <w:szCs w:val="18"/>
              </w:rPr>
            </w:pPr>
            <w:hyperlink r:id="rId9" w:history="1">
              <w:r w:rsidRPr="00A269C8">
                <w:rPr>
                  <w:rStyle w:val="Hyperlink"/>
                  <w:sz w:val="22"/>
                  <w:szCs w:val="18"/>
                </w:rPr>
                <w:t>alessia.magliarditi@itu.int</w:t>
              </w:r>
            </w:hyperlink>
          </w:p>
        </w:tc>
        <w:tc>
          <w:tcPr>
            <w:tcW w:w="4966" w:type="dxa"/>
            <w:vMerge/>
          </w:tcPr>
          <w:p w14:paraId="430BB501" w14:textId="77777777" w:rsidR="00A308EF" w:rsidRPr="00A269C8" w:rsidRDefault="00A308EF" w:rsidP="00A269C8">
            <w:pPr>
              <w:tabs>
                <w:tab w:val="left" w:pos="226"/>
                <w:tab w:val="left" w:pos="4111"/>
              </w:tabs>
              <w:spacing w:before="0" w:after="20"/>
              <w:ind w:left="226" w:hanging="226"/>
              <w:rPr>
                <w:b/>
                <w:sz w:val="22"/>
                <w:szCs w:val="18"/>
              </w:rPr>
            </w:pPr>
          </w:p>
        </w:tc>
      </w:tr>
      <w:tr w:rsidR="00307FB4" w:rsidRPr="00A269C8" w14:paraId="640FB6B9" w14:textId="77777777" w:rsidTr="00A308EF">
        <w:trPr>
          <w:cantSplit/>
        </w:trPr>
        <w:tc>
          <w:tcPr>
            <w:tcW w:w="0" w:type="auto"/>
          </w:tcPr>
          <w:p w14:paraId="15527369" w14:textId="1AF832A3" w:rsidR="00307FB4" w:rsidRPr="00A269C8" w:rsidRDefault="00307FB4" w:rsidP="00A269C8">
            <w:pPr>
              <w:tabs>
                <w:tab w:val="left" w:pos="4111"/>
              </w:tabs>
              <w:spacing w:before="10"/>
              <w:rPr>
                <w:b/>
                <w:bCs/>
                <w:sz w:val="22"/>
                <w:szCs w:val="18"/>
              </w:rPr>
            </w:pPr>
          </w:p>
        </w:tc>
        <w:tc>
          <w:tcPr>
            <w:tcW w:w="3484" w:type="dxa"/>
          </w:tcPr>
          <w:p w14:paraId="172249CE" w14:textId="0CF0D143" w:rsidR="00307FB4" w:rsidRPr="00A269C8" w:rsidRDefault="00307FB4" w:rsidP="00A5280F">
            <w:pPr>
              <w:tabs>
                <w:tab w:val="left" w:pos="4111"/>
              </w:tabs>
              <w:spacing w:before="0"/>
              <w:ind w:left="57"/>
              <w:rPr>
                <w:sz w:val="22"/>
                <w:szCs w:val="18"/>
              </w:rPr>
            </w:pPr>
          </w:p>
        </w:tc>
        <w:tc>
          <w:tcPr>
            <w:tcW w:w="4966" w:type="dxa"/>
          </w:tcPr>
          <w:p w14:paraId="55E5D357" w14:textId="77777777" w:rsidR="00307FB4" w:rsidRPr="00A269C8" w:rsidRDefault="00307FB4" w:rsidP="00A269C8">
            <w:pPr>
              <w:tabs>
                <w:tab w:val="clear" w:pos="794"/>
                <w:tab w:val="left" w:pos="226"/>
                <w:tab w:val="left" w:pos="4111"/>
              </w:tabs>
              <w:spacing w:before="0" w:after="20"/>
              <w:ind w:left="226" w:hanging="226"/>
              <w:rPr>
                <w:b/>
                <w:bCs/>
                <w:sz w:val="22"/>
                <w:szCs w:val="18"/>
              </w:rPr>
            </w:pPr>
            <w:r w:rsidRPr="00A269C8">
              <w:rPr>
                <w:b/>
                <w:bCs/>
                <w:sz w:val="22"/>
                <w:szCs w:val="18"/>
              </w:rPr>
              <w:t>Copie:</w:t>
            </w:r>
          </w:p>
          <w:p w14:paraId="1F87593B" w14:textId="0E17BFD0" w:rsidR="008207F2" w:rsidRPr="00A269C8" w:rsidRDefault="00307FB4" w:rsidP="00A269C8">
            <w:pPr>
              <w:tabs>
                <w:tab w:val="clear" w:pos="794"/>
                <w:tab w:val="left" w:pos="4111"/>
              </w:tabs>
              <w:spacing w:before="0" w:after="20"/>
              <w:ind w:left="426" w:hanging="426"/>
              <w:rPr>
                <w:sz w:val="22"/>
                <w:szCs w:val="18"/>
              </w:rPr>
            </w:pPr>
            <w:r w:rsidRPr="00A269C8">
              <w:rPr>
                <w:sz w:val="22"/>
                <w:szCs w:val="18"/>
              </w:rPr>
              <w:t>–</w:t>
            </w:r>
            <w:r w:rsidRPr="00A269C8">
              <w:rPr>
                <w:sz w:val="22"/>
                <w:szCs w:val="18"/>
              </w:rPr>
              <w:tab/>
            </w:r>
            <w:r w:rsidR="008207F2" w:rsidRPr="00A269C8">
              <w:rPr>
                <w:sz w:val="22"/>
                <w:szCs w:val="18"/>
              </w:rPr>
              <w:t xml:space="preserve">Aux </w:t>
            </w:r>
            <w:r w:rsidR="00887C91" w:rsidRPr="00A269C8">
              <w:rPr>
                <w:sz w:val="22"/>
                <w:szCs w:val="18"/>
              </w:rPr>
              <w:t>p</w:t>
            </w:r>
            <w:r w:rsidR="008207F2" w:rsidRPr="00A269C8">
              <w:rPr>
                <w:sz w:val="22"/>
                <w:szCs w:val="18"/>
              </w:rPr>
              <w:t xml:space="preserve">résidents et </w:t>
            </w:r>
            <w:r w:rsidR="00887C91" w:rsidRPr="00A269C8">
              <w:rPr>
                <w:sz w:val="22"/>
                <w:szCs w:val="18"/>
              </w:rPr>
              <w:t>v</w:t>
            </w:r>
            <w:r w:rsidR="008207F2" w:rsidRPr="00A269C8">
              <w:rPr>
                <w:sz w:val="22"/>
                <w:szCs w:val="18"/>
              </w:rPr>
              <w:t>ice-</w:t>
            </w:r>
            <w:r w:rsidR="00887C91" w:rsidRPr="00A269C8">
              <w:rPr>
                <w:sz w:val="22"/>
                <w:szCs w:val="18"/>
              </w:rPr>
              <w:t>p</w:t>
            </w:r>
            <w:r w:rsidR="008207F2" w:rsidRPr="00A269C8">
              <w:rPr>
                <w:sz w:val="22"/>
                <w:szCs w:val="18"/>
              </w:rPr>
              <w:t xml:space="preserve">résidents des </w:t>
            </w:r>
            <w:r w:rsidR="00887C91" w:rsidRPr="00A269C8">
              <w:rPr>
                <w:sz w:val="22"/>
                <w:szCs w:val="18"/>
              </w:rPr>
              <w:t>c</w:t>
            </w:r>
            <w:r w:rsidR="008207F2" w:rsidRPr="00A269C8">
              <w:rPr>
                <w:sz w:val="22"/>
                <w:szCs w:val="18"/>
              </w:rPr>
              <w:t>ommissions d'études;</w:t>
            </w:r>
          </w:p>
          <w:p w14:paraId="2676E635" w14:textId="77777777" w:rsidR="008207F2" w:rsidRPr="00A269C8" w:rsidRDefault="008207F2" w:rsidP="00A269C8">
            <w:pPr>
              <w:tabs>
                <w:tab w:val="clear" w:pos="794"/>
                <w:tab w:val="left" w:pos="4111"/>
              </w:tabs>
              <w:spacing w:before="0" w:after="20"/>
              <w:ind w:left="426" w:hanging="426"/>
              <w:rPr>
                <w:sz w:val="22"/>
                <w:szCs w:val="18"/>
              </w:rPr>
            </w:pPr>
            <w:r w:rsidRPr="00A269C8">
              <w:rPr>
                <w:sz w:val="22"/>
                <w:szCs w:val="18"/>
              </w:rPr>
              <w:t>–</w:t>
            </w:r>
            <w:r w:rsidRPr="00A269C8">
              <w:rPr>
                <w:sz w:val="22"/>
                <w:szCs w:val="18"/>
              </w:rPr>
              <w:tab/>
              <w:t>Au Directeur du Bureau de développement des télécommunications;</w:t>
            </w:r>
          </w:p>
          <w:p w14:paraId="19762254" w14:textId="3A6A3474" w:rsidR="00307FB4" w:rsidRPr="00A269C8" w:rsidRDefault="008207F2" w:rsidP="00A269C8">
            <w:pPr>
              <w:tabs>
                <w:tab w:val="clear" w:pos="794"/>
                <w:tab w:val="left" w:pos="4111"/>
              </w:tabs>
              <w:spacing w:before="0" w:after="20"/>
              <w:ind w:left="426" w:hanging="426"/>
              <w:rPr>
                <w:sz w:val="22"/>
                <w:szCs w:val="18"/>
              </w:rPr>
            </w:pPr>
            <w:r w:rsidRPr="00A269C8">
              <w:rPr>
                <w:sz w:val="22"/>
                <w:szCs w:val="18"/>
              </w:rPr>
              <w:t>–</w:t>
            </w:r>
            <w:r w:rsidRPr="00A269C8">
              <w:rPr>
                <w:sz w:val="22"/>
                <w:szCs w:val="18"/>
              </w:rPr>
              <w:tab/>
              <w:t>Au Directeur du Bureau des radiocommunications</w:t>
            </w:r>
          </w:p>
        </w:tc>
      </w:tr>
      <w:tr w:rsidR="00517A03" w:rsidRPr="00A269C8" w14:paraId="5435C04A" w14:textId="77777777" w:rsidTr="00A269C8">
        <w:trPr>
          <w:cantSplit/>
          <w:trHeight w:val="567"/>
        </w:trPr>
        <w:tc>
          <w:tcPr>
            <w:tcW w:w="0" w:type="auto"/>
          </w:tcPr>
          <w:p w14:paraId="2A0B9B4F" w14:textId="77777777" w:rsidR="00517A03" w:rsidRPr="00A269C8" w:rsidRDefault="00517A03" w:rsidP="00A269C8">
            <w:pPr>
              <w:tabs>
                <w:tab w:val="left" w:pos="4111"/>
              </w:tabs>
              <w:rPr>
                <w:b/>
                <w:bCs/>
                <w:sz w:val="22"/>
              </w:rPr>
            </w:pPr>
            <w:proofErr w:type="gramStart"/>
            <w:r w:rsidRPr="00A269C8">
              <w:rPr>
                <w:b/>
                <w:bCs/>
                <w:sz w:val="22"/>
              </w:rPr>
              <w:t>Objet:</w:t>
            </w:r>
            <w:proofErr w:type="gramEnd"/>
          </w:p>
        </w:tc>
        <w:tc>
          <w:tcPr>
            <w:tcW w:w="0" w:type="auto"/>
            <w:gridSpan w:val="2"/>
          </w:tcPr>
          <w:p w14:paraId="1A51EE75" w14:textId="63F68F74" w:rsidR="00517A03" w:rsidRPr="00A269C8" w:rsidRDefault="008207F2" w:rsidP="0048088B">
            <w:pPr>
              <w:tabs>
                <w:tab w:val="left" w:pos="4111"/>
              </w:tabs>
              <w:spacing w:after="120"/>
              <w:ind w:left="57"/>
              <w:rPr>
                <w:b/>
                <w:bCs/>
                <w:sz w:val="22"/>
              </w:rPr>
            </w:pPr>
            <w:r w:rsidRPr="00A269C8">
              <w:rPr>
                <w:b/>
                <w:bCs/>
                <w:sz w:val="22"/>
              </w:rPr>
              <w:t>Série de webinaires du Journal de l'UIT</w:t>
            </w:r>
            <w:r w:rsidR="008404DE" w:rsidRPr="00A269C8">
              <w:rPr>
                <w:b/>
                <w:bCs/>
                <w:sz w:val="22"/>
              </w:rPr>
              <w:br/>
            </w:r>
            <w:r w:rsidRPr="00A269C8">
              <w:rPr>
                <w:b/>
                <w:bCs/>
                <w:sz w:val="22"/>
              </w:rPr>
              <w:t>(webinaires entièrement virtuels, mars à juin 2025)</w:t>
            </w:r>
          </w:p>
        </w:tc>
      </w:tr>
    </w:tbl>
    <w:p w14:paraId="2D1EC328" w14:textId="77777777" w:rsidR="00517A03" w:rsidRPr="00A269C8" w:rsidRDefault="00517A03" w:rsidP="00A269C8">
      <w:pPr>
        <w:pStyle w:val="Normalaftertitle"/>
        <w:spacing w:before="120"/>
        <w:rPr>
          <w:sz w:val="22"/>
          <w:szCs w:val="18"/>
        </w:rPr>
      </w:pPr>
      <w:bookmarkStart w:id="1" w:name="StartTyping_F"/>
      <w:bookmarkEnd w:id="1"/>
      <w:r w:rsidRPr="00A269C8">
        <w:rPr>
          <w:sz w:val="22"/>
          <w:szCs w:val="18"/>
        </w:rPr>
        <w:t>Madame, Monsieur,</w:t>
      </w:r>
    </w:p>
    <w:p w14:paraId="63311BEC" w14:textId="5BCE0866" w:rsidR="008207F2" w:rsidRPr="00A269C8" w:rsidRDefault="008207F2" w:rsidP="00A269C8">
      <w:pPr>
        <w:rPr>
          <w:bCs/>
          <w:sz w:val="22"/>
          <w:szCs w:val="18"/>
        </w:rPr>
      </w:pPr>
      <w:r w:rsidRPr="00A269C8">
        <w:rPr>
          <w:bCs/>
          <w:sz w:val="22"/>
          <w:szCs w:val="18"/>
        </w:rPr>
        <w:t>1</w:t>
      </w:r>
      <w:r w:rsidRPr="00A269C8">
        <w:rPr>
          <w:bCs/>
          <w:sz w:val="22"/>
          <w:szCs w:val="18"/>
        </w:rPr>
        <w:tab/>
        <w:t xml:space="preserve">Le </w:t>
      </w:r>
      <w:hyperlink r:id="rId10" w:history="1">
        <w:r w:rsidRPr="00A269C8">
          <w:rPr>
            <w:rStyle w:val="Hyperlink"/>
            <w:bCs/>
            <w:sz w:val="22"/>
            <w:szCs w:val="18"/>
          </w:rPr>
          <w:t>Journal de l'UIT</w:t>
        </w:r>
      </w:hyperlink>
      <w:r w:rsidRPr="00A269C8">
        <w:rPr>
          <w:bCs/>
          <w:sz w:val="22"/>
          <w:szCs w:val="18"/>
        </w:rPr>
        <w:t xml:space="preserve"> poursuit l'organisation de sa </w:t>
      </w:r>
      <w:hyperlink r:id="rId11" w:history="1">
        <w:r w:rsidRPr="00A269C8">
          <w:rPr>
            <w:rStyle w:val="Hyperlink"/>
            <w:bCs/>
            <w:sz w:val="22"/>
            <w:szCs w:val="18"/>
          </w:rPr>
          <w:t>série de webinaires</w:t>
        </w:r>
      </w:hyperlink>
      <w:r w:rsidRPr="00A269C8">
        <w:rPr>
          <w:bCs/>
          <w:sz w:val="22"/>
          <w:szCs w:val="18"/>
        </w:rPr>
        <w:t>, lancée le 16 mars 2022, afin de présenter des vues et des travaux de recherche prospectifs sur les technologies futures et les technologies en évolution.</w:t>
      </w:r>
    </w:p>
    <w:p w14:paraId="6E0922F8" w14:textId="77777777" w:rsidR="008207F2" w:rsidRPr="00A269C8" w:rsidRDefault="008207F2" w:rsidP="00A269C8">
      <w:pPr>
        <w:rPr>
          <w:bCs/>
          <w:sz w:val="22"/>
          <w:szCs w:val="18"/>
        </w:rPr>
      </w:pPr>
      <w:r w:rsidRPr="00A269C8">
        <w:rPr>
          <w:bCs/>
          <w:sz w:val="22"/>
          <w:szCs w:val="18"/>
        </w:rPr>
        <w:t>2</w:t>
      </w:r>
      <w:r w:rsidRPr="00A269C8">
        <w:rPr>
          <w:bCs/>
          <w:sz w:val="22"/>
          <w:szCs w:val="18"/>
        </w:rPr>
        <w:tab/>
        <w:t>Les prochains webinaires mettront en avant des chercheurs de renom qui feront part de leurs travaux novateurs, exprimeront leurs idées et livreront les enseignements constructifs qu'ils ont tirés de leur expérience.</w:t>
      </w:r>
    </w:p>
    <w:p w14:paraId="6F8F760F" w14:textId="77777777" w:rsidR="008207F2" w:rsidRPr="00A269C8" w:rsidRDefault="008207F2" w:rsidP="00A269C8">
      <w:pPr>
        <w:rPr>
          <w:bCs/>
          <w:sz w:val="22"/>
          <w:szCs w:val="18"/>
        </w:rPr>
      </w:pPr>
      <w:r w:rsidRPr="00A269C8">
        <w:rPr>
          <w:bCs/>
          <w:sz w:val="22"/>
          <w:szCs w:val="18"/>
        </w:rPr>
        <w:t>3</w:t>
      </w:r>
      <w:r w:rsidRPr="00A269C8">
        <w:rPr>
          <w:bCs/>
          <w:sz w:val="22"/>
          <w:szCs w:val="18"/>
        </w:rPr>
        <w:tab/>
        <w:t>Le premier webinaire de la série, intitulé "</w:t>
      </w:r>
      <w:r w:rsidRPr="00A269C8">
        <w:rPr>
          <w:b/>
          <w:i/>
          <w:iCs/>
          <w:sz w:val="22"/>
          <w:szCs w:val="18"/>
        </w:rPr>
        <w:t>Les systèmes hertziens à l'intersection du temps physique et du temps numérique</w:t>
      </w:r>
      <w:r w:rsidRPr="00A269C8">
        <w:rPr>
          <w:bCs/>
          <w:sz w:val="22"/>
          <w:szCs w:val="18"/>
        </w:rPr>
        <w:t xml:space="preserve">", sera présenté par </w:t>
      </w:r>
      <w:r w:rsidRPr="00A269C8">
        <w:rPr>
          <w:b/>
          <w:sz w:val="22"/>
          <w:szCs w:val="18"/>
        </w:rPr>
        <w:t>M. Petar Popovski, de l'Université d'Aalborg (Danemark), le 4 mars 2025 de 16 h 00 à 17 h 30 CET</w:t>
      </w:r>
      <w:r w:rsidRPr="00A269C8">
        <w:rPr>
          <w:bCs/>
          <w:sz w:val="22"/>
          <w:szCs w:val="18"/>
        </w:rPr>
        <w:t>. Ce webinaire permettra de présenter le concept général de synchronisation dans les systèmes de communication hertziens et une mise en perspective avec l'efficacité de la génération, du traitement, de la transmission et de la reconstruction des informations au niveau des expéditeurs et des récepteurs.</w:t>
      </w:r>
    </w:p>
    <w:p w14:paraId="6DB101ED" w14:textId="2469FC51" w:rsidR="008207F2" w:rsidRPr="00A269C8" w:rsidRDefault="008207F2" w:rsidP="00A269C8">
      <w:pPr>
        <w:rPr>
          <w:bCs/>
          <w:sz w:val="22"/>
          <w:szCs w:val="18"/>
        </w:rPr>
      </w:pPr>
      <w:r w:rsidRPr="00A269C8">
        <w:rPr>
          <w:bCs/>
          <w:sz w:val="22"/>
          <w:szCs w:val="18"/>
        </w:rPr>
        <w:t>4</w:t>
      </w:r>
      <w:r w:rsidRPr="00A269C8">
        <w:rPr>
          <w:bCs/>
          <w:sz w:val="22"/>
          <w:szCs w:val="18"/>
        </w:rPr>
        <w:tab/>
        <w:t xml:space="preserve">Les autres webinaires de la série seront annoncés en temps voulu sur la page d'accueil de la </w:t>
      </w:r>
      <w:hyperlink r:id="rId12" w:history="1">
        <w:r w:rsidRPr="00A269C8">
          <w:rPr>
            <w:rStyle w:val="Hyperlink"/>
            <w:b/>
            <w:sz w:val="22"/>
            <w:szCs w:val="18"/>
          </w:rPr>
          <w:t>série de webinaires du Journal de l'UIT</w:t>
        </w:r>
      </w:hyperlink>
      <w:r w:rsidRPr="00A269C8">
        <w:rPr>
          <w:bCs/>
          <w:sz w:val="22"/>
          <w:szCs w:val="18"/>
        </w:rPr>
        <w:t>.</w:t>
      </w:r>
    </w:p>
    <w:p w14:paraId="3AA3D144" w14:textId="177C8919" w:rsidR="008207F2" w:rsidRPr="00A269C8" w:rsidRDefault="008207F2" w:rsidP="00A269C8">
      <w:pPr>
        <w:rPr>
          <w:bCs/>
          <w:sz w:val="22"/>
          <w:szCs w:val="18"/>
        </w:rPr>
      </w:pPr>
      <w:r w:rsidRPr="00A269C8">
        <w:rPr>
          <w:bCs/>
          <w:sz w:val="22"/>
          <w:szCs w:val="18"/>
        </w:rPr>
        <w:t>5</w:t>
      </w:r>
      <w:r w:rsidRPr="00A269C8">
        <w:rPr>
          <w:bCs/>
          <w:sz w:val="22"/>
          <w:szCs w:val="18"/>
        </w:rPr>
        <w:tab/>
        <w:t xml:space="preserve">La participation est ouverte aux États Membres, aux Membres de Secteur et aux Associés de l'UIT ainsi qu'aux établissements universitaires participant aux travaux de l'UIT, ainsi qu'à toute personne issue d'un pays </w:t>
      </w:r>
      <w:r w:rsidR="004A4AFB" w:rsidRPr="00A269C8">
        <w:rPr>
          <w:bCs/>
          <w:sz w:val="22"/>
          <w:szCs w:val="18"/>
        </w:rPr>
        <w:t>m</w:t>
      </w:r>
      <w:r w:rsidRPr="00A269C8">
        <w:rPr>
          <w:bCs/>
          <w:sz w:val="22"/>
          <w:szCs w:val="18"/>
        </w:rPr>
        <w:t>embre de l'UIT, y compris les membres d'organisations internationales, régionales ou nationales. La participation est gratuite.</w:t>
      </w:r>
    </w:p>
    <w:p w14:paraId="399FF465" w14:textId="05B83E4B" w:rsidR="008207F2" w:rsidRPr="00A269C8" w:rsidRDefault="008207F2" w:rsidP="00A269C8">
      <w:pPr>
        <w:keepNext/>
        <w:keepLines/>
        <w:rPr>
          <w:bCs/>
          <w:sz w:val="22"/>
          <w:szCs w:val="18"/>
        </w:rPr>
      </w:pPr>
      <w:r w:rsidRPr="00A269C8">
        <w:rPr>
          <w:bCs/>
          <w:sz w:val="22"/>
          <w:szCs w:val="18"/>
        </w:rPr>
        <w:t>6</w:t>
      </w:r>
      <w:r w:rsidRPr="00A269C8">
        <w:rPr>
          <w:bCs/>
          <w:sz w:val="22"/>
          <w:szCs w:val="18"/>
        </w:rPr>
        <w:tab/>
        <w:t xml:space="preserve">Toutes les informations utiles, concernant notamment les intervenants, les liens pour l'inscription et les modalités de connexion à distance, seront disponibles sur la page web de chaque webinaire ainsi que sur la page d'accueil de la </w:t>
      </w:r>
      <w:hyperlink r:id="rId13" w:history="1">
        <w:r w:rsidRPr="00A269C8">
          <w:rPr>
            <w:rStyle w:val="Hyperlink"/>
            <w:b/>
            <w:sz w:val="22"/>
            <w:szCs w:val="18"/>
          </w:rPr>
          <w:t>série de webinaires du Journal de l'UIT</w:t>
        </w:r>
      </w:hyperlink>
      <w:r w:rsidRPr="00A269C8">
        <w:rPr>
          <w:bCs/>
          <w:sz w:val="22"/>
          <w:szCs w:val="18"/>
        </w:rPr>
        <w:t>. Ces pages seront actualisées régulièrement, et les participants sont encouragés à les consulter pour prendre connaissance des informations les plus récentes.</w:t>
      </w:r>
    </w:p>
    <w:p w14:paraId="486FA699" w14:textId="77777777" w:rsidR="008207F2" w:rsidRPr="00A269C8" w:rsidRDefault="008207F2" w:rsidP="00A269C8">
      <w:pPr>
        <w:rPr>
          <w:bCs/>
          <w:sz w:val="22"/>
          <w:szCs w:val="18"/>
        </w:rPr>
      </w:pPr>
      <w:r w:rsidRPr="00A269C8">
        <w:rPr>
          <w:bCs/>
          <w:sz w:val="22"/>
          <w:szCs w:val="18"/>
        </w:rPr>
        <w:t>7</w:t>
      </w:r>
      <w:r w:rsidRPr="00A269C8">
        <w:rPr>
          <w:bCs/>
          <w:sz w:val="22"/>
          <w:szCs w:val="18"/>
        </w:rPr>
        <w:tab/>
        <w:t>Tous les webinaires se dérouleront en anglais.</w:t>
      </w:r>
    </w:p>
    <w:p w14:paraId="7E572899" w14:textId="39ED0158" w:rsidR="008207F2" w:rsidRPr="00A269C8" w:rsidRDefault="008207F2" w:rsidP="00A269C8">
      <w:pPr>
        <w:rPr>
          <w:bCs/>
          <w:sz w:val="22"/>
          <w:szCs w:val="18"/>
        </w:rPr>
      </w:pPr>
      <w:r w:rsidRPr="00A269C8">
        <w:rPr>
          <w:bCs/>
          <w:sz w:val="22"/>
          <w:szCs w:val="18"/>
        </w:rPr>
        <w:lastRenderedPageBreak/>
        <w:t>8</w:t>
      </w:r>
      <w:r w:rsidRPr="00A269C8">
        <w:rPr>
          <w:bCs/>
          <w:sz w:val="22"/>
          <w:szCs w:val="18"/>
        </w:rPr>
        <w:tab/>
        <w:t xml:space="preserve">Les webinaires seront </w:t>
      </w:r>
      <w:r w:rsidRPr="00A269C8">
        <w:rPr>
          <w:b/>
          <w:sz w:val="22"/>
          <w:szCs w:val="18"/>
        </w:rPr>
        <w:t>enregistrés</w:t>
      </w:r>
      <w:r w:rsidRPr="00A269C8">
        <w:rPr>
          <w:bCs/>
          <w:sz w:val="22"/>
          <w:szCs w:val="18"/>
        </w:rPr>
        <w:t xml:space="preserve">. Les enregistrements de cette série et des séries précédentes seront mis à disposition sur la liste de lecture de la série de webinaires du Journal de l'UIT sur </w:t>
      </w:r>
      <w:r w:rsidR="004A4AFB" w:rsidRPr="00A269C8">
        <w:rPr>
          <w:bCs/>
          <w:sz w:val="22"/>
          <w:szCs w:val="18"/>
        </w:rPr>
        <w:t>YouTube</w:t>
      </w:r>
      <w:r w:rsidRPr="00A269C8">
        <w:rPr>
          <w:bCs/>
          <w:sz w:val="22"/>
          <w:szCs w:val="18"/>
        </w:rPr>
        <w:t xml:space="preserve">, sous ce </w:t>
      </w:r>
      <w:hyperlink r:id="rId14" w:history="1">
        <w:r w:rsidRPr="00A269C8">
          <w:rPr>
            <w:rStyle w:val="Hyperlink"/>
            <w:bCs/>
            <w:sz w:val="22"/>
            <w:szCs w:val="18"/>
          </w:rPr>
          <w:t>lien</w:t>
        </w:r>
      </w:hyperlink>
      <w:r w:rsidRPr="00A269C8">
        <w:rPr>
          <w:bCs/>
          <w:sz w:val="22"/>
          <w:szCs w:val="18"/>
        </w:rPr>
        <w:t>.</w:t>
      </w:r>
    </w:p>
    <w:p w14:paraId="46F2C3C2" w14:textId="70BD80CC" w:rsidR="00307FB4" w:rsidRPr="00A269C8" w:rsidRDefault="008207F2" w:rsidP="008207F2">
      <w:pPr>
        <w:rPr>
          <w:bCs/>
          <w:sz w:val="22"/>
          <w:szCs w:val="18"/>
        </w:rPr>
      </w:pPr>
      <w:r w:rsidRPr="00A269C8">
        <w:rPr>
          <w:bCs/>
          <w:sz w:val="22"/>
          <w:szCs w:val="18"/>
        </w:rPr>
        <w:t>9</w:t>
      </w:r>
      <w:r w:rsidRPr="00A269C8">
        <w:rPr>
          <w:bCs/>
          <w:sz w:val="22"/>
          <w:szCs w:val="18"/>
        </w:rPr>
        <w:tab/>
      </w:r>
      <w:r w:rsidRPr="00A269C8">
        <w:rPr>
          <w:b/>
          <w:sz w:val="22"/>
          <w:szCs w:val="18"/>
        </w:rPr>
        <w:t>L'inscription en ligne à chaque manifestation est obligatoire pour tous les participants</w:t>
      </w:r>
      <w:r w:rsidRPr="00A269C8">
        <w:rPr>
          <w:bCs/>
          <w:sz w:val="22"/>
          <w:szCs w:val="18"/>
        </w:rPr>
        <w:t>. Des informations détaillées seront publiées sur la page web de chaque webinaire.</w:t>
      </w:r>
    </w:p>
    <w:p w14:paraId="6A4CD67F" w14:textId="7C17CF77" w:rsidR="00307FB4" w:rsidRPr="00A269C8" w:rsidRDefault="00307FB4" w:rsidP="00307FB4">
      <w:pPr>
        <w:rPr>
          <w:bCs/>
          <w:sz w:val="22"/>
          <w:szCs w:val="18"/>
        </w:rPr>
      </w:pPr>
      <w:r w:rsidRPr="00A269C8">
        <w:rPr>
          <w:bCs/>
          <w:sz w:val="22"/>
          <w:szCs w:val="18"/>
        </w:rPr>
        <w:t>Veuillez agréer, Madame, Monsieur, l'assurance de ma considération distinguée.</w:t>
      </w:r>
    </w:p>
    <w:p w14:paraId="558FB742" w14:textId="387EF314" w:rsidR="002937DB" w:rsidRPr="00A269C8" w:rsidRDefault="00967558" w:rsidP="00A269C8">
      <w:pPr>
        <w:spacing w:before="840"/>
        <w:rPr>
          <w:bCs/>
          <w:sz w:val="22"/>
          <w:szCs w:val="18"/>
        </w:rPr>
      </w:pPr>
      <w:r>
        <w:rPr>
          <w:bCs/>
          <w:noProof/>
          <w:sz w:val="22"/>
          <w:szCs w:val="18"/>
        </w:rPr>
        <w:drawing>
          <wp:anchor distT="0" distB="0" distL="114300" distR="114300" simplePos="0" relativeHeight="251658240" behindDoc="1" locked="0" layoutInCell="1" allowOverlap="1" wp14:anchorId="0791AE0B" wp14:editId="4E0B4548">
            <wp:simplePos x="0" y="0"/>
            <wp:positionH relativeFrom="margin">
              <wp:align>left</wp:align>
            </wp:positionH>
            <wp:positionV relativeFrom="paragraph">
              <wp:posOffset>83820</wp:posOffset>
            </wp:positionV>
            <wp:extent cx="692186" cy="330217"/>
            <wp:effectExtent l="0" t="0" r="0" b="0"/>
            <wp:wrapNone/>
            <wp:docPr id="1943122933"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22933" name="Picture 2" descr="A black text on a white background&#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307FB4" w:rsidRPr="00A269C8">
        <w:rPr>
          <w:bCs/>
          <w:sz w:val="22"/>
          <w:szCs w:val="18"/>
        </w:rPr>
        <w:t>Seizo Onoe</w:t>
      </w:r>
      <w:r w:rsidR="00B60868" w:rsidRPr="00A269C8">
        <w:rPr>
          <w:bCs/>
          <w:sz w:val="22"/>
          <w:szCs w:val="18"/>
        </w:rPr>
        <w:br/>
      </w:r>
      <w:r w:rsidR="00307FB4" w:rsidRPr="00A269C8">
        <w:rPr>
          <w:bCs/>
          <w:sz w:val="22"/>
          <w:szCs w:val="18"/>
        </w:rPr>
        <w:t>Directeur du Bureau de la normalisation</w:t>
      </w:r>
      <w:r w:rsidR="00B60868" w:rsidRPr="00A269C8">
        <w:rPr>
          <w:bCs/>
          <w:sz w:val="22"/>
          <w:szCs w:val="18"/>
        </w:rPr>
        <w:br/>
      </w:r>
      <w:r w:rsidR="00307FB4" w:rsidRPr="00A269C8">
        <w:rPr>
          <w:bCs/>
          <w:sz w:val="22"/>
          <w:szCs w:val="18"/>
        </w:rPr>
        <w:t>des télécommunications</w:t>
      </w:r>
    </w:p>
    <w:sectPr w:rsidR="002937DB" w:rsidRPr="00A269C8"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E4712" w14:textId="77777777" w:rsidR="00732648" w:rsidRDefault="00732648">
      <w:r>
        <w:separator/>
      </w:r>
    </w:p>
  </w:endnote>
  <w:endnote w:type="continuationSeparator" w:id="0">
    <w:p w14:paraId="590B5C65" w14:textId="77777777" w:rsidR="00732648" w:rsidRDefault="0073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286497BE"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54418" w14:textId="77777777" w:rsidR="00732648" w:rsidRDefault="00732648">
      <w:r>
        <w:t>____________________</w:t>
      </w:r>
    </w:p>
  </w:footnote>
  <w:footnote w:type="continuationSeparator" w:id="0">
    <w:p w14:paraId="3E599782" w14:textId="77777777" w:rsidR="00732648" w:rsidRDefault="00732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21F2DCFF" w:rsidR="00697BC1" w:rsidRDefault="00EB0EFF" w:rsidP="00697BC1">
    <w:pPr>
      <w:pStyle w:val="Header"/>
      <w:rPr>
        <w:noProof/>
        <w:sz w:val="18"/>
        <w:szCs w:val="16"/>
      </w:rPr>
    </w:pPr>
    <w:r>
      <w:rPr>
        <w:sz w:val="18"/>
        <w:szCs w:val="16"/>
      </w:rPr>
      <w:t xml:space="preserve">- </w:t>
    </w: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Pr>
            <w:noProof/>
            <w:sz w:val="18"/>
            <w:szCs w:val="16"/>
          </w:rPr>
          <w:t xml:space="preserve"> -</w:t>
        </w:r>
      </w:sdtContent>
    </w:sdt>
    <w:r w:rsidR="00AF0D7D">
      <w:rPr>
        <w:noProof/>
        <w:sz w:val="18"/>
        <w:szCs w:val="16"/>
      </w:rPr>
      <w:br/>
      <w:t xml:space="preserve">Circulaire TSB </w:t>
    </w:r>
    <w:r w:rsidR="00A308EF">
      <w:rPr>
        <w:noProof/>
        <w:sz w:val="18"/>
        <w:szCs w:val="16"/>
      </w:rPr>
      <w:t>26</w:t>
    </w:r>
  </w:p>
  <w:p w14:paraId="55CACF0F" w14:textId="77777777" w:rsidR="00A269C8" w:rsidRPr="00697BC1" w:rsidRDefault="00A269C8" w:rsidP="00697BC1">
    <w:pPr>
      <w:pStyle w:val="Header"/>
      <w:rPr>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937DB"/>
    <w:rsid w:val="002E395D"/>
    <w:rsid w:val="00307FB4"/>
    <w:rsid w:val="003131F0"/>
    <w:rsid w:val="00333A80"/>
    <w:rsid w:val="00341117"/>
    <w:rsid w:val="00364E95"/>
    <w:rsid w:val="00372875"/>
    <w:rsid w:val="003742F8"/>
    <w:rsid w:val="003B1E80"/>
    <w:rsid w:val="003B66E8"/>
    <w:rsid w:val="003E66AD"/>
    <w:rsid w:val="004033F1"/>
    <w:rsid w:val="00414B0C"/>
    <w:rsid w:val="00420D3C"/>
    <w:rsid w:val="00423C21"/>
    <w:rsid w:val="004257AC"/>
    <w:rsid w:val="0043711B"/>
    <w:rsid w:val="004419E9"/>
    <w:rsid w:val="00445B68"/>
    <w:rsid w:val="0045642A"/>
    <w:rsid w:val="0048088B"/>
    <w:rsid w:val="004977C9"/>
    <w:rsid w:val="004A4AFB"/>
    <w:rsid w:val="004B732E"/>
    <w:rsid w:val="004C6C05"/>
    <w:rsid w:val="004D51F4"/>
    <w:rsid w:val="004D64E0"/>
    <w:rsid w:val="005120A2"/>
    <w:rsid w:val="0051210D"/>
    <w:rsid w:val="005136D2"/>
    <w:rsid w:val="00517A03"/>
    <w:rsid w:val="005758F0"/>
    <w:rsid w:val="0058244C"/>
    <w:rsid w:val="005A3DD9"/>
    <w:rsid w:val="005B1DFC"/>
    <w:rsid w:val="00601682"/>
    <w:rsid w:val="00603470"/>
    <w:rsid w:val="00613088"/>
    <w:rsid w:val="00625E79"/>
    <w:rsid w:val="006333F7"/>
    <w:rsid w:val="006427A1"/>
    <w:rsid w:val="00644741"/>
    <w:rsid w:val="00697BC1"/>
    <w:rsid w:val="006A6FFE"/>
    <w:rsid w:val="006C5A91"/>
    <w:rsid w:val="006F52F7"/>
    <w:rsid w:val="00716BBC"/>
    <w:rsid w:val="007321BC"/>
    <w:rsid w:val="00732648"/>
    <w:rsid w:val="00760063"/>
    <w:rsid w:val="00775E4B"/>
    <w:rsid w:val="0079553B"/>
    <w:rsid w:val="00795679"/>
    <w:rsid w:val="007A40FE"/>
    <w:rsid w:val="00810105"/>
    <w:rsid w:val="008157E0"/>
    <w:rsid w:val="008207F2"/>
    <w:rsid w:val="008404DE"/>
    <w:rsid w:val="00850477"/>
    <w:rsid w:val="00854E1D"/>
    <w:rsid w:val="00887C91"/>
    <w:rsid w:val="00887FA6"/>
    <w:rsid w:val="008C4397"/>
    <w:rsid w:val="008C465A"/>
    <w:rsid w:val="008F2C9B"/>
    <w:rsid w:val="00923CD6"/>
    <w:rsid w:val="00935AA8"/>
    <w:rsid w:val="00967558"/>
    <w:rsid w:val="00971C9A"/>
    <w:rsid w:val="009D51FA"/>
    <w:rsid w:val="009F1E23"/>
    <w:rsid w:val="00A15179"/>
    <w:rsid w:val="00A269C8"/>
    <w:rsid w:val="00A308EF"/>
    <w:rsid w:val="00A51537"/>
    <w:rsid w:val="00A5280F"/>
    <w:rsid w:val="00A5645A"/>
    <w:rsid w:val="00A60FC1"/>
    <w:rsid w:val="00A97C37"/>
    <w:rsid w:val="00AA131B"/>
    <w:rsid w:val="00AC37B5"/>
    <w:rsid w:val="00AD752F"/>
    <w:rsid w:val="00AF08A4"/>
    <w:rsid w:val="00AF0D7D"/>
    <w:rsid w:val="00B27B41"/>
    <w:rsid w:val="00B42002"/>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75D64"/>
    <w:rsid w:val="00DC3D47"/>
    <w:rsid w:val="00DD77DA"/>
    <w:rsid w:val="00E06C61"/>
    <w:rsid w:val="00E13DB3"/>
    <w:rsid w:val="00E2408B"/>
    <w:rsid w:val="00E62CEA"/>
    <w:rsid w:val="00E72AE1"/>
    <w:rsid w:val="00EB0EFF"/>
    <w:rsid w:val="00ED6A7A"/>
    <w:rsid w:val="00EE4C36"/>
    <w:rsid w:val="00EF6A23"/>
    <w:rsid w:val="00F16C36"/>
    <w:rsid w:val="00F346CE"/>
    <w:rsid w:val="00F34F98"/>
    <w:rsid w:val="00F40540"/>
    <w:rsid w:val="00F67402"/>
    <w:rsid w:val="00F766A2"/>
    <w:rsid w:val="00F9451D"/>
    <w:rsid w:val="00F958AC"/>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journal/j-fet/webinars/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journal/j-fet/webinars/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journal/j-fet/webinars/Pages/default.asp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en/journal/j-fet/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ssia.magliarditi@itu.int" TargetMode="External"/><Relationship Id="rId14" Type="http://schemas.openxmlformats.org/officeDocument/2006/relationships/hyperlink" Target="https://www.youtube.com/playlist?list=PLpoIPNlF8P2Pv_IPejcMgAohtasUIJVE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66</TotalTime>
  <Pages>2</Pages>
  <Words>488</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3731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10</cp:revision>
  <cp:lastPrinted>2025-04-11T11:13:00Z</cp:lastPrinted>
  <dcterms:created xsi:type="dcterms:W3CDTF">2025-03-13T05:46:00Z</dcterms:created>
  <dcterms:modified xsi:type="dcterms:W3CDTF">2025-04-11T11:13:00Z</dcterms:modified>
</cp:coreProperties>
</file>