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2DAE7180" w14:textId="77777777" w:rsidTr="00D517B2">
        <w:trPr>
          <w:cantSplit/>
          <w:trHeight w:val="1134"/>
        </w:trPr>
        <w:tc>
          <w:tcPr>
            <w:tcW w:w="798" w:type="pct"/>
          </w:tcPr>
          <w:p w14:paraId="1B1BFAD4" w14:textId="77777777" w:rsidR="00D517B2" w:rsidRPr="00D517B2" w:rsidRDefault="00D517B2" w:rsidP="00D517B2">
            <w:pPr>
              <w:spacing w:before="0" w:line="240" w:lineRule="auto"/>
              <w:rPr>
                <w:b/>
                <w:bCs/>
                <w:rtl/>
                <w:lang w:bidi="ar-EG"/>
              </w:rPr>
            </w:pPr>
            <w:r w:rsidRPr="00D517B2">
              <w:rPr>
                <w:noProof/>
              </w:rPr>
              <w:drawing>
                <wp:inline distT="0" distB="0" distL="0" distR="0" wp14:anchorId="1EFBB30D" wp14:editId="3910B1B2">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1B7259C7"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0CEAFB11"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61"/>
        <w:gridCol w:w="3825"/>
        <w:gridCol w:w="4253"/>
      </w:tblGrid>
      <w:tr w:rsidR="00D517B2" w:rsidRPr="00D517B2" w14:paraId="6681CE0F" w14:textId="77777777" w:rsidTr="001E2788">
        <w:trPr>
          <w:cantSplit/>
          <w:jc w:val="center"/>
        </w:trPr>
        <w:tc>
          <w:tcPr>
            <w:tcW w:w="810" w:type="pct"/>
          </w:tcPr>
          <w:p w14:paraId="1845096E" w14:textId="77777777" w:rsidR="00D517B2" w:rsidRPr="00D517B2" w:rsidRDefault="00D517B2" w:rsidP="00BB0F08">
            <w:pPr>
              <w:spacing w:line="300" w:lineRule="exact"/>
              <w:jc w:val="left"/>
              <w:rPr>
                <w:position w:val="2"/>
              </w:rPr>
            </w:pPr>
          </w:p>
        </w:tc>
        <w:tc>
          <w:tcPr>
            <w:tcW w:w="1984" w:type="pct"/>
          </w:tcPr>
          <w:p w14:paraId="2B8770D7" w14:textId="77777777" w:rsidR="00D517B2" w:rsidRPr="00D517B2" w:rsidRDefault="00D517B2" w:rsidP="00BB0F08">
            <w:pPr>
              <w:spacing w:line="300" w:lineRule="exact"/>
              <w:jc w:val="left"/>
              <w:rPr>
                <w:position w:val="2"/>
              </w:rPr>
            </w:pPr>
          </w:p>
        </w:tc>
        <w:tc>
          <w:tcPr>
            <w:tcW w:w="2206" w:type="pct"/>
          </w:tcPr>
          <w:p w14:paraId="0600C492" w14:textId="77777777" w:rsidR="00D517B2" w:rsidRPr="00873469" w:rsidRDefault="00D517B2" w:rsidP="00BB0F08">
            <w:pPr>
              <w:spacing w:line="300" w:lineRule="exact"/>
              <w:jc w:val="left"/>
              <w:rPr>
                <w:position w:val="2"/>
                <w:lang w:bidi="ar-EG"/>
              </w:rPr>
            </w:pPr>
          </w:p>
        </w:tc>
      </w:tr>
      <w:tr w:rsidR="00D517B2" w:rsidRPr="00D517B2" w14:paraId="24F45FC5" w14:textId="77777777" w:rsidTr="001E2788">
        <w:trPr>
          <w:cantSplit/>
          <w:jc w:val="center"/>
        </w:trPr>
        <w:tc>
          <w:tcPr>
            <w:tcW w:w="810" w:type="pct"/>
          </w:tcPr>
          <w:p w14:paraId="1CCAF80F" w14:textId="77777777" w:rsidR="00D517B2" w:rsidRPr="00D517B2" w:rsidRDefault="00D517B2" w:rsidP="006019C6">
            <w:pPr>
              <w:spacing w:before="80" w:after="120" w:line="300" w:lineRule="exact"/>
              <w:jc w:val="left"/>
              <w:rPr>
                <w:position w:val="2"/>
              </w:rPr>
            </w:pPr>
          </w:p>
        </w:tc>
        <w:tc>
          <w:tcPr>
            <w:tcW w:w="1984" w:type="pct"/>
          </w:tcPr>
          <w:p w14:paraId="319B0C6D" w14:textId="77777777" w:rsidR="00D517B2" w:rsidRPr="00D517B2" w:rsidRDefault="00D517B2" w:rsidP="006019C6">
            <w:pPr>
              <w:spacing w:before="80" w:after="120" w:line="300" w:lineRule="exact"/>
              <w:jc w:val="left"/>
              <w:rPr>
                <w:position w:val="2"/>
                <w:lang w:bidi="ar-EG"/>
              </w:rPr>
            </w:pPr>
          </w:p>
        </w:tc>
        <w:tc>
          <w:tcPr>
            <w:tcW w:w="2206" w:type="pct"/>
          </w:tcPr>
          <w:p w14:paraId="2438752F" w14:textId="4E4F9EF3" w:rsidR="00D517B2" w:rsidRPr="00D517B2" w:rsidRDefault="00873469" w:rsidP="006019C6">
            <w:pPr>
              <w:spacing w:before="80" w:after="120" w:line="300" w:lineRule="exact"/>
              <w:jc w:val="left"/>
              <w:rPr>
                <w:position w:val="2"/>
                <w:rtl/>
                <w:lang w:bidi="ar-EG"/>
              </w:rPr>
            </w:pPr>
            <w:r w:rsidRPr="00D517B2">
              <w:rPr>
                <w:rFonts w:hint="cs"/>
                <w:position w:val="2"/>
                <w:rtl/>
              </w:rPr>
              <w:t xml:space="preserve">جنيف، </w:t>
            </w:r>
            <w:r w:rsidR="00F67198">
              <w:rPr>
                <w:position w:val="2"/>
              </w:rPr>
              <w:t>15</w:t>
            </w:r>
            <w:r w:rsidR="00F67198">
              <w:rPr>
                <w:rFonts w:hint="cs"/>
                <w:position w:val="2"/>
                <w:rtl/>
                <w:lang w:bidi="ar-EG"/>
              </w:rPr>
              <w:t xml:space="preserve"> </w:t>
            </w:r>
            <w:r w:rsidR="00F67198">
              <w:rPr>
                <w:rFonts w:hint="cs"/>
                <w:position w:val="2"/>
                <w:rtl/>
              </w:rPr>
              <w:t>أبريل</w:t>
            </w:r>
            <w:r w:rsidR="007139D8">
              <w:rPr>
                <w:rFonts w:hint="cs"/>
                <w:position w:val="2"/>
                <w:rtl/>
              </w:rPr>
              <w:t xml:space="preserve"> </w:t>
            </w:r>
            <w:r w:rsidR="007139D8">
              <w:rPr>
                <w:position w:val="2"/>
              </w:rPr>
              <w:t>2025</w:t>
            </w:r>
          </w:p>
        </w:tc>
      </w:tr>
      <w:tr w:rsidR="001E2788" w:rsidRPr="00D517B2" w14:paraId="5854B12A" w14:textId="77777777" w:rsidTr="001E2788">
        <w:trPr>
          <w:cantSplit/>
          <w:jc w:val="center"/>
        </w:trPr>
        <w:tc>
          <w:tcPr>
            <w:tcW w:w="810" w:type="pct"/>
          </w:tcPr>
          <w:p w14:paraId="4E0ADE49" w14:textId="77777777" w:rsidR="001E2788" w:rsidRPr="00A9156F" w:rsidRDefault="001E2788" w:rsidP="00D517B2">
            <w:pPr>
              <w:spacing w:before="80" w:after="60" w:line="300" w:lineRule="exact"/>
              <w:jc w:val="left"/>
              <w:rPr>
                <w:b/>
                <w:bCs/>
                <w:position w:val="2"/>
              </w:rPr>
            </w:pPr>
            <w:r w:rsidRPr="00A9156F">
              <w:rPr>
                <w:rFonts w:hint="cs"/>
                <w:b/>
                <w:bCs/>
                <w:position w:val="2"/>
                <w:rtl/>
              </w:rPr>
              <w:t>المرجع:</w:t>
            </w:r>
          </w:p>
        </w:tc>
        <w:tc>
          <w:tcPr>
            <w:tcW w:w="1984" w:type="pct"/>
          </w:tcPr>
          <w:p w14:paraId="11FE6892" w14:textId="7370A501" w:rsidR="001E2788" w:rsidRPr="00D517B2" w:rsidRDefault="001E2788" w:rsidP="00F67198">
            <w:pPr>
              <w:spacing w:before="80" w:after="60" w:line="300" w:lineRule="exact"/>
              <w:jc w:val="left"/>
              <w:rPr>
                <w:rFonts w:hint="cs"/>
                <w:b/>
                <w:position w:val="2"/>
                <w:rtl/>
                <w:lang w:bidi="ar-EG"/>
              </w:rPr>
            </w:pPr>
            <w:r w:rsidRPr="00D517B2">
              <w:rPr>
                <w:b/>
                <w:position w:val="2"/>
              </w:rPr>
              <w:t>TSB </w:t>
            </w:r>
            <w:r>
              <w:rPr>
                <w:b/>
                <w:position w:val="2"/>
              </w:rPr>
              <w:t>Circular</w:t>
            </w:r>
            <w:r w:rsidRPr="00D517B2">
              <w:rPr>
                <w:b/>
                <w:position w:val="2"/>
              </w:rPr>
              <w:t xml:space="preserve"> </w:t>
            </w:r>
            <w:r w:rsidR="00F67198">
              <w:rPr>
                <w:b/>
                <w:position w:val="2"/>
              </w:rPr>
              <w:t>24</w:t>
            </w:r>
            <w:r>
              <w:rPr>
                <w:b/>
                <w:position w:val="2"/>
              </w:rPr>
              <w:br/>
            </w:r>
            <w:r w:rsidR="00F67198" w:rsidRPr="00F67198">
              <w:rPr>
                <w:bCs/>
                <w:position w:val="2"/>
                <w:lang w:val="pt-PT"/>
              </w:rPr>
              <w:t>SG21/SP</w:t>
            </w:r>
          </w:p>
        </w:tc>
        <w:tc>
          <w:tcPr>
            <w:tcW w:w="2206" w:type="pct"/>
            <w:vMerge w:val="restart"/>
          </w:tcPr>
          <w:p w14:paraId="67FE588B" w14:textId="77777777" w:rsidR="001E2788" w:rsidRPr="0054527A" w:rsidRDefault="001E2788" w:rsidP="001E2788">
            <w:pPr>
              <w:tabs>
                <w:tab w:val="clear" w:pos="794"/>
                <w:tab w:val="left" w:pos="284"/>
              </w:tabs>
              <w:spacing w:before="80" w:after="60" w:line="300" w:lineRule="exact"/>
              <w:jc w:val="left"/>
              <w:rPr>
                <w:b/>
                <w:bCs/>
                <w:position w:val="2"/>
                <w:rtl/>
                <w:lang w:bidi="ar-EG"/>
              </w:rPr>
            </w:pPr>
            <w:r w:rsidRPr="0054527A">
              <w:rPr>
                <w:rFonts w:hint="cs"/>
                <w:b/>
                <w:bCs/>
                <w:position w:val="2"/>
                <w:rtl/>
              </w:rPr>
              <w:t>إلى:</w:t>
            </w:r>
          </w:p>
          <w:p w14:paraId="2397AC7B" w14:textId="77777777" w:rsidR="001E2788" w:rsidRPr="0054527A" w:rsidRDefault="001E2788" w:rsidP="00D517B2">
            <w:pPr>
              <w:tabs>
                <w:tab w:val="clear" w:pos="794"/>
                <w:tab w:val="left" w:pos="284"/>
              </w:tabs>
              <w:spacing w:before="80" w:after="60" w:line="300" w:lineRule="exact"/>
              <w:ind w:left="284" w:hanging="284"/>
              <w:jc w:val="left"/>
              <w:rPr>
                <w:position w:val="2"/>
                <w:rtl/>
              </w:rPr>
            </w:pPr>
            <w:r w:rsidRPr="0054527A">
              <w:rPr>
                <w:rFonts w:hint="cs"/>
                <w:position w:val="2"/>
                <w:rtl/>
              </w:rPr>
              <w:t>-</w:t>
            </w:r>
            <w:r w:rsidRPr="0054527A">
              <w:rPr>
                <w:position w:val="2"/>
                <w:rtl/>
              </w:rPr>
              <w:tab/>
            </w:r>
            <w:r w:rsidRPr="0054527A">
              <w:rPr>
                <w:rFonts w:hint="cs"/>
                <w:position w:val="2"/>
                <w:rtl/>
              </w:rPr>
              <w:t>إدارات الدول الأعضاء في الاتحاد؛</w:t>
            </w:r>
          </w:p>
          <w:p w14:paraId="316A5BE8" w14:textId="53FBA151" w:rsidR="001E2788" w:rsidRPr="00D517B2" w:rsidRDefault="001E2788" w:rsidP="0054527A">
            <w:pPr>
              <w:tabs>
                <w:tab w:val="left" w:pos="284"/>
                <w:tab w:val="left" w:pos="4111"/>
              </w:tabs>
              <w:spacing w:before="20" w:line="340" w:lineRule="exact"/>
              <w:ind w:left="284" w:hanging="284"/>
              <w:rPr>
                <w:position w:val="2"/>
                <w:rtl/>
                <w:lang w:bidi="ar-EG"/>
              </w:rPr>
            </w:pPr>
            <w:r w:rsidRPr="0054527A">
              <w:rPr>
                <w:rFonts w:hint="cs"/>
                <w:position w:val="2"/>
                <w:rtl/>
              </w:rPr>
              <w:t>-</w:t>
            </w:r>
            <w:r w:rsidRPr="0054527A">
              <w:rPr>
                <w:position w:val="2"/>
                <w:rtl/>
              </w:rPr>
              <w:tab/>
            </w:r>
            <w:r w:rsidR="00F67198" w:rsidRPr="0054527A">
              <w:rPr>
                <w:position w:val="2"/>
                <w:rtl/>
              </w:rPr>
              <w:t>دولة فلسطين (القرار 99 (المراج</w:t>
            </w:r>
            <w:r w:rsidR="00F67198" w:rsidRPr="0054527A">
              <w:rPr>
                <w:rFonts w:hint="cs"/>
                <w:position w:val="2"/>
                <w:rtl/>
              </w:rPr>
              <w:t>َ</w:t>
            </w:r>
            <w:r w:rsidR="00F67198" w:rsidRPr="0054527A">
              <w:rPr>
                <w:position w:val="2"/>
                <w:rtl/>
              </w:rPr>
              <w:t>ع في دبي، 2018))</w:t>
            </w:r>
          </w:p>
        </w:tc>
      </w:tr>
      <w:tr w:rsidR="001E2788" w:rsidRPr="00D517B2" w14:paraId="01BD4602" w14:textId="77777777" w:rsidTr="001E2788">
        <w:trPr>
          <w:cantSplit/>
          <w:jc w:val="center"/>
        </w:trPr>
        <w:tc>
          <w:tcPr>
            <w:tcW w:w="810" w:type="pct"/>
          </w:tcPr>
          <w:p w14:paraId="22871BA7" w14:textId="77777777" w:rsidR="001E2788" w:rsidRDefault="001E2788" w:rsidP="001E2788">
            <w:pPr>
              <w:spacing w:before="80" w:after="60" w:line="300" w:lineRule="exact"/>
              <w:jc w:val="left"/>
              <w:rPr>
                <w:b/>
                <w:bCs/>
                <w:position w:val="2"/>
                <w:rtl/>
                <w:lang w:bidi="ar-EG"/>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984" w:type="pct"/>
          </w:tcPr>
          <w:p w14:paraId="343CA89D" w14:textId="5883F049" w:rsidR="001E2788" w:rsidRDefault="003E51A0" w:rsidP="003E51A0">
            <w:pPr>
              <w:spacing w:before="80" w:after="60" w:line="300" w:lineRule="exact"/>
              <w:jc w:val="left"/>
              <w:rPr>
                <w:b/>
                <w:bCs/>
                <w:position w:val="2"/>
                <w:rtl/>
                <w:lang w:bidi="ar-EG"/>
              </w:rPr>
            </w:pPr>
            <w:r w:rsidRPr="003E51A0">
              <w:rPr>
                <w:position w:val="2"/>
                <w:lang w:val="en-GB"/>
              </w:rPr>
              <w:t>+41 22 730 5858</w:t>
            </w:r>
          </w:p>
        </w:tc>
        <w:tc>
          <w:tcPr>
            <w:tcW w:w="2206" w:type="pct"/>
            <w:vMerge/>
          </w:tcPr>
          <w:p w14:paraId="161D6BCD" w14:textId="77777777" w:rsidR="001E2788" w:rsidRPr="00D517B2" w:rsidRDefault="001E2788" w:rsidP="001E2788">
            <w:pPr>
              <w:spacing w:before="80" w:after="60" w:line="300" w:lineRule="exact"/>
              <w:jc w:val="left"/>
              <w:rPr>
                <w:position w:val="2"/>
                <w:rtl/>
              </w:rPr>
            </w:pPr>
          </w:p>
        </w:tc>
      </w:tr>
      <w:tr w:rsidR="001E2788" w:rsidRPr="00D517B2" w14:paraId="22E13608" w14:textId="77777777" w:rsidTr="001E2788">
        <w:trPr>
          <w:cantSplit/>
          <w:jc w:val="center"/>
        </w:trPr>
        <w:tc>
          <w:tcPr>
            <w:tcW w:w="810" w:type="pct"/>
          </w:tcPr>
          <w:p w14:paraId="5533667C" w14:textId="77777777" w:rsidR="001E2788" w:rsidRPr="00A9156F" w:rsidRDefault="001E2788" w:rsidP="001E2788">
            <w:pPr>
              <w:spacing w:before="80" w:after="60" w:line="300" w:lineRule="exact"/>
              <w:jc w:val="left"/>
              <w:rPr>
                <w:b/>
                <w:bCs/>
                <w:position w:val="2"/>
                <w:rtl/>
              </w:rPr>
            </w:pPr>
            <w:r w:rsidRPr="00A9156F">
              <w:rPr>
                <w:rFonts w:hint="cs"/>
                <w:b/>
                <w:bCs/>
                <w:position w:val="2"/>
                <w:rtl/>
              </w:rPr>
              <w:t>الفاكس:</w:t>
            </w:r>
          </w:p>
        </w:tc>
        <w:tc>
          <w:tcPr>
            <w:tcW w:w="1984" w:type="pct"/>
          </w:tcPr>
          <w:p w14:paraId="2FEF7FE3" w14:textId="65ABA641" w:rsidR="001E2788" w:rsidRPr="00D517B2" w:rsidRDefault="003E51A0" w:rsidP="003E51A0">
            <w:pPr>
              <w:spacing w:before="80" w:after="60" w:line="300" w:lineRule="exact"/>
              <w:jc w:val="left"/>
              <w:rPr>
                <w:position w:val="2"/>
              </w:rPr>
            </w:pPr>
            <w:r w:rsidRPr="003E51A0">
              <w:rPr>
                <w:position w:val="2"/>
                <w:lang w:val="en-GB"/>
              </w:rPr>
              <w:t>+41 22 730 5853</w:t>
            </w:r>
          </w:p>
        </w:tc>
        <w:tc>
          <w:tcPr>
            <w:tcW w:w="2206" w:type="pct"/>
            <w:vMerge/>
          </w:tcPr>
          <w:p w14:paraId="1209F3F8" w14:textId="77777777" w:rsidR="001E2788" w:rsidRPr="00D517B2" w:rsidRDefault="001E2788" w:rsidP="00D517B2">
            <w:pPr>
              <w:spacing w:before="80" w:after="60" w:line="300" w:lineRule="exact"/>
              <w:jc w:val="left"/>
              <w:rPr>
                <w:position w:val="2"/>
                <w:rtl/>
              </w:rPr>
            </w:pPr>
          </w:p>
        </w:tc>
      </w:tr>
      <w:tr w:rsidR="00CE1C08" w:rsidRPr="00D517B2" w14:paraId="3041EEAB" w14:textId="77777777" w:rsidTr="001E2788">
        <w:trPr>
          <w:cantSplit/>
          <w:jc w:val="center"/>
        </w:trPr>
        <w:tc>
          <w:tcPr>
            <w:tcW w:w="810" w:type="pct"/>
          </w:tcPr>
          <w:p w14:paraId="34E28894" w14:textId="77777777" w:rsidR="00CE1C08" w:rsidRPr="00A9156F" w:rsidRDefault="001E2788" w:rsidP="00CE1C08">
            <w:pPr>
              <w:spacing w:before="80" w:after="60" w:line="300" w:lineRule="exact"/>
              <w:jc w:val="left"/>
              <w:rPr>
                <w:b/>
                <w:bCs/>
                <w:position w:val="2"/>
                <w:rtl/>
              </w:rPr>
            </w:pPr>
            <w:r w:rsidRPr="00A9156F">
              <w:rPr>
                <w:rFonts w:hint="cs"/>
                <w:b/>
                <w:bCs/>
                <w:position w:val="2"/>
                <w:rtl/>
              </w:rPr>
              <w:t>البريد الإلكتروني:</w:t>
            </w:r>
          </w:p>
        </w:tc>
        <w:tc>
          <w:tcPr>
            <w:tcW w:w="1984" w:type="pct"/>
          </w:tcPr>
          <w:p w14:paraId="719E6E07" w14:textId="4E6D1929" w:rsidR="00CE1C08" w:rsidRPr="006E1BAD" w:rsidRDefault="00216328" w:rsidP="00CE1C08">
            <w:pPr>
              <w:spacing w:before="80" w:after="60" w:line="300" w:lineRule="exact"/>
              <w:jc w:val="left"/>
              <w:rPr>
                <w:rFonts w:hint="cs"/>
                <w:position w:val="2"/>
                <w:highlight w:val="magenta"/>
                <w:rtl/>
                <w:lang w:bidi="ar-EG"/>
              </w:rPr>
            </w:pPr>
            <w:hyperlink r:id="rId9" w:history="1">
              <w:r w:rsidR="003E51A0" w:rsidRPr="00D93F24">
                <w:rPr>
                  <w:rStyle w:val="Hyperlink"/>
                  <w:szCs w:val="18"/>
                </w:rPr>
                <w:t>tsbsg21@itu.int</w:t>
              </w:r>
            </w:hyperlink>
          </w:p>
        </w:tc>
        <w:tc>
          <w:tcPr>
            <w:tcW w:w="2206" w:type="pct"/>
          </w:tcPr>
          <w:p w14:paraId="65F001B2" w14:textId="77777777" w:rsidR="00CE1C08" w:rsidRPr="0054527A" w:rsidRDefault="00CE1C08" w:rsidP="00CE1C08">
            <w:pPr>
              <w:tabs>
                <w:tab w:val="clear" w:pos="794"/>
                <w:tab w:val="left" w:pos="284"/>
              </w:tabs>
              <w:spacing w:before="80" w:after="60" w:line="300" w:lineRule="exact"/>
              <w:ind w:left="284" w:hanging="284"/>
              <w:jc w:val="left"/>
              <w:rPr>
                <w:b/>
                <w:bCs/>
                <w:position w:val="2"/>
                <w:rtl/>
              </w:rPr>
            </w:pPr>
            <w:r w:rsidRPr="0054527A">
              <w:rPr>
                <w:rFonts w:hint="cs"/>
                <w:b/>
                <w:bCs/>
                <w:position w:val="2"/>
                <w:rtl/>
              </w:rPr>
              <w:t>نسخة إلى:</w:t>
            </w:r>
          </w:p>
          <w:p w14:paraId="3AC1A25A" w14:textId="341F9147" w:rsidR="0055717B" w:rsidRPr="0054527A" w:rsidRDefault="00CE1C08" w:rsidP="0055717B">
            <w:pPr>
              <w:tabs>
                <w:tab w:val="left" w:pos="284"/>
                <w:tab w:val="left" w:pos="4111"/>
              </w:tabs>
              <w:spacing w:before="0" w:line="340" w:lineRule="exact"/>
              <w:ind w:left="284" w:hanging="284"/>
              <w:rPr>
                <w:position w:val="2"/>
              </w:rPr>
            </w:pPr>
            <w:r w:rsidRPr="0054527A">
              <w:rPr>
                <w:rFonts w:hint="cs"/>
                <w:position w:val="2"/>
                <w:rtl/>
              </w:rPr>
              <w:t>-</w:t>
            </w:r>
            <w:r w:rsidRPr="0054527A">
              <w:rPr>
                <w:position w:val="2"/>
                <w:rtl/>
              </w:rPr>
              <w:tab/>
            </w:r>
            <w:r w:rsidR="0055717B" w:rsidRPr="0054527A">
              <w:rPr>
                <w:position w:val="2"/>
                <w:rtl/>
              </w:rPr>
              <w:t>أعضاء قطاع تقييس الاتصالات</w:t>
            </w:r>
            <w:r w:rsidR="0028397E">
              <w:rPr>
                <w:rFonts w:hint="cs"/>
                <w:position w:val="2"/>
                <w:rtl/>
              </w:rPr>
              <w:t>؛</w:t>
            </w:r>
          </w:p>
          <w:p w14:paraId="633EEE2D" w14:textId="5A0E83E3" w:rsidR="0055717B" w:rsidRPr="0054527A" w:rsidRDefault="0055717B" w:rsidP="002A2B5A">
            <w:pPr>
              <w:tabs>
                <w:tab w:val="left" w:pos="284"/>
                <w:tab w:val="left" w:pos="4111"/>
              </w:tabs>
              <w:spacing w:before="0" w:line="340" w:lineRule="exact"/>
              <w:ind w:left="284" w:hanging="284"/>
              <w:jc w:val="left"/>
              <w:rPr>
                <w:rFonts w:eastAsia="Times New Roman"/>
                <w:position w:val="2"/>
                <w:rtl/>
                <w:lang w:eastAsia="en-US" w:bidi="ar-EG"/>
              </w:rPr>
            </w:pPr>
            <w:r w:rsidRPr="0054527A">
              <w:rPr>
                <w:rFonts w:eastAsia="Times New Roman" w:hint="cs"/>
                <w:position w:val="2"/>
                <w:rtl/>
                <w:lang w:eastAsia="en-US" w:bidi="ar-EG"/>
              </w:rPr>
              <w:t>-</w:t>
            </w:r>
            <w:r w:rsidRPr="0054527A">
              <w:rPr>
                <w:rFonts w:eastAsia="Times New Roman"/>
                <w:position w:val="2"/>
                <w:rtl/>
                <w:lang w:eastAsia="en-US" w:bidi="ar-EG"/>
              </w:rPr>
              <w:tab/>
            </w:r>
            <w:r w:rsidRPr="0054527A">
              <w:rPr>
                <w:rFonts w:eastAsia="Times New Roman"/>
                <w:position w:val="2"/>
                <w:rtl/>
                <w:lang w:eastAsia="en-US"/>
              </w:rPr>
              <w:t>المنتسبين إلى لجنة الدراسات 21 بقطاع تقييس</w:t>
            </w:r>
            <w:r w:rsidR="002A2B5A">
              <w:rPr>
                <w:rFonts w:eastAsia="Times New Roman" w:hint="cs"/>
                <w:position w:val="2"/>
                <w:rtl/>
                <w:lang w:eastAsia="en-US"/>
              </w:rPr>
              <w:t> </w:t>
            </w:r>
            <w:r w:rsidRPr="0054527A">
              <w:rPr>
                <w:rFonts w:eastAsia="Times New Roman"/>
                <w:position w:val="2"/>
                <w:rtl/>
                <w:lang w:eastAsia="en-US"/>
              </w:rPr>
              <w:t>الاتصالات</w:t>
            </w:r>
            <w:r w:rsidRPr="0054527A">
              <w:rPr>
                <w:rFonts w:eastAsia="Times New Roman" w:hint="cs"/>
                <w:position w:val="2"/>
                <w:rtl/>
                <w:lang w:eastAsia="en-US"/>
              </w:rPr>
              <w:t>؛</w:t>
            </w:r>
          </w:p>
          <w:p w14:paraId="0CD8D84F" w14:textId="2A91D3CB" w:rsidR="0055717B" w:rsidRPr="0054527A" w:rsidRDefault="0055717B" w:rsidP="0055717B">
            <w:pPr>
              <w:tabs>
                <w:tab w:val="left" w:pos="284"/>
                <w:tab w:val="left" w:pos="4111"/>
              </w:tabs>
              <w:spacing w:before="0" w:line="340" w:lineRule="exact"/>
              <w:ind w:left="284" w:hanging="284"/>
              <w:rPr>
                <w:rFonts w:eastAsia="Times New Roman"/>
                <w:position w:val="2"/>
                <w:rtl/>
                <w:lang w:eastAsia="en-US"/>
              </w:rPr>
            </w:pPr>
            <w:r w:rsidRPr="0054527A">
              <w:rPr>
                <w:rFonts w:eastAsia="Times New Roman" w:hint="cs"/>
                <w:position w:val="2"/>
                <w:rtl/>
                <w:lang w:eastAsia="en-US"/>
              </w:rPr>
              <w:t>-</w:t>
            </w:r>
            <w:r w:rsidRPr="0054527A">
              <w:rPr>
                <w:rFonts w:eastAsia="Times New Roman"/>
                <w:position w:val="2"/>
                <w:rtl/>
                <w:lang w:eastAsia="en-US"/>
              </w:rPr>
              <w:tab/>
              <w:t>الهيئات الأكاديمية المنضمة للاتحاد</w:t>
            </w:r>
            <w:r w:rsidRPr="0054527A">
              <w:rPr>
                <w:rFonts w:eastAsia="Times New Roman" w:hint="cs"/>
                <w:position w:val="2"/>
                <w:rtl/>
                <w:lang w:eastAsia="en-US"/>
              </w:rPr>
              <w:t>؛</w:t>
            </w:r>
          </w:p>
          <w:p w14:paraId="437DECF2" w14:textId="7BA6014C" w:rsidR="00CE1C08" w:rsidRPr="0054527A" w:rsidRDefault="0055717B" w:rsidP="002A2B5A">
            <w:pPr>
              <w:tabs>
                <w:tab w:val="left" w:pos="284"/>
                <w:tab w:val="left" w:pos="4111"/>
              </w:tabs>
              <w:spacing w:before="0" w:line="340" w:lineRule="exact"/>
              <w:ind w:left="284" w:hanging="284"/>
              <w:jc w:val="left"/>
              <w:rPr>
                <w:rFonts w:eastAsia="Times New Roman"/>
                <w:position w:val="2"/>
                <w:rtl/>
                <w:lang w:eastAsia="en-US"/>
              </w:rPr>
            </w:pPr>
            <w:r w:rsidRPr="0054527A">
              <w:rPr>
                <w:rFonts w:eastAsia="Times New Roman" w:hint="cs"/>
                <w:position w:val="2"/>
                <w:rtl/>
                <w:lang w:eastAsia="en-US"/>
              </w:rPr>
              <w:t>-</w:t>
            </w:r>
            <w:r w:rsidRPr="0054527A">
              <w:rPr>
                <w:rFonts w:eastAsia="Times New Roman"/>
                <w:position w:val="2"/>
                <w:rtl/>
                <w:lang w:eastAsia="en-US"/>
              </w:rPr>
              <w:tab/>
              <w:t>رئيس لجنة الدراسات 21 بقطاع تقييس الاتصالات</w:t>
            </w:r>
            <w:r w:rsidR="002A2B5A">
              <w:rPr>
                <w:rFonts w:eastAsia="Times New Roman" w:hint="cs"/>
                <w:position w:val="2"/>
                <w:rtl/>
                <w:lang w:eastAsia="en-US"/>
              </w:rPr>
              <w:t> </w:t>
            </w:r>
            <w:r w:rsidRPr="0054527A">
              <w:rPr>
                <w:rFonts w:eastAsia="Times New Roman"/>
                <w:position w:val="2"/>
                <w:rtl/>
                <w:lang w:eastAsia="en-US"/>
              </w:rPr>
              <w:t>ونوابه</w:t>
            </w:r>
            <w:r w:rsidR="00CE1C08" w:rsidRPr="0054527A">
              <w:rPr>
                <w:rFonts w:eastAsia="Times New Roman" w:hint="cs"/>
                <w:position w:val="2"/>
                <w:rtl/>
                <w:lang w:eastAsia="en-US"/>
              </w:rPr>
              <w:t>؛</w:t>
            </w:r>
          </w:p>
          <w:p w14:paraId="50F7CD3D" w14:textId="77777777" w:rsidR="00CE1C08" w:rsidRPr="0054527A" w:rsidRDefault="00CE1C08" w:rsidP="00CE1C08">
            <w:pPr>
              <w:tabs>
                <w:tab w:val="left" w:pos="284"/>
                <w:tab w:val="left" w:pos="4111"/>
              </w:tabs>
              <w:spacing w:before="0" w:line="340" w:lineRule="exact"/>
              <w:ind w:left="284" w:hanging="284"/>
              <w:rPr>
                <w:rFonts w:eastAsia="Times New Roman"/>
                <w:position w:val="2"/>
                <w:rtl/>
                <w:lang w:eastAsia="en-US"/>
              </w:rPr>
            </w:pPr>
            <w:r w:rsidRPr="0054527A">
              <w:rPr>
                <w:rFonts w:eastAsia="Times New Roman" w:hint="cs"/>
                <w:position w:val="2"/>
                <w:rtl/>
                <w:lang w:eastAsia="en-US"/>
              </w:rPr>
              <w:t>-</w:t>
            </w:r>
            <w:r w:rsidRPr="0054527A">
              <w:rPr>
                <w:rFonts w:eastAsia="Times New Roman"/>
                <w:position w:val="2"/>
                <w:rtl/>
                <w:lang w:eastAsia="en-US"/>
              </w:rPr>
              <w:tab/>
              <w:t>مدير مكتب تنمية الاتصالات</w:t>
            </w:r>
            <w:r w:rsidRPr="0054527A">
              <w:rPr>
                <w:rFonts w:eastAsia="Times New Roman" w:hint="cs"/>
                <w:position w:val="2"/>
                <w:rtl/>
                <w:lang w:eastAsia="en-US"/>
              </w:rPr>
              <w:t>؛</w:t>
            </w:r>
          </w:p>
          <w:p w14:paraId="4D898862" w14:textId="77777777" w:rsidR="00CE1C08" w:rsidRPr="00D517B2" w:rsidRDefault="00CE1C08" w:rsidP="00CE1C08">
            <w:pPr>
              <w:tabs>
                <w:tab w:val="left" w:pos="284"/>
                <w:tab w:val="left" w:pos="4111"/>
              </w:tabs>
              <w:spacing w:before="0" w:line="340" w:lineRule="exact"/>
              <w:ind w:left="284" w:hanging="284"/>
              <w:rPr>
                <w:position w:val="2"/>
                <w:rtl/>
              </w:rPr>
            </w:pPr>
            <w:r w:rsidRPr="0054527A">
              <w:rPr>
                <w:rFonts w:eastAsia="Times New Roman" w:hint="cs"/>
                <w:position w:val="2"/>
                <w:rtl/>
                <w:lang w:eastAsia="en-US"/>
              </w:rPr>
              <w:t>-</w:t>
            </w:r>
            <w:r w:rsidRPr="0054527A">
              <w:rPr>
                <w:rFonts w:eastAsia="Times New Roman"/>
                <w:position w:val="2"/>
                <w:rtl/>
                <w:lang w:eastAsia="en-US"/>
              </w:rPr>
              <w:tab/>
              <w:t>مدير مكتب الاتصالات الراديوية</w:t>
            </w:r>
          </w:p>
        </w:tc>
      </w:tr>
      <w:tr w:rsidR="00CE1C08" w:rsidRPr="00D517B2" w14:paraId="17AFC24D" w14:textId="77777777" w:rsidTr="001E2788">
        <w:trPr>
          <w:cantSplit/>
          <w:jc w:val="center"/>
        </w:trPr>
        <w:tc>
          <w:tcPr>
            <w:tcW w:w="810" w:type="pct"/>
          </w:tcPr>
          <w:p w14:paraId="6C6DF281" w14:textId="77777777" w:rsidR="00CE1C08" w:rsidRPr="00A9156F" w:rsidRDefault="00CE1C08" w:rsidP="00CE1C08">
            <w:pPr>
              <w:spacing w:before="80" w:after="60" w:line="300" w:lineRule="exact"/>
              <w:jc w:val="left"/>
              <w:rPr>
                <w:b/>
                <w:bCs/>
                <w:position w:val="2"/>
                <w:rtl/>
                <w:lang w:bidi="ar-EG"/>
              </w:rPr>
            </w:pPr>
          </w:p>
        </w:tc>
        <w:tc>
          <w:tcPr>
            <w:tcW w:w="1984" w:type="pct"/>
          </w:tcPr>
          <w:p w14:paraId="50FD3DA4" w14:textId="77777777" w:rsidR="00CE1C08" w:rsidRPr="00D517B2" w:rsidRDefault="00CE1C08" w:rsidP="00CE1C08">
            <w:pPr>
              <w:spacing w:before="80" w:after="60" w:line="300" w:lineRule="exact"/>
              <w:jc w:val="left"/>
              <w:rPr>
                <w:position w:val="2"/>
              </w:rPr>
            </w:pPr>
          </w:p>
        </w:tc>
        <w:tc>
          <w:tcPr>
            <w:tcW w:w="2206" w:type="pct"/>
          </w:tcPr>
          <w:p w14:paraId="1E32A34F" w14:textId="77777777" w:rsidR="00CE1C08" w:rsidRPr="00D517B2" w:rsidRDefault="00CE1C08" w:rsidP="00CE1C08">
            <w:pPr>
              <w:spacing w:before="80" w:after="60" w:line="300" w:lineRule="exact"/>
              <w:jc w:val="left"/>
              <w:rPr>
                <w:position w:val="2"/>
                <w:rtl/>
              </w:rPr>
            </w:pPr>
          </w:p>
        </w:tc>
      </w:tr>
      <w:tr w:rsidR="00CE1C08" w:rsidRPr="00D517B2" w14:paraId="2116DC86" w14:textId="77777777" w:rsidTr="001E2788">
        <w:trPr>
          <w:cantSplit/>
          <w:jc w:val="center"/>
        </w:trPr>
        <w:tc>
          <w:tcPr>
            <w:tcW w:w="810" w:type="pct"/>
          </w:tcPr>
          <w:p w14:paraId="4CBDCB14" w14:textId="77777777" w:rsidR="00CE1C08" w:rsidRPr="00A9156F" w:rsidRDefault="00CE1C08" w:rsidP="00CE1C08">
            <w:pPr>
              <w:spacing w:before="80" w:after="60" w:line="300" w:lineRule="exact"/>
              <w:jc w:val="left"/>
              <w:rPr>
                <w:b/>
                <w:bCs/>
                <w:position w:val="2"/>
                <w:rtl/>
                <w:lang w:bidi="ar-SY"/>
              </w:rPr>
            </w:pPr>
            <w:r w:rsidRPr="00A9156F">
              <w:rPr>
                <w:rFonts w:hint="cs"/>
                <w:b/>
                <w:bCs/>
                <w:position w:val="2"/>
                <w:rtl/>
              </w:rPr>
              <w:t>الموضوع:</w:t>
            </w:r>
          </w:p>
        </w:tc>
        <w:tc>
          <w:tcPr>
            <w:tcW w:w="4190" w:type="pct"/>
            <w:gridSpan w:val="2"/>
          </w:tcPr>
          <w:p w14:paraId="2824A691" w14:textId="40D17638" w:rsidR="00CE1C08" w:rsidRPr="00D67F50" w:rsidRDefault="0055717B" w:rsidP="00D67F50">
            <w:pPr>
              <w:spacing w:before="80" w:after="60" w:line="300" w:lineRule="exact"/>
              <w:rPr>
                <w:spacing w:val="-2"/>
                <w:position w:val="2"/>
                <w:rtl/>
              </w:rPr>
            </w:pPr>
            <w:r w:rsidRPr="00D67F50">
              <w:rPr>
                <w:b/>
                <w:bCs/>
                <w:spacing w:val="-2"/>
                <w:position w:val="2"/>
                <w:rtl/>
              </w:rPr>
              <w:t>مشاورة الدول الأعضاء بشأن مشروعي التوصيتين المحددتين ITU-T</w:t>
            </w:r>
            <w:r w:rsidR="0028397E">
              <w:rPr>
                <w:rFonts w:hint="cs"/>
                <w:b/>
                <w:bCs/>
                <w:spacing w:val="-2"/>
                <w:position w:val="2"/>
                <w:rtl/>
              </w:rPr>
              <w:t> </w:t>
            </w:r>
            <w:r w:rsidRPr="00D67F50">
              <w:rPr>
                <w:b/>
                <w:bCs/>
                <w:spacing w:val="-2"/>
                <w:position w:val="2"/>
                <w:rtl/>
              </w:rPr>
              <w:t>F.748</w:t>
            </w:r>
            <w:r w:rsidR="00D67F50" w:rsidRPr="00D67F50">
              <w:rPr>
                <w:rFonts w:hint="cs"/>
                <w:b/>
                <w:bCs/>
                <w:spacing w:val="-2"/>
                <w:position w:val="2"/>
                <w:rtl/>
              </w:rPr>
              <w:t>.</w:t>
            </w:r>
            <w:r w:rsidRPr="00D67F50">
              <w:rPr>
                <w:b/>
                <w:bCs/>
                <w:spacing w:val="-2"/>
                <w:position w:val="2"/>
                <w:rtl/>
              </w:rPr>
              <w:t>56</w:t>
            </w:r>
            <w:r w:rsidR="00A208ED" w:rsidRPr="00D67F50">
              <w:rPr>
                <w:b/>
                <w:bCs/>
                <w:spacing w:val="-2"/>
                <w:position w:val="2"/>
              </w:rPr>
              <w:t xml:space="preserve"> </w:t>
            </w:r>
            <w:r w:rsidRPr="00D67F50">
              <w:rPr>
                <w:b/>
                <w:bCs/>
                <w:spacing w:val="-2"/>
                <w:position w:val="2"/>
                <w:rtl/>
              </w:rPr>
              <w:t>(F.AIGC-GFR سابقا</w:t>
            </w:r>
            <w:r w:rsidR="00D67F50" w:rsidRPr="00D67F50">
              <w:rPr>
                <w:rFonts w:hint="cs"/>
                <w:b/>
                <w:bCs/>
                <w:spacing w:val="-2"/>
                <w:position w:val="2"/>
                <w:rtl/>
              </w:rPr>
              <w:t>ً</w:t>
            </w:r>
            <w:r w:rsidRPr="00D67F50">
              <w:rPr>
                <w:b/>
                <w:bCs/>
                <w:spacing w:val="-2"/>
                <w:position w:val="2"/>
                <w:rtl/>
              </w:rPr>
              <w:t>) وF.748</w:t>
            </w:r>
            <w:r w:rsidR="00D67F50">
              <w:rPr>
                <w:rFonts w:hint="cs"/>
                <w:b/>
                <w:bCs/>
                <w:spacing w:val="-2"/>
                <w:position w:val="2"/>
                <w:rtl/>
              </w:rPr>
              <w:t>.</w:t>
            </w:r>
            <w:r w:rsidRPr="00D67F50">
              <w:rPr>
                <w:b/>
                <w:bCs/>
                <w:spacing w:val="-2"/>
                <w:position w:val="2"/>
                <w:rtl/>
              </w:rPr>
              <w:t>57 (F.RA-GAI سابقا</w:t>
            </w:r>
            <w:r w:rsidR="00D67F50" w:rsidRPr="00D67F50">
              <w:rPr>
                <w:rFonts w:hint="cs"/>
                <w:b/>
                <w:bCs/>
                <w:spacing w:val="-2"/>
                <w:position w:val="2"/>
                <w:rtl/>
              </w:rPr>
              <w:t>ً</w:t>
            </w:r>
            <w:r w:rsidRPr="00D67F50">
              <w:rPr>
                <w:b/>
                <w:bCs/>
                <w:spacing w:val="-2"/>
                <w:position w:val="2"/>
                <w:rtl/>
              </w:rPr>
              <w:t xml:space="preserve">) اللتين تُقترح الموافقة عليهما في اجتماع لجنة الدراسات 21 بقطاع تقييس الاتصالات (المقرر عقده في جنيف، </w:t>
            </w:r>
            <w:r w:rsidR="00B338A8">
              <w:rPr>
                <w:b/>
                <w:bCs/>
                <w:spacing w:val="-2"/>
                <w:position w:val="2"/>
              </w:rPr>
              <w:t>17-6</w:t>
            </w:r>
            <w:r w:rsidRPr="00D67F50">
              <w:rPr>
                <w:b/>
                <w:bCs/>
                <w:spacing w:val="-2"/>
                <w:position w:val="2"/>
                <w:rtl/>
              </w:rPr>
              <w:t xml:space="preserve"> أكتوبر 2025)</w:t>
            </w:r>
          </w:p>
        </w:tc>
      </w:tr>
    </w:tbl>
    <w:p w14:paraId="0516BDFA" w14:textId="77777777" w:rsidR="00D517B2" w:rsidRPr="00D517B2" w:rsidRDefault="00D517B2" w:rsidP="006635B2">
      <w:pPr>
        <w:spacing w:before="600"/>
        <w:rPr>
          <w:lang w:bidi="ar-SY"/>
        </w:rPr>
      </w:pPr>
      <w:r w:rsidRPr="00D517B2">
        <w:rPr>
          <w:rFonts w:hint="cs"/>
          <w:rtl/>
          <w:lang w:bidi="ar-SY"/>
        </w:rPr>
        <w:t>حضرات السادة والسيدات،</w:t>
      </w:r>
    </w:p>
    <w:p w14:paraId="5482C343" w14:textId="77777777" w:rsidR="00D517B2" w:rsidRPr="00D517B2" w:rsidRDefault="00D517B2" w:rsidP="00D517B2">
      <w:pPr>
        <w:rPr>
          <w:rtl/>
          <w:lang w:bidi="ar-EG"/>
        </w:rPr>
      </w:pPr>
      <w:r w:rsidRPr="00D517B2">
        <w:rPr>
          <w:rFonts w:hint="cs"/>
          <w:rtl/>
        </w:rPr>
        <w:t>تحية طيبة وبعد،</w:t>
      </w:r>
    </w:p>
    <w:p w14:paraId="76312C76" w14:textId="606C68A9" w:rsidR="00DB264D" w:rsidRPr="00DB264D" w:rsidRDefault="00DB264D" w:rsidP="00DB264D">
      <w:pPr>
        <w:rPr>
          <w:lang w:val="ar-SA" w:bidi="ar-SY"/>
        </w:rPr>
      </w:pPr>
      <w:r w:rsidRPr="00DB264D">
        <w:rPr>
          <w:rtl/>
        </w:rPr>
        <w:t>1</w:t>
      </w:r>
      <w:r w:rsidRPr="00DB264D">
        <w:rPr>
          <w:rtl/>
        </w:rPr>
        <w:tab/>
        <w:t xml:space="preserve">تعتزم لجنة الدراسات 21 بقطاع تقييس الاتصالات (تكنولوجيات الوسائط المتعددة وإيصال المحتوى والتلفزيون </w:t>
      </w:r>
      <w:proofErr w:type="spellStart"/>
      <w:r w:rsidRPr="00DB264D">
        <w:rPr>
          <w:rtl/>
        </w:rPr>
        <w:t>الكبلي</w:t>
      </w:r>
      <w:proofErr w:type="spellEnd"/>
      <w:r w:rsidRPr="00DB264D">
        <w:rPr>
          <w:rtl/>
        </w:rPr>
        <w:t>) تطبيق إجراء الموافقة التقليدي على النحو المبين في القسم 9 من القرار 1 (المرا</w:t>
      </w:r>
      <w:r w:rsidR="00B338A8">
        <w:rPr>
          <w:rFonts w:hint="cs"/>
          <w:rtl/>
        </w:rPr>
        <w:t>جَ</w:t>
      </w:r>
      <w:r w:rsidRPr="00DB264D">
        <w:rPr>
          <w:rtl/>
        </w:rPr>
        <w:t>ع في جنيف، 2022) للجمعية العالمية لتقييس الاتصالات للموافقة على مشروعي التوصيتين المذكورتين أعلاه في اجتماعها المقبل المقرر عقده في جنيف في</w:t>
      </w:r>
      <w:r w:rsidR="00D578E9">
        <w:rPr>
          <w:rFonts w:hint="cs"/>
          <w:rtl/>
        </w:rPr>
        <w:t> </w:t>
      </w:r>
      <w:r w:rsidRPr="00DB264D">
        <w:rPr>
          <w:rtl/>
        </w:rPr>
        <w:t>الفترة من 6 إلى 17 أكتوبر 2025. وسيتاح جدول الأعمال وجميع المعلومات ذات الصلة المتعلقة باجتماع لجنة الدراسات 21 بقطاع تقييس الاتصالات في الرسالة الجماعية للجنة الدراسات 21 التي ستصدر قريبا</w:t>
      </w:r>
      <w:r w:rsidR="00D91271">
        <w:rPr>
          <w:rFonts w:hint="cs"/>
          <w:rtl/>
        </w:rPr>
        <w:t>ً</w:t>
      </w:r>
      <w:r w:rsidRPr="00DB264D">
        <w:rPr>
          <w:rtl/>
        </w:rPr>
        <w:t>.</w:t>
      </w:r>
    </w:p>
    <w:p w14:paraId="57839B69" w14:textId="77777777" w:rsidR="00DB264D" w:rsidRPr="00DB264D" w:rsidRDefault="00DB264D" w:rsidP="00DB264D">
      <w:pPr>
        <w:rPr>
          <w:lang w:val="ar-SA" w:bidi="ar-SY"/>
        </w:rPr>
      </w:pPr>
      <w:r w:rsidRPr="00DB264D">
        <w:rPr>
          <w:rtl/>
        </w:rPr>
        <w:t>2</w:t>
      </w:r>
      <w:r w:rsidRPr="00DB264D">
        <w:rPr>
          <w:rtl/>
        </w:rPr>
        <w:tab/>
        <w:t xml:space="preserve">ويمكن الاطلاع على عنواني مشروعي توصيتي قطاع تقييس الاتصالات المقترحة الموافقة عليهما وعلى ملخصهما ومكانهما في </w:t>
      </w:r>
      <w:r w:rsidRPr="00DB264D">
        <w:rPr>
          <w:b/>
          <w:bCs/>
          <w:rtl/>
        </w:rPr>
        <w:t>الملحق 1</w:t>
      </w:r>
      <w:r w:rsidRPr="00DB264D">
        <w:rPr>
          <w:rtl/>
        </w:rPr>
        <w:t>.</w:t>
      </w:r>
    </w:p>
    <w:p w14:paraId="6EEDDE63" w14:textId="285EBC44" w:rsidR="00DB264D" w:rsidRPr="00DB264D" w:rsidRDefault="00DB264D" w:rsidP="00D91271">
      <w:pPr>
        <w:pStyle w:val="Note"/>
        <w:rPr>
          <w:lang w:val="ar-SA" w:bidi="ar-SY"/>
        </w:rPr>
      </w:pPr>
      <w:r w:rsidRPr="00D578E9">
        <w:rPr>
          <w:b/>
          <w:bCs/>
          <w:rtl/>
        </w:rPr>
        <w:t>الملاحظة 1</w:t>
      </w:r>
      <w:r w:rsidRPr="00DB264D">
        <w:rPr>
          <w:rtl/>
        </w:rPr>
        <w:t xml:space="preserve"> - لا حاجة حاليا</w:t>
      </w:r>
      <w:r w:rsidR="005E4A7B">
        <w:rPr>
          <w:rFonts w:hint="cs"/>
          <w:rtl/>
        </w:rPr>
        <w:t>ً</w:t>
      </w:r>
      <w:r w:rsidRPr="00DB264D">
        <w:rPr>
          <w:rtl/>
        </w:rPr>
        <w:t xml:space="preserve"> إلى تبرير لمشروع هذه التوصية بموجب التوصية ITU-T</w:t>
      </w:r>
      <w:r w:rsidR="0028397E">
        <w:rPr>
          <w:rFonts w:hint="cs"/>
          <w:rtl/>
        </w:rPr>
        <w:t> </w:t>
      </w:r>
      <w:r w:rsidRPr="00DB264D">
        <w:rPr>
          <w:rtl/>
        </w:rPr>
        <w:t>A.5.</w:t>
      </w:r>
    </w:p>
    <w:p w14:paraId="3679749A" w14:textId="4C71872C" w:rsidR="00DB264D" w:rsidRPr="00DB264D" w:rsidRDefault="00DB264D" w:rsidP="00DB264D">
      <w:pPr>
        <w:rPr>
          <w:lang w:val="ar-SA" w:bidi="ar-SY"/>
        </w:rPr>
      </w:pPr>
      <w:r w:rsidRPr="00DB264D">
        <w:rPr>
          <w:rtl/>
        </w:rPr>
        <w:t>3</w:t>
      </w:r>
      <w:r w:rsidRPr="00DB264D">
        <w:rPr>
          <w:rtl/>
        </w:rPr>
        <w:tab/>
        <w:t>وتستهل هذه الرسالة المعممة المشاورة الرسمية مع الدول الأعضاء في الاتحاد بشأن ما إذا كان يمكن النظر في هذه النصوص للموافقة عليها في الاجتماع المقبل، وفقا</w:t>
      </w:r>
      <w:r w:rsidR="0078518B">
        <w:rPr>
          <w:rFonts w:hint="cs"/>
          <w:rtl/>
        </w:rPr>
        <w:t>ً</w:t>
      </w:r>
      <w:r w:rsidRPr="00DB264D">
        <w:rPr>
          <w:rtl/>
        </w:rPr>
        <w:t xml:space="preserve"> للفقرة </w:t>
      </w:r>
      <w:r w:rsidR="00D578E9">
        <w:t>4.9</w:t>
      </w:r>
      <w:r w:rsidRPr="00DB264D">
        <w:rPr>
          <w:rtl/>
        </w:rPr>
        <w:t xml:space="preserve"> من القرار 1. ويرجى من الدول الأعضاء ملء الاستمارة الواردة في</w:t>
      </w:r>
      <w:r w:rsidR="0078518B">
        <w:rPr>
          <w:rFonts w:hint="cs"/>
          <w:rtl/>
        </w:rPr>
        <w:t> </w:t>
      </w:r>
      <w:r w:rsidRPr="00DB264D">
        <w:rPr>
          <w:b/>
          <w:bCs/>
          <w:rtl/>
        </w:rPr>
        <w:t>الملحق 2</w:t>
      </w:r>
      <w:r w:rsidRPr="00DB264D">
        <w:rPr>
          <w:rtl/>
        </w:rPr>
        <w:t xml:space="preserve"> وإعادتها في موعد أقصاه </w:t>
      </w:r>
      <w:r w:rsidRPr="00DB264D">
        <w:rPr>
          <w:b/>
          <w:bCs/>
          <w:rtl/>
        </w:rPr>
        <w:t>24 سبتمبر 2025</w:t>
      </w:r>
      <w:r w:rsidRPr="00DB264D">
        <w:rPr>
          <w:rtl/>
        </w:rPr>
        <w:t xml:space="preserve">، الساعة </w:t>
      </w:r>
      <w:r w:rsidR="0078518B">
        <w:t>23:59</w:t>
      </w:r>
      <w:r w:rsidRPr="00DB264D">
        <w:rPr>
          <w:rtl/>
        </w:rPr>
        <w:t xml:space="preserve"> بالتوقيت العالمي المنسق.</w:t>
      </w:r>
    </w:p>
    <w:p w14:paraId="6C7AFC81" w14:textId="037E4BD7" w:rsidR="00DB264D" w:rsidRPr="00DB264D" w:rsidRDefault="00DB264D" w:rsidP="00DB264D">
      <w:pPr>
        <w:rPr>
          <w:lang w:val="ar-SA" w:bidi="ar-SY"/>
        </w:rPr>
      </w:pPr>
      <w:r w:rsidRPr="00DB264D">
        <w:rPr>
          <w:rtl/>
        </w:rPr>
        <w:lastRenderedPageBreak/>
        <w:t>4</w:t>
      </w:r>
      <w:r w:rsidRPr="00DB264D">
        <w:rPr>
          <w:rtl/>
        </w:rPr>
        <w:tab/>
        <w:t>وإذا أيد 70 في المائة أو أكثر من الردود الواردة من الدول الأعضاء النظر في الموافقة عليها، تخصَص جلسة عامة واحدة لتطبيق إجراء الموافقة. وينبغي للدول الأعضاء التي لا تفوض سلطة المضي قدما</w:t>
      </w:r>
      <w:r w:rsidR="002D0BEC">
        <w:rPr>
          <w:rFonts w:hint="cs"/>
          <w:rtl/>
        </w:rPr>
        <w:t>ً</w:t>
      </w:r>
      <w:r w:rsidRPr="00DB264D">
        <w:rPr>
          <w:rtl/>
        </w:rPr>
        <w:t xml:space="preserve"> أن تبلغ مدير مكتب تقييس الاتصالات بأسباب هذا الرأي وأن تشير إلى التغييرات الممكنة التي من شأنها أن تمكن من إحراز تقدم في العمل.</w:t>
      </w:r>
    </w:p>
    <w:p w14:paraId="39630AF2" w14:textId="77777777" w:rsidR="00E84438" w:rsidRPr="00D517B2" w:rsidRDefault="00E84438" w:rsidP="00891703">
      <w:pPr>
        <w:spacing w:before="240"/>
        <w:jc w:val="left"/>
        <w:rPr>
          <w:rtl/>
          <w:lang w:bidi="ar-EG"/>
        </w:rPr>
      </w:pPr>
      <w:r w:rsidRPr="00D517B2">
        <w:rPr>
          <w:rFonts w:hint="cs"/>
          <w:rtl/>
          <w:lang w:bidi="ar-EG"/>
        </w:rPr>
        <w:t>وتفضلوا بقبول فائق التقدير والاحترام.</w:t>
      </w:r>
    </w:p>
    <w:p w14:paraId="27A7B0B2" w14:textId="77777777" w:rsidR="00E84438" w:rsidRPr="00D517B2" w:rsidRDefault="00E84438" w:rsidP="00891703">
      <w:pPr>
        <w:spacing w:before="720" w:after="720"/>
        <w:jc w:val="left"/>
        <w:rPr>
          <w:i/>
          <w:iCs/>
          <w:rtl/>
          <w:lang w:bidi="ar-SY"/>
        </w:rPr>
      </w:pPr>
      <w:r w:rsidRPr="001E2788">
        <w:rPr>
          <w:rFonts w:hint="cs"/>
          <w:rtl/>
          <w:lang w:bidi="ar-SY"/>
        </w:rPr>
        <w:t>(</w:t>
      </w:r>
      <w:r w:rsidR="001E2788">
        <w:rPr>
          <w:rFonts w:hint="eastAsia"/>
          <w:rtl/>
          <w:lang w:bidi="ar-SY"/>
        </w:rPr>
        <w:t> </w:t>
      </w:r>
      <w:r w:rsidRPr="00D517B2">
        <w:rPr>
          <w:rFonts w:hint="cs"/>
          <w:i/>
          <w:iCs/>
          <w:rtl/>
          <w:lang w:bidi="ar-SY"/>
        </w:rPr>
        <w:t>توقيع</w:t>
      </w:r>
      <w:r w:rsidRPr="001E2788">
        <w:rPr>
          <w:rFonts w:hint="cs"/>
          <w:rtl/>
          <w:lang w:bidi="ar-SY"/>
        </w:rPr>
        <w:t>)</w:t>
      </w:r>
    </w:p>
    <w:p w14:paraId="67325AC7" w14:textId="3A5B77BB" w:rsidR="00E84438" w:rsidRDefault="00807031" w:rsidP="00E84438">
      <w:pPr>
        <w:jc w:val="left"/>
        <w:rPr>
          <w:rtl/>
          <w:lang w:bidi="ar-SY"/>
        </w:rPr>
      </w:pPr>
      <w:proofErr w:type="spellStart"/>
      <w:r>
        <w:rPr>
          <w:rFonts w:hint="cs"/>
          <w:rtl/>
          <w:lang w:bidi="ar-SY"/>
        </w:rPr>
        <w:t>سيزو</w:t>
      </w:r>
      <w:proofErr w:type="spellEnd"/>
      <w:r>
        <w:rPr>
          <w:rFonts w:hint="cs"/>
          <w:rtl/>
          <w:lang w:bidi="ar-SY"/>
        </w:rPr>
        <w:t xml:space="preserve"> </w:t>
      </w:r>
      <w:proofErr w:type="spellStart"/>
      <w:r>
        <w:rPr>
          <w:rFonts w:hint="cs"/>
          <w:rtl/>
          <w:lang w:bidi="ar-SY"/>
        </w:rPr>
        <w:t>أونوي</w:t>
      </w:r>
      <w:proofErr w:type="spellEnd"/>
      <w:r w:rsidR="00E84438" w:rsidRPr="00D517B2">
        <w:rPr>
          <w:rtl/>
          <w:lang w:bidi="ar-SY"/>
        </w:rPr>
        <w:br/>
      </w:r>
      <w:r w:rsidR="00E84438" w:rsidRPr="00D517B2">
        <w:rPr>
          <w:rFonts w:hint="cs"/>
          <w:rtl/>
          <w:lang w:bidi="ar-SY"/>
        </w:rPr>
        <w:t>مدير</w:t>
      </w:r>
      <w:r w:rsidR="00E84438" w:rsidRPr="00D517B2">
        <w:rPr>
          <w:rtl/>
          <w:lang w:bidi="ar-SY"/>
        </w:rPr>
        <w:t xml:space="preserve"> </w:t>
      </w:r>
      <w:r w:rsidR="00E84438" w:rsidRPr="00D517B2">
        <w:rPr>
          <w:rFonts w:hint="cs"/>
          <w:rtl/>
          <w:lang w:bidi="ar-SY"/>
        </w:rPr>
        <w:t>مكتب</w:t>
      </w:r>
      <w:r w:rsidR="00E84438" w:rsidRPr="00D517B2">
        <w:rPr>
          <w:rtl/>
          <w:lang w:bidi="ar-SY"/>
        </w:rPr>
        <w:t xml:space="preserve"> </w:t>
      </w:r>
      <w:r w:rsidR="00E84438" w:rsidRPr="00D517B2">
        <w:rPr>
          <w:rFonts w:hint="cs"/>
          <w:rtl/>
          <w:lang w:bidi="ar-SY"/>
        </w:rPr>
        <w:t>تقييس</w:t>
      </w:r>
      <w:r w:rsidR="00E84438" w:rsidRPr="00D517B2">
        <w:rPr>
          <w:rtl/>
          <w:lang w:bidi="ar-SY"/>
        </w:rPr>
        <w:t xml:space="preserve"> </w:t>
      </w:r>
      <w:r w:rsidR="00E84438" w:rsidRPr="00D517B2">
        <w:rPr>
          <w:rFonts w:hint="cs"/>
          <w:rtl/>
          <w:lang w:bidi="ar-SY"/>
        </w:rPr>
        <w:t>الاتصالات</w:t>
      </w:r>
    </w:p>
    <w:p w14:paraId="620D051E" w14:textId="4345F00C" w:rsidR="0078518B" w:rsidRPr="00D517B2" w:rsidRDefault="00D67385" w:rsidP="00D63B62">
      <w:pPr>
        <w:spacing w:before="1440"/>
        <w:jc w:val="left"/>
      </w:pPr>
      <w:r w:rsidRPr="0028397E">
        <w:rPr>
          <w:rFonts w:hint="cs"/>
          <w:b/>
          <w:bCs/>
          <w:rtl/>
        </w:rPr>
        <w:t>الملحقا</w:t>
      </w:r>
      <w:r w:rsidRPr="0028397E">
        <w:rPr>
          <w:b/>
          <w:bCs/>
          <w:rtl/>
        </w:rPr>
        <w:t>ت</w:t>
      </w:r>
      <w:r w:rsidR="00D63B62" w:rsidRPr="0028397E">
        <w:rPr>
          <w:rFonts w:hint="cs"/>
          <w:b/>
          <w:bCs/>
          <w:rtl/>
        </w:rPr>
        <w:t>:</w:t>
      </w:r>
      <w:r w:rsidR="0028397E">
        <w:rPr>
          <w:rtl/>
        </w:rPr>
        <w:tab/>
      </w:r>
      <w:r w:rsidR="00D63B62" w:rsidRPr="0028397E">
        <w:t>2</w:t>
      </w:r>
    </w:p>
    <w:p w14:paraId="11D17464" w14:textId="77777777" w:rsidR="00596808" w:rsidRDefault="00596808" w:rsidP="00E84438">
      <w:pPr>
        <w:rPr>
          <w:rtl/>
          <w:lang w:bidi="ar-EG"/>
        </w:rPr>
      </w:pPr>
      <w:r>
        <w:rPr>
          <w:rtl/>
          <w:lang w:bidi="ar-EG"/>
        </w:rPr>
        <w:br w:type="page"/>
      </w:r>
    </w:p>
    <w:p w14:paraId="6994EFA3" w14:textId="65848D9E" w:rsidR="00EC1859" w:rsidRPr="00EC1859" w:rsidRDefault="00EC1859" w:rsidP="00F632D2">
      <w:pPr>
        <w:pStyle w:val="Annextitle"/>
        <w:rPr>
          <w:lang w:val="ar-SA" w:bidi="ar-EG"/>
        </w:rPr>
      </w:pPr>
      <w:r w:rsidRPr="00EC1859">
        <w:rPr>
          <w:rtl/>
        </w:rPr>
        <w:lastRenderedPageBreak/>
        <w:t xml:space="preserve">الملحق 1 </w:t>
      </w:r>
      <w:r w:rsidR="00F632D2">
        <w:br/>
      </w:r>
      <w:r w:rsidRPr="00EC1859">
        <w:rPr>
          <w:rtl/>
        </w:rPr>
        <w:t>ملخص مشروعي التوصيتين المحددتين ITU-T</w:t>
      </w:r>
      <w:r w:rsidR="0028397E">
        <w:rPr>
          <w:rFonts w:hint="cs"/>
          <w:rtl/>
        </w:rPr>
        <w:t> </w:t>
      </w:r>
      <w:r w:rsidRPr="00EC1859">
        <w:rPr>
          <w:rtl/>
        </w:rPr>
        <w:t>F.748</w:t>
      </w:r>
      <w:r w:rsidR="00F632D2">
        <w:rPr>
          <w:rFonts w:hint="cs"/>
          <w:rtl/>
        </w:rPr>
        <w:t>.</w:t>
      </w:r>
      <w:r w:rsidRPr="00EC1859">
        <w:rPr>
          <w:rtl/>
        </w:rPr>
        <w:t>56 (F.AIGC-GFR سابق</w:t>
      </w:r>
      <w:r w:rsidR="00F632D2">
        <w:rPr>
          <w:rFonts w:hint="cs"/>
          <w:rtl/>
        </w:rPr>
        <w:t>اً</w:t>
      </w:r>
      <w:r w:rsidRPr="00EC1859">
        <w:rPr>
          <w:rtl/>
        </w:rPr>
        <w:t xml:space="preserve">) </w:t>
      </w:r>
      <w:r w:rsidR="00F632D2">
        <w:br/>
      </w:r>
      <w:proofErr w:type="spellStart"/>
      <w:r w:rsidRPr="00EC1859">
        <w:rPr>
          <w:rtl/>
        </w:rPr>
        <w:t>وITU</w:t>
      </w:r>
      <w:proofErr w:type="spellEnd"/>
      <w:r w:rsidRPr="00EC1859">
        <w:rPr>
          <w:rtl/>
        </w:rPr>
        <w:t>-T</w:t>
      </w:r>
      <w:r w:rsidR="0028397E">
        <w:rPr>
          <w:rFonts w:hint="cs"/>
          <w:rtl/>
        </w:rPr>
        <w:t> </w:t>
      </w:r>
      <w:r w:rsidRPr="00EC1859">
        <w:rPr>
          <w:rtl/>
        </w:rPr>
        <w:t>F.748</w:t>
      </w:r>
      <w:r w:rsidR="00F632D2">
        <w:rPr>
          <w:rFonts w:hint="cs"/>
          <w:rtl/>
        </w:rPr>
        <w:t>.</w:t>
      </w:r>
      <w:r w:rsidRPr="00EC1859">
        <w:rPr>
          <w:rtl/>
        </w:rPr>
        <w:t>57 (F.RA-GAI سابقا</w:t>
      </w:r>
      <w:r w:rsidR="00072703">
        <w:rPr>
          <w:rFonts w:hint="cs"/>
          <w:rtl/>
        </w:rPr>
        <w:t>ً</w:t>
      </w:r>
      <w:r w:rsidRPr="00EC1859">
        <w:rPr>
          <w:rtl/>
        </w:rPr>
        <w:t>) ومكانهما</w:t>
      </w:r>
    </w:p>
    <w:p w14:paraId="021E920B" w14:textId="293462F4" w:rsidR="00EC1859" w:rsidRPr="00EC1859" w:rsidRDefault="00EC1859" w:rsidP="00621E9B">
      <w:pPr>
        <w:pStyle w:val="Heading1"/>
      </w:pPr>
      <w:r w:rsidRPr="00EC1859">
        <w:rPr>
          <w:rtl/>
        </w:rPr>
        <w:t>1</w:t>
      </w:r>
      <w:r w:rsidRPr="00EC1859">
        <w:rPr>
          <w:rtl/>
        </w:rPr>
        <w:tab/>
        <w:t>مشروع التوصية الجديدة ITU-T</w:t>
      </w:r>
      <w:r w:rsidR="0028397E">
        <w:rPr>
          <w:rFonts w:hint="cs"/>
          <w:rtl/>
        </w:rPr>
        <w:t> </w:t>
      </w:r>
      <w:r w:rsidRPr="00EC1859">
        <w:rPr>
          <w:rtl/>
        </w:rPr>
        <w:t>F.748</w:t>
      </w:r>
      <w:r w:rsidR="00873506">
        <w:rPr>
          <w:rFonts w:hint="cs"/>
          <w:rtl/>
        </w:rPr>
        <w:t>.</w:t>
      </w:r>
      <w:r w:rsidRPr="00EC1859">
        <w:rPr>
          <w:rtl/>
        </w:rPr>
        <w:t xml:space="preserve">56 (F.AIGC-GFR </w:t>
      </w:r>
      <w:r w:rsidR="00873506">
        <w:rPr>
          <w:rtl/>
        </w:rPr>
        <w:t>سابقاً</w:t>
      </w:r>
      <w:r w:rsidRPr="00EC1859">
        <w:rPr>
          <w:rtl/>
        </w:rPr>
        <w:t>) [</w:t>
      </w:r>
      <w:hyperlink r:id="rId10" w:history="1">
        <w:r w:rsidR="00621E9B" w:rsidRPr="00621E9B">
          <w:rPr>
            <w:rStyle w:val="Hyperlink"/>
            <w:lang w:val="fr-CH"/>
          </w:rPr>
          <w:t>SG21-R7</w:t>
        </w:r>
      </w:hyperlink>
      <w:r w:rsidRPr="00EC1859">
        <w:rPr>
          <w:rtl/>
        </w:rPr>
        <w:t>]</w:t>
      </w:r>
    </w:p>
    <w:p w14:paraId="69D55F93" w14:textId="77777777" w:rsidR="00EC1859" w:rsidRPr="009047B2" w:rsidRDefault="00EC1859" w:rsidP="009047B2">
      <w:pPr>
        <w:pStyle w:val="Headingb"/>
      </w:pPr>
      <w:r w:rsidRPr="009047B2">
        <w:rPr>
          <w:rtl/>
        </w:rPr>
        <w:t>المحتوى المُنشأ بالذكاء الاصطناعي: الإطار العام والمتطلبات</w:t>
      </w:r>
    </w:p>
    <w:p w14:paraId="39C0715B" w14:textId="77777777" w:rsidR="00EC1859" w:rsidRPr="00EC1859" w:rsidRDefault="00EC1859" w:rsidP="004F3179">
      <w:pPr>
        <w:pStyle w:val="Headingb"/>
      </w:pPr>
      <w:r w:rsidRPr="00EC1859">
        <w:rPr>
          <w:rtl/>
        </w:rPr>
        <w:t>ملخص</w:t>
      </w:r>
    </w:p>
    <w:p w14:paraId="26C99091" w14:textId="7DFAD806" w:rsidR="00EC1859" w:rsidRPr="00EC1859" w:rsidRDefault="00EC1859" w:rsidP="00EC1859">
      <w:pPr>
        <w:rPr>
          <w:bCs/>
        </w:rPr>
      </w:pPr>
      <w:r w:rsidRPr="00EC1859">
        <w:rPr>
          <w:rtl/>
        </w:rPr>
        <w:t>تحدد هذه التوصية إطارا</w:t>
      </w:r>
      <w:r w:rsidR="005E18F2">
        <w:rPr>
          <w:rFonts w:hint="cs"/>
          <w:rtl/>
        </w:rPr>
        <w:t>ً</w:t>
      </w:r>
      <w:r w:rsidRPr="00EC1859">
        <w:rPr>
          <w:rtl/>
        </w:rPr>
        <w:t xml:space="preserve"> عاما</w:t>
      </w:r>
      <w:r w:rsidR="005E18F2">
        <w:rPr>
          <w:rFonts w:hint="cs"/>
          <w:rtl/>
        </w:rPr>
        <w:t>ً</w:t>
      </w:r>
      <w:r w:rsidRPr="00EC1859">
        <w:rPr>
          <w:rtl/>
        </w:rPr>
        <w:t xml:space="preserve"> من ثلاث طبقات لنظام المحتوى المُنشأ بالذكاء الاصطناعي </w:t>
      </w:r>
      <w:r w:rsidR="004F3179">
        <w:rPr>
          <w:lang w:val="en-GB"/>
        </w:rPr>
        <w:t>(</w:t>
      </w:r>
      <w:r w:rsidR="004F3179" w:rsidRPr="00EC1859">
        <w:rPr>
          <w:lang w:val="en-GB"/>
        </w:rPr>
        <w:t>AIGC</w:t>
      </w:r>
      <w:r w:rsidR="004F3179">
        <w:rPr>
          <w:lang w:val="en-GB"/>
        </w:rPr>
        <w:t>)</w:t>
      </w:r>
      <w:r w:rsidRPr="00EC1859">
        <w:rPr>
          <w:rtl/>
        </w:rPr>
        <w:t>. وتنقسم طبقة التطبيق إلى مهام أحادية الأسلوب/متعددة الأساليب من منظور طرائق إنشاء</w:t>
      </w:r>
      <w:r w:rsidR="004F3179">
        <w:rPr>
          <w:rFonts w:hint="cs"/>
          <w:rtl/>
          <w:lang w:bidi="ar-EG"/>
        </w:rPr>
        <w:t xml:space="preserve"> </w:t>
      </w:r>
      <w:r w:rsidRPr="00EC1859">
        <w:rPr>
          <w:rtl/>
        </w:rPr>
        <w:t>المحتوى. وتغطي طبقة النموذج تكنولوجيات الذكاء الاصطناعي (</w:t>
      </w:r>
      <w:r w:rsidRPr="00EC1859">
        <w:rPr>
          <w:lang w:val="en-GB"/>
        </w:rPr>
        <w:t>AI</w:t>
      </w:r>
      <w:r w:rsidRPr="00EC1859">
        <w:rPr>
          <w:rtl/>
        </w:rPr>
        <w:t>) الإنشائي والنماذج التأسيسية متعددة الأساليب المتعلقة بنظام المحتوى المُنشأ بالذكاء الاصطناعي (</w:t>
      </w:r>
      <w:r w:rsidRPr="00EC1859">
        <w:rPr>
          <w:lang w:val="en-GB"/>
        </w:rPr>
        <w:t>AIGC</w:t>
      </w:r>
      <w:r w:rsidRPr="00EC1859">
        <w:rPr>
          <w:rtl/>
        </w:rPr>
        <w:t>). وتتضمن طبقة البنية التحتية البيانات الضخمة والمنصات السحابية والوحدات الحسابية. وهي تشكل إطارا</w:t>
      </w:r>
      <w:r w:rsidR="005E18F2">
        <w:rPr>
          <w:rFonts w:hint="cs"/>
          <w:rtl/>
        </w:rPr>
        <w:t>ً</w:t>
      </w:r>
      <w:r w:rsidRPr="00EC1859">
        <w:rPr>
          <w:rtl/>
        </w:rPr>
        <w:t xml:space="preserve"> عاما</w:t>
      </w:r>
      <w:r w:rsidR="005E18F2">
        <w:rPr>
          <w:rFonts w:hint="cs"/>
          <w:rtl/>
        </w:rPr>
        <w:t>ً</w:t>
      </w:r>
      <w:r w:rsidRPr="00EC1859">
        <w:rPr>
          <w:rtl/>
        </w:rPr>
        <w:t xml:space="preserve"> لنظام </w:t>
      </w:r>
      <w:r w:rsidRPr="00EC1859">
        <w:rPr>
          <w:lang w:val="en-GB"/>
        </w:rPr>
        <w:t>AIGC</w:t>
      </w:r>
      <w:r w:rsidRPr="00EC1859">
        <w:rPr>
          <w:rtl/>
        </w:rPr>
        <w:t xml:space="preserve">، إلى جانب متطلبات الخواص الوظيفية، وسيناريوهات اختبار القياس المرجعي للقدرة النموذجية، وطرق التقييم، ومقاييس التقييم، </w:t>
      </w:r>
      <w:r w:rsidRPr="00216328">
        <w:rPr>
          <w:rtl/>
        </w:rPr>
        <w:t>وسير</w:t>
      </w:r>
      <w:r w:rsidRPr="00EC1859">
        <w:rPr>
          <w:rtl/>
        </w:rPr>
        <w:t xml:space="preserve"> العمل. وتهدف هذه التوصية إلى توجيه الشركات في بناء قدرات المحتوى المُنشأ بالذكاء الاصطناعي ذات</w:t>
      </w:r>
      <w:r w:rsidR="00621E9B">
        <w:rPr>
          <w:rFonts w:hint="cs"/>
          <w:rtl/>
        </w:rPr>
        <w:t> </w:t>
      </w:r>
      <w:r w:rsidRPr="00EC1859">
        <w:rPr>
          <w:rtl/>
        </w:rPr>
        <w:t>الصلة بالنصوص والصوت والصورة والفيديو والأبعاد الثلاثية (3D) وغيرها من الطرائق، وتقديم مرجع لاختبار القدرات التكنولوجية للمحتوى المُنشأ بالذكاء الاصطناعي أو اختيارها أو تقييمها.</w:t>
      </w:r>
    </w:p>
    <w:p w14:paraId="1DBBE2B8" w14:textId="76CF7F1D" w:rsidR="00EC1859" w:rsidRPr="00EC1859" w:rsidRDefault="00EC1859" w:rsidP="00290E76">
      <w:pPr>
        <w:pStyle w:val="Heading1"/>
      </w:pPr>
      <w:r w:rsidRPr="00EC1859">
        <w:rPr>
          <w:rtl/>
        </w:rPr>
        <w:t>2</w:t>
      </w:r>
      <w:r w:rsidRPr="00EC1859">
        <w:rPr>
          <w:rtl/>
        </w:rPr>
        <w:tab/>
        <w:t>مشروع التوصية الجديدة ITU-T</w:t>
      </w:r>
      <w:r w:rsidR="009047B2">
        <w:rPr>
          <w:rFonts w:hint="cs"/>
          <w:rtl/>
        </w:rPr>
        <w:t> </w:t>
      </w:r>
      <w:r w:rsidRPr="00EC1859">
        <w:rPr>
          <w:rtl/>
        </w:rPr>
        <w:t>F.748</w:t>
      </w:r>
      <w:r w:rsidR="00CF20F9">
        <w:rPr>
          <w:rFonts w:hint="cs"/>
          <w:rtl/>
        </w:rPr>
        <w:t>.</w:t>
      </w:r>
      <w:r w:rsidRPr="00EC1859">
        <w:rPr>
          <w:rtl/>
        </w:rPr>
        <w:t xml:space="preserve">57 (F.RA-GAI </w:t>
      </w:r>
      <w:r w:rsidR="00873506">
        <w:rPr>
          <w:rtl/>
        </w:rPr>
        <w:t>سابقاً</w:t>
      </w:r>
      <w:r w:rsidRPr="00EC1859">
        <w:rPr>
          <w:rtl/>
        </w:rPr>
        <w:t>) [</w:t>
      </w:r>
      <w:hyperlink r:id="rId11" w:history="1">
        <w:r w:rsidR="00CF20F9" w:rsidRPr="00CF20F9">
          <w:rPr>
            <w:rStyle w:val="Hyperlink"/>
            <w:lang w:val="fr-CH"/>
          </w:rPr>
          <w:t>SG21-R6</w:t>
        </w:r>
      </w:hyperlink>
      <w:r w:rsidRPr="00EC1859">
        <w:rPr>
          <w:rtl/>
        </w:rPr>
        <w:t>]</w:t>
      </w:r>
    </w:p>
    <w:p w14:paraId="4BF570BA" w14:textId="77777777" w:rsidR="00EC1859" w:rsidRPr="009047B2" w:rsidRDefault="00EC1859" w:rsidP="009047B2">
      <w:pPr>
        <w:pStyle w:val="Headingb"/>
      </w:pPr>
      <w:r w:rsidRPr="009047B2">
        <w:rPr>
          <w:rtl/>
        </w:rPr>
        <w:t>المتطلبات التقنية وطرق تقييم تطبيقات الوسائط المتعددة المفعَّلة بالذكاء الاصطناعي الإنشائي</w:t>
      </w:r>
    </w:p>
    <w:p w14:paraId="21F27F24" w14:textId="77777777" w:rsidR="00EC1859" w:rsidRPr="00EC1859" w:rsidRDefault="00EC1859" w:rsidP="00290E76">
      <w:pPr>
        <w:pStyle w:val="Headingb"/>
      </w:pPr>
      <w:r w:rsidRPr="00EC1859">
        <w:rPr>
          <w:rtl/>
        </w:rPr>
        <w:t>ملخص</w:t>
      </w:r>
    </w:p>
    <w:p w14:paraId="6F044D4F" w14:textId="082D4E82" w:rsidR="00EC1859" w:rsidRPr="00EC1859" w:rsidRDefault="00EC1859" w:rsidP="00EC1859">
      <w:r w:rsidRPr="00EC1859">
        <w:rPr>
          <w:rtl/>
        </w:rPr>
        <w:t>تضع هذه التوصية إطار</w:t>
      </w:r>
      <w:r w:rsidR="00290E76">
        <w:rPr>
          <w:rFonts w:hint="cs"/>
          <w:rtl/>
        </w:rPr>
        <w:t>اً</w:t>
      </w:r>
      <w:r w:rsidRPr="00EC1859">
        <w:rPr>
          <w:rtl/>
        </w:rPr>
        <w:t xml:space="preserve"> للمتطلبات التقنية وأساليب تقييم تطبيقات الوسائط المتعددة المفعَّلة بالذكاء الاصطناعي الإنشائي. وستزود هذه التوصية المستعملين بفهم أوضح لتكنولوجيا الذكاء الاصطناعي الإنشائي وستدعمهم في إعداد تطبيقات الذكاء الاصطناعي الإنشائي بمزيد من الكفاءة والملاءمة. وتقدم التوصية مبادئ توجيهية للمستعملين لتقييم قدرات تطبيقات الذكاء الاصطناعي الإنشائي وتعزيز فعاليتها.</w:t>
      </w:r>
    </w:p>
    <w:p w14:paraId="1316C99C" w14:textId="4AD51615" w:rsidR="00290E76" w:rsidRDefault="00290E76" w:rsidP="00EC1859">
      <w:pPr>
        <w:rPr>
          <w:rtl/>
        </w:rPr>
      </w:pPr>
      <w:r>
        <w:rPr>
          <w:rtl/>
        </w:rPr>
        <w:br w:type="page"/>
      </w:r>
    </w:p>
    <w:p w14:paraId="6C412D87" w14:textId="70E2BAAD" w:rsidR="00EC1859" w:rsidRPr="00EC1859" w:rsidRDefault="00EC1859" w:rsidP="00352182">
      <w:pPr>
        <w:pStyle w:val="Annextitle"/>
        <w:rPr>
          <w:lang w:bidi="ar-SA"/>
        </w:rPr>
      </w:pPr>
      <w:r w:rsidRPr="00EC1859">
        <w:rPr>
          <w:rtl/>
        </w:rPr>
        <w:lastRenderedPageBreak/>
        <w:t>الملحق 2</w:t>
      </w:r>
      <w:r w:rsidR="00290E76">
        <w:br/>
      </w:r>
      <w:r w:rsidRPr="00EC1859">
        <w:rPr>
          <w:rtl/>
        </w:rPr>
        <w:t xml:space="preserve">الموضوع: رد الدول الأعضاء على الرسالة المعممة 24 من مكتب تقييس الاتصالات: </w:t>
      </w:r>
      <w:r w:rsidR="00290E76">
        <w:br/>
      </w:r>
      <w:r w:rsidRPr="00EC1859">
        <w:rPr>
          <w:rtl/>
        </w:rPr>
        <w:t xml:space="preserve">مشاورة بشأن مشروعي التوصيتين المحددتين </w:t>
      </w:r>
      <w:r w:rsidR="009047B2">
        <w:rPr>
          <w:rtl/>
        </w:rPr>
        <w:br/>
      </w:r>
      <w:r w:rsidRPr="00EC1859">
        <w:rPr>
          <w:rtl/>
        </w:rPr>
        <w:t>ITU-T</w:t>
      </w:r>
      <w:r w:rsidR="009047B2">
        <w:rPr>
          <w:rFonts w:hint="cs"/>
          <w:rtl/>
        </w:rPr>
        <w:t> </w:t>
      </w:r>
      <w:r w:rsidRPr="00EC1859">
        <w:rPr>
          <w:rtl/>
        </w:rPr>
        <w:t>F.748</w:t>
      </w:r>
      <w:r w:rsidR="00290E76">
        <w:rPr>
          <w:rFonts w:hint="cs"/>
          <w:rtl/>
        </w:rPr>
        <w:t>.</w:t>
      </w:r>
      <w:r w:rsidRPr="00EC1859">
        <w:rPr>
          <w:rtl/>
        </w:rPr>
        <w:t>56</w:t>
      </w:r>
      <w:r w:rsidR="00290E76">
        <w:t xml:space="preserve"> </w:t>
      </w:r>
      <w:r w:rsidRPr="00EC1859">
        <w:rPr>
          <w:rtl/>
        </w:rPr>
        <w:t xml:space="preserve">(F.AIGC-GFR </w:t>
      </w:r>
      <w:r w:rsidR="00873506">
        <w:rPr>
          <w:rtl/>
          <w:lang w:bidi="ar-SA"/>
        </w:rPr>
        <w:t>سابقاً</w:t>
      </w:r>
      <w:r w:rsidRPr="00EC1859">
        <w:rPr>
          <w:rtl/>
        </w:rPr>
        <w:t>) وF.748</w:t>
      </w:r>
      <w:r w:rsidR="00290E76">
        <w:rPr>
          <w:rFonts w:hint="cs"/>
          <w:rtl/>
        </w:rPr>
        <w:t>.</w:t>
      </w:r>
      <w:r w:rsidRPr="00EC1859">
        <w:rPr>
          <w:rtl/>
        </w:rPr>
        <w:t>57</w:t>
      </w:r>
      <w:r w:rsidR="00290E76">
        <w:t xml:space="preserve"> </w:t>
      </w:r>
      <w:r w:rsidRPr="00EC1859">
        <w:rPr>
          <w:rtl/>
        </w:rPr>
        <w:t xml:space="preserve">(F.RA-GAI </w:t>
      </w:r>
      <w:r w:rsidR="00873506">
        <w:rPr>
          <w:rtl/>
          <w:lang w:bidi="ar-SA"/>
        </w:rPr>
        <w:t>سابقاً</w:t>
      </w:r>
      <w:r w:rsidRPr="00EC1859">
        <w:rPr>
          <w:rtl/>
        </w:rPr>
        <w:t>)</w:t>
      </w:r>
    </w:p>
    <w:tbl>
      <w:tblPr>
        <w:bidiVisual/>
        <w:tblW w:w="5000" w:type="pct"/>
        <w:tblLook w:val="04A0" w:firstRow="1" w:lastRow="0" w:firstColumn="1" w:lastColumn="0" w:noHBand="0" w:noVBand="1"/>
      </w:tblPr>
      <w:tblGrid>
        <w:gridCol w:w="1564"/>
        <w:gridCol w:w="3815"/>
        <w:gridCol w:w="1571"/>
        <w:gridCol w:w="2689"/>
      </w:tblGrid>
      <w:tr w:rsidR="00EC1859" w:rsidRPr="00EC1859" w14:paraId="7E0E0AAF" w14:textId="77777777" w:rsidTr="0031098F">
        <w:tc>
          <w:tcPr>
            <w:tcW w:w="811" w:type="pct"/>
            <w:shd w:val="clear" w:color="auto" w:fill="auto"/>
          </w:tcPr>
          <w:p w14:paraId="1B7C754D" w14:textId="77777777" w:rsidR="00EC1859" w:rsidRPr="00EC1859" w:rsidRDefault="00EC1859" w:rsidP="00EC1859">
            <w:r w:rsidRPr="00EC1859">
              <w:rPr>
                <w:b/>
                <w:bCs/>
                <w:rtl/>
              </w:rPr>
              <w:t>إلى:</w:t>
            </w:r>
          </w:p>
        </w:tc>
        <w:tc>
          <w:tcPr>
            <w:tcW w:w="1979" w:type="pct"/>
            <w:tcBorders>
              <w:right w:val="single" w:sz="8" w:space="0" w:color="auto"/>
            </w:tcBorders>
            <w:shd w:val="clear" w:color="auto" w:fill="auto"/>
          </w:tcPr>
          <w:p w14:paraId="5285603C" w14:textId="2D2E8330" w:rsidR="00EC1859" w:rsidRDefault="00EC1859" w:rsidP="00BC7C2D">
            <w:pPr>
              <w:jc w:val="left"/>
            </w:pPr>
            <w:r w:rsidRPr="00EC1859">
              <w:rPr>
                <w:rtl/>
              </w:rPr>
              <w:t>مدير مكتب تقييس الاتصالات،</w:t>
            </w:r>
            <w:r w:rsidR="004F1C39">
              <w:br/>
            </w:r>
            <w:r w:rsidRPr="00EC1859">
              <w:rPr>
                <w:rtl/>
              </w:rPr>
              <w:t>الاتحاد الدولي للاتصالات</w:t>
            </w:r>
            <w:r w:rsidR="00BC7C2D">
              <w:br/>
            </w:r>
            <w:r w:rsidR="00BC7C2D" w:rsidRPr="00BC7C2D">
              <w:rPr>
                <w:lang w:val="fr-CH"/>
              </w:rPr>
              <w:t>Place des Nations</w:t>
            </w:r>
            <w:r w:rsidR="00BC7C2D">
              <w:br/>
            </w:r>
            <w:r w:rsidR="00BC7C2D" w:rsidRPr="00BC7C2D">
              <w:rPr>
                <w:lang w:val="en-GB"/>
              </w:rPr>
              <w:t>CH 1211 Geneva 20, Switzerland</w:t>
            </w:r>
          </w:p>
          <w:p w14:paraId="152BDC25" w14:textId="6C6B8C9F" w:rsidR="00EC1859" w:rsidRPr="00EC1859" w:rsidRDefault="00EC1859" w:rsidP="00EC1859"/>
        </w:tc>
        <w:tc>
          <w:tcPr>
            <w:tcW w:w="815" w:type="pct"/>
            <w:tcBorders>
              <w:left w:val="single" w:sz="8" w:space="0" w:color="auto"/>
            </w:tcBorders>
            <w:shd w:val="clear" w:color="auto" w:fill="auto"/>
          </w:tcPr>
          <w:p w14:paraId="4EA935B5" w14:textId="77777777" w:rsidR="00EC1859" w:rsidRPr="00EC1859" w:rsidRDefault="00EC1859" w:rsidP="00EC1859">
            <w:pPr>
              <w:rPr>
                <w:b/>
                <w:bCs/>
              </w:rPr>
            </w:pPr>
            <w:r w:rsidRPr="00EC1859">
              <w:rPr>
                <w:b/>
                <w:bCs/>
                <w:rtl/>
              </w:rPr>
              <w:t>من:</w:t>
            </w:r>
          </w:p>
        </w:tc>
        <w:tc>
          <w:tcPr>
            <w:tcW w:w="1395" w:type="pct"/>
            <w:shd w:val="clear" w:color="auto" w:fill="auto"/>
          </w:tcPr>
          <w:p w14:paraId="4C7E386B" w14:textId="77777777" w:rsidR="00EC1859" w:rsidRPr="00EC1859" w:rsidRDefault="00EC1859" w:rsidP="00EC1859">
            <w:pPr>
              <w:rPr>
                <w:highlight w:val="green"/>
              </w:rPr>
            </w:pPr>
            <w:r w:rsidRPr="00EC1859">
              <w:rPr>
                <w:highlight w:val="green"/>
                <w:rtl/>
              </w:rPr>
              <w:t>[الاسم]</w:t>
            </w:r>
          </w:p>
          <w:p w14:paraId="21474EA5" w14:textId="77777777" w:rsidR="00EC1859" w:rsidRPr="00EC1859" w:rsidRDefault="00EC1859" w:rsidP="00EC1859">
            <w:pPr>
              <w:rPr>
                <w:highlight w:val="green"/>
              </w:rPr>
            </w:pPr>
            <w:r w:rsidRPr="00EC1859">
              <w:rPr>
                <w:highlight w:val="green"/>
                <w:rtl/>
              </w:rPr>
              <w:t>[الدور/اللقب الرسمي]</w:t>
            </w:r>
          </w:p>
          <w:p w14:paraId="47A0C763" w14:textId="77777777" w:rsidR="00EC1859" w:rsidRPr="00EC1859" w:rsidRDefault="00EC1859" w:rsidP="00EC1859">
            <w:r w:rsidRPr="00EC1859">
              <w:rPr>
                <w:highlight w:val="green"/>
                <w:rtl/>
              </w:rPr>
              <w:t>[العنوان]</w:t>
            </w:r>
          </w:p>
        </w:tc>
      </w:tr>
      <w:tr w:rsidR="00EC1859" w:rsidRPr="00EC1859" w14:paraId="040EE02E" w14:textId="77777777" w:rsidTr="0031098F">
        <w:tc>
          <w:tcPr>
            <w:tcW w:w="811" w:type="pct"/>
            <w:shd w:val="clear" w:color="auto" w:fill="auto"/>
          </w:tcPr>
          <w:p w14:paraId="7BBCE716" w14:textId="77777777" w:rsidR="00EC1859" w:rsidRPr="00EC1859" w:rsidRDefault="00EC1859" w:rsidP="00EC1859">
            <w:pPr>
              <w:rPr>
                <w:b/>
                <w:bCs/>
              </w:rPr>
            </w:pPr>
            <w:r w:rsidRPr="00EC1859">
              <w:rPr>
                <w:b/>
                <w:bCs/>
                <w:rtl/>
              </w:rPr>
              <w:t>الفاكس:</w:t>
            </w:r>
          </w:p>
        </w:tc>
        <w:tc>
          <w:tcPr>
            <w:tcW w:w="1979" w:type="pct"/>
            <w:tcBorders>
              <w:right w:val="single" w:sz="8" w:space="0" w:color="auto"/>
            </w:tcBorders>
            <w:shd w:val="clear" w:color="auto" w:fill="auto"/>
          </w:tcPr>
          <w:p w14:paraId="18FA3F97" w14:textId="67659CC3" w:rsidR="00EC1859" w:rsidRPr="00EC1859" w:rsidRDefault="00B1288F" w:rsidP="00B1288F">
            <w:r w:rsidRPr="00B1288F">
              <w:rPr>
                <w:lang w:val="en-GB"/>
              </w:rPr>
              <w:t>+41-22-730-5853</w:t>
            </w:r>
          </w:p>
        </w:tc>
        <w:tc>
          <w:tcPr>
            <w:tcW w:w="815" w:type="pct"/>
            <w:tcBorders>
              <w:left w:val="single" w:sz="8" w:space="0" w:color="auto"/>
            </w:tcBorders>
            <w:shd w:val="clear" w:color="auto" w:fill="auto"/>
          </w:tcPr>
          <w:p w14:paraId="53663C6D" w14:textId="77777777" w:rsidR="00EC1859" w:rsidRPr="00EC1859" w:rsidRDefault="00EC1859" w:rsidP="00EC1859">
            <w:pPr>
              <w:rPr>
                <w:b/>
                <w:bCs/>
              </w:rPr>
            </w:pPr>
            <w:r w:rsidRPr="00EC1859">
              <w:rPr>
                <w:b/>
                <w:bCs/>
                <w:rtl/>
              </w:rPr>
              <w:t>الفاكس:</w:t>
            </w:r>
          </w:p>
        </w:tc>
        <w:tc>
          <w:tcPr>
            <w:tcW w:w="1395" w:type="pct"/>
            <w:shd w:val="clear" w:color="auto" w:fill="auto"/>
          </w:tcPr>
          <w:p w14:paraId="142900C2" w14:textId="77777777" w:rsidR="00EC1859" w:rsidRPr="00EC1859" w:rsidRDefault="00EC1859" w:rsidP="00EC1859">
            <w:pPr>
              <w:rPr>
                <w:lang w:val="en-GB"/>
              </w:rPr>
            </w:pPr>
          </w:p>
        </w:tc>
      </w:tr>
      <w:tr w:rsidR="00EC1859" w:rsidRPr="00EC1859" w14:paraId="740FE126" w14:textId="77777777" w:rsidTr="0031098F">
        <w:tc>
          <w:tcPr>
            <w:tcW w:w="811" w:type="pct"/>
            <w:shd w:val="clear" w:color="auto" w:fill="auto"/>
          </w:tcPr>
          <w:p w14:paraId="49BB060C" w14:textId="77777777" w:rsidR="00EC1859" w:rsidRPr="00EC1859" w:rsidRDefault="00EC1859" w:rsidP="00EC1859">
            <w:pPr>
              <w:rPr>
                <w:b/>
                <w:bCs/>
              </w:rPr>
            </w:pPr>
            <w:r w:rsidRPr="00EC1859">
              <w:rPr>
                <w:b/>
                <w:bCs/>
                <w:rtl/>
              </w:rPr>
              <w:t>البريد الإلكتروني:</w:t>
            </w:r>
          </w:p>
        </w:tc>
        <w:tc>
          <w:tcPr>
            <w:tcW w:w="1979" w:type="pct"/>
            <w:tcBorders>
              <w:right w:val="single" w:sz="8" w:space="0" w:color="auto"/>
            </w:tcBorders>
            <w:shd w:val="clear" w:color="auto" w:fill="auto"/>
          </w:tcPr>
          <w:p w14:paraId="26E3E330" w14:textId="2E1C7F32" w:rsidR="00EC1859" w:rsidRPr="00EC1859" w:rsidRDefault="00216328" w:rsidP="00EC1859">
            <w:hyperlink r:id="rId12" w:history="1">
              <w:r w:rsidR="00B1288F" w:rsidRPr="0031098F">
                <w:rPr>
                  <w:rStyle w:val="Hyperlink"/>
                </w:rPr>
                <w:t>tsbdir@itu.int</w:t>
              </w:r>
            </w:hyperlink>
          </w:p>
        </w:tc>
        <w:tc>
          <w:tcPr>
            <w:tcW w:w="815" w:type="pct"/>
            <w:tcBorders>
              <w:left w:val="single" w:sz="8" w:space="0" w:color="auto"/>
            </w:tcBorders>
            <w:shd w:val="clear" w:color="auto" w:fill="auto"/>
          </w:tcPr>
          <w:p w14:paraId="0F8F6056" w14:textId="77777777" w:rsidR="00EC1859" w:rsidRPr="00EC1859" w:rsidRDefault="00EC1859" w:rsidP="00EC1859">
            <w:pPr>
              <w:rPr>
                <w:b/>
                <w:bCs/>
              </w:rPr>
            </w:pPr>
            <w:r w:rsidRPr="00EC1859">
              <w:rPr>
                <w:b/>
                <w:bCs/>
                <w:rtl/>
              </w:rPr>
              <w:t>البريد الإلكتروني:</w:t>
            </w:r>
          </w:p>
        </w:tc>
        <w:tc>
          <w:tcPr>
            <w:tcW w:w="1395" w:type="pct"/>
            <w:shd w:val="clear" w:color="auto" w:fill="auto"/>
          </w:tcPr>
          <w:p w14:paraId="0A6F8A0E" w14:textId="77777777" w:rsidR="00EC1859" w:rsidRPr="00EC1859" w:rsidRDefault="00EC1859" w:rsidP="00EC1859">
            <w:pPr>
              <w:rPr>
                <w:lang w:val="en-GB"/>
              </w:rPr>
            </w:pPr>
          </w:p>
        </w:tc>
      </w:tr>
      <w:tr w:rsidR="00EC1859" w:rsidRPr="00EC1859" w14:paraId="1CFED803" w14:textId="77777777" w:rsidTr="0031098F">
        <w:tc>
          <w:tcPr>
            <w:tcW w:w="811" w:type="pct"/>
            <w:shd w:val="clear" w:color="auto" w:fill="auto"/>
          </w:tcPr>
          <w:p w14:paraId="203D5323" w14:textId="77777777" w:rsidR="00EC1859" w:rsidRPr="00EC1859" w:rsidRDefault="00EC1859" w:rsidP="00EC1859">
            <w:pPr>
              <w:rPr>
                <w:lang w:val="en-GB"/>
              </w:rPr>
            </w:pPr>
          </w:p>
        </w:tc>
        <w:tc>
          <w:tcPr>
            <w:tcW w:w="1979" w:type="pct"/>
            <w:tcBorders>
              <w:right w:val="single" w:sz="8" w:space="0" w:color="auto"/>
            </w:tcBorders>
            <w:shd w:val="clear" w:color="auto" w:fill="auto"/>
          </w:tcPr>
          <w:p w14:paraId="6BAB2195" w14:textId="77777777" w:rsidR="00EC1859" w:rsidRPr="00EC1859" w:rsidRDefault="00EC1859" w:rsidP="00EC1859">
            <w:pPr>
              <w:rPr>
                <w:lang w:val="en-GB"/>
              </w:rPr>
            </w:pPr>
          </w:p>
        </w:tc>
        <w:tc>
          <w:tcPr>
            <w:tcW w:w="815" w:type="pct"/>
            <w:tcBorders>
              <w:left w:val="single" w:sz="8" w:space="0" w:color="auto"/>
            </w:tcBorders>
            <w:shd w:val="clear" w:color="auto" w:fill="auto"/>
          </w:tcPr>
          <w:p w14:paraId="1F342FFE" w14:textId="77777777" w:rsidR="00EC1859" w:rsidRPr="00EC1859" w:rsidRDefault="00EC1859" w:rsidP="00EC1859">
            <w:pPr>
              <w:rPr>
                <w:b/>
                <w:bCs/>
              </w:rPr>
            </w:pPr>
            <w:r w:rsidRPr="00EC1859">
              <w:rPr>
                <w:b/>
                <w:bCs/>
                <w:rtl/>
              </w:rPr>
              <w:t>تاريخ:</w:t>
            </w:r>
          </w:p>
        </w:tc>
        <w:tc>
          <w:tcPr>
            <w:tcW w:w="1395" w:type="pct"/>
            <w:shd w:val="clear" w:color="auto" w:fill="auto"/>
          </w:tcPr>
          <w:p w14:paraId="3021D540" w14:textId="77777777" w:rsidR="00EC1859" w:rsidRPr="00EC1859" w:rsidRDefault="00EC1859" w:rsidP="00EC1859">
            <w:r w:rsidRPr="00EC1859">
              <w:rPr>
                <w:highlight w:val="green"/>
                <w:rtl/>
              </w:rPr>
              <w:t>[المكان،] [التاريخ]</w:t>
            </w:r>
          </w:p>
        </w:tc>
      </w:tr>
      <w:tr w:rsidR="00745738" w:rsidRPr="00EC1859" w14:paraId="7FB6D79D" w14:textId="77777777" w:rsidTr="0031098F">
        <w:tc>
          <w:tcPr>
            <w:tcW w:w="811" w:type="pct"/>
            <w:shd w:val="clear" w:color="auto" w:fill="auto"/>
          </w:tcPr>
          <w:p w14:paraId="7046DEB6" w14:textId="77777777" w:rsidR="00745738" w:rsidRPr="00EC1859" w:rsidRDefault="00745738" w:rsidP="00304028">
            <w:pPr>
              <w:spacing w:before="0"/>
              <w:rPr>
                <w:lang w:val="en-GB"/>
              </w:rPr>
            </w:pPr>
          </w:p>
        </w:tc>
        <w:tc>
          <w:tcPr>
            <w:tcW w:w="1979" w:type="pct"/>
            <w:tcBorders>
              <w:right w:val="single" w:sz="8" w:space="0" w:color="auto"/>
            </w:tcBorders>
            <w:shd w:val="clear" w:color="auto" w:fill="auto"/>
          </w:tcPr>
          <w:p w14:paraId="69DACCC6" w14:textId="77777777" w:rsidR="00745738" w:rsidRPr="00EC1859" w:rsidRDefault="00745738" w:rsidP="00304028">
            <w:pPr>
              <w:spacing w:before="0"/>
              <w:rPr>
                <w:lang w:val="en-GB"/>
              </w:rPr>
            </w:pPr>
          </w:p>
        </w:tc>
        <w:tc>
          <w:tcPr>
            <w:tcW w:w="815" w:type="pct"/>
            <w:tcBorders>
              <w:left w:val="single" w:sz="8" w:space="0" w:color="auto"/>
            </w:tcBorders>
            <w:shd w:val="clear" w:color="auto" w:fill="auto"/>
          </w:tcPr>
          <w:p w14:paraId="09EEAE10" w14:textId="77777777" w:rsidR="00745738" w:rsidRPr="00EC1859" w:rsidRDefault="00745738" w:rsidP="00304028">
            <w:pPr>
              <w:spacing w:before="0"/>
              <w:rPr>
                <w:b/>
                <w:bCs/>
                <w:rtl/>
              </w:rPr>
            </w:pPr>
          </w:p>
        </w:tc>
        <w:tc>
          <w:tcPr>
            <w:tcW w:w="1395" w:type="pct"/>
            <w:shd w:val="clear" w:color="auto" w:fill="auto"/>
          </w:tcPr>
          <w:p w14:paraId="24983F08" w14:textId="77777777" w:rsidR="00745738" w:rsidRPr="00EC1859" w:rsidRDefault="00745738" w:rsidP="00304028">
            <w:pPr>
              <w:spacing w:before="0"/>
              <w:rPr>
                <w:highlight w:val="green"/>
                <w:rtl/>
              </w:rPr>
            </w:pPr>
          </w:p>
        </w:tc>
      </w:tr>
    </w:tbl>
    <w:p w14:paraId="26F5520B" w14:textId="77777777" w:rsidR="00A94F82" w:rsidRDefault="00EC1859" w:rsidP="00A94F82">
      <w:pPr>
        <w:spacing w:before="360"/>
      </w:pPr>
      <w:r w:rsidRPr="00EC1859">
        <w:rPr>
          <w:rtl/>
        </w:rPr>
        <w:t>حضرات السادة والسيدات،</w:t>
      </w:r>
    </w:p>
    <w:p w14:paraId="77B1A3CF" w14:textId="19F5D68C" w:rsidR="00EC1859" w:rsidRPr="00EC1859" w:rsidRDefault="00EC1859" w:rsidP="006567F3">
      <w:pPr>
        <w:spacing w:before="240"/>
      </w:pPr>
      <w:r w:rsidRPr="00EC1859">
        <w:rPr>
          <w:rtl/>
        </w:rPr>
        <w:t>تحية طيبة وبعد،</w:t>
      </w:r>
    </w:p>
    <w:p w14:paraId="74E6294B" w14:textId="0F7B2D1C" w:rsidR="00EC1859" w:rsidRPr="00EC1859" w:rsidRDefault="00EC1859" w:rsidP="000F44FB">
      <w:pPr>
        <w:spacing w:after="120"/>
      </w:pPr>
      <w:r w:rsidRPr="00EC1859">
        <w:rPr>
          <w:rtl/>
        </w:rPr>
        <w:t>فيما يتعلق بمشاورة الدول الأعضاء بشأن مشاريع النصوص المحددة المدرجة في الرسالة المعممة 24 من مكتب تقييس الاتصالات، أود أن أحيطكم علما</w:t>
      </w:r>
      <w:r w:rsidR="002D0BEC">
        <w:rPr>
          <w:rFonts w:hint="cs"/>
          <w:rtl/>
        </w:rPr>
        <w:t>ً</w:t>
      </w:r>
      <w:r w:rsidRPr="00EC1859">
        <w:rPr>
          <w:rtl/>
        </w:rPr>
        <w:t xml:space="preserve"> برأي هذه الإدارة الوارد في الجدول أدناه.</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7387"/>
      </w:tblGrid>
      <w:tr w:rsidR="00EC1859" w:rsidRPr="00EC1859" w14:paraId="51C0DDC7" w14:textId="77777777" w:rsidTr="00A2613B">
        <w:trPr>
          <w:tblHeader/>
        </w:trPr>
        <w:tc>
          <w:tcPr>
            <w:tcW w:w="1164" w:type="pct"/>
            <w:shd w:val="clear" w:color="auto" w:fill="auto"/>
            <w:vAlign w:val="center"/>
          </w:tcPr>
          <w:p w14:paraId="3CCB0E12" w14:textId="77777777" w:rsidR="00EC1859" w:rsidRPr="00EC1859" w:rsidRDefault="00EC1859" w:rsidP="00A2613B">
            <w:pPr>
              <w:pStyle w:val="TableHead"/>
              <w:rPr>
                <w:lang w:val="en-GB"/>
              </w:rPr>
            </w:pPr>
          </w:p>
        </w:tc>
        <w:tc>
          <w:tcPr>
            <w:tcW w:w="3836" w:type="pct"/>
            <w:shd w:val="clear" w:color="auto" w:fill="auto"/>
            <w:vAlign w:val="center"/>
          </w:tcPr>
          <w:p w14:paraId="54E78AB3" w14:textId="77777777" w:rsidR="00EC1859" w:rsidRPr="00EC1859" w:rsidRDefault="00EC1859" w:rsidP="00A2613B">
            <w:pPr>
              <w:pStyle w:val="TableHead"/>
            </w:pPr>
            <w:r w:rsidRPr="00EC1859">
              <w:rPr>
                <w:rtl/>
              </w:rPr>
              <w:t>حدد أحد المربعين</w:t>
            </w:r>
          </w:p>
        </w:tc>
      </w:tr>
      <w:tr w:rsidR="00EC1859" w:rsidRPr="00EC1859" w14:paraId="652882E8" w14:textId="77777777" w:rsidTr="00A2613B">
        <w:trPr>
          <w:trHeight w:val="748"/>
        </w:trPr>
        <w:tc>
          <w:tcPr>
            <w:tcW w:w="1164" w:type="pct"/>
            <w:vMerge w:val="restart"/>
            <w:shd w:val="clear" w:color="auto" w:fill="auto"/>
            <w:vAlign w:val="center"/>
          </w:tcPr>
          <w:p w14:paraId="6F08F295" w14:textId="3E5348E8" w:rsidR="00EC1859" w:rsidRPr="00211C5A" w:rsidRDefault="00EC1859" w:rsidP="00211C5A">
            <w:pPr>
              <w:pStyle w:val="Tabletexte"/>
              <w:jc w:val="center"/>
              <w:rPr>
                <w:b/>
                <w:bCs/>
                <w:lang w:bidi="ar-SA"/>
              </w:rPr>
            </w:pPr>
            <w:r w:rsidRPr="00211C5A">
              <w:rPr>
                <w:b/>
                <w:bCs/>
                <w:rtl/>
              </w:rPr>
              <w:t>مشروع التوصية الجديدة ITU-T</w:t>
            </w:r>
            <w:r w:rsidR="00EE7EC7">
              <w:rPr>
                <w:rFonts w:hint="cs"/>
                <w:b/>
                <w:bCs/>
                <w:rtl/>
              </w:rPr>
              <w:t> </w:t>
            </w:r>
            <w:r w:rsidRPr="00211C5A">
              <w:rPr>
                <w:b/>
                <w:bCs/>
                <w:rtl/>
              </w:rPr>
              <w:t>F.748</w:t>
            </w:r>
            <w:r w:rsidR="006567F3" w:rsidRPr="00211C5A">
              <w:rPr>
                <w:rFonts w:hint="cs"/>
                <w:b/>
                <w:bCs/>
                <w:rtl/>
              </w:rPr>
              <w:t>.</w:t>
            </w:r>
            <w:r w:rsidRPr="00211C5A">
              <w:rPr>
                <w:b/>
                <w:bCs/>
                <w:rtl/>
              </w:rPr>
              <w:t>56</w:t>
            </w:r>
            <w:r w:rsidR="00211C5A" w:rsidRPr="00211C5A">
              <w:rPr>
                <w:b/>
                <w:bCs/>
              </w:rPr>
              <w:t xml:space="preserve"> </w:t>
            </w:r>
            <w:r w:rsidRPr="00211C5A">
              <w:rPr>
                <w:b/>
                <w:bCs/>
                <w:rtl/>
              </w:rPr>
              <w:t xml:space="preserve">(F.AIGC-GFR </w:t>
            </w:r>
            <w:r w:rsidR="00873506" w:rsidRPr="00211C5A">
              <w:rPr>
                <w:b/>
                <w:bCs/>
                <w:rtl/>
                <w:lang w:bidi="ar-SA"/>
              </w:rPr>
              <w:t>سابقاً</w:t>
            </w:r>
            <w:r w:rsidR="009B59D5" w:rsidRPr="00211C5A">
              <w:rPr>
                <w:rFonts w:hint="cs"/>
                <w:b/>
                <w:bCs/>
                <w:rtl/>
                <w:lang w:val="en-GB"/>
              </w:rPr>
              <w:t>)</w:t>
            </w:r>
          </w:p>
        </w:tc>
        <w:tc>
          <w:tcPr>
            <w:tcW w:w="3836" w:type="pct"/>
            <w:shd w:val="clear" w:color="auto" w:fill="auto"/>
            <w:vAlign w:val="center"/>
          </w:tcPr>
          <w:p w14:paraId="454F2F6C" w14:textId="19D9DF3B" w:rsidR="00EC1859" w:rsidRPr="003F3FB6" w:rsidRDefault="00FF3B73" w:rsidP="000F44FB">
            <w:pPr>
              <w:pStyle w:val="enumlev1"/>
              <w:rPr>
                <w:spacing w:val="-4"/>
                <w:sz w:val="20"/>
                <w:szCs w:val="20"/>
                <w:lang w:bidi="ar-SA"/>
              </w:rPr>
            </w:pPr>
            <w:r w:rsidRPr="003F3FB6">
              <w:rPr>
                <w:rFonts w:ascii="Calibri" w:eastAsia="Times New Roman" w:hAnsi="Calibri" w:cs="Times New Roman"/>
                <w:spacing w:val="-4"/>
                <w:sz w:val="24"/>
                <w:szCs w:val="20"/>
                <w:lang w:val="es-ES" w:eastAsia="en-US" w:bidi="ar-SA"/>
              </w:rPr>
              <w:fldChar w:fldCharType="begin">
                <w:ffData>
                  <w:name w:val="Check1"/>
                  <w:enabled/>
                  <w:calcOnExit w:val="0"/>
                  <w:checkBox>
                    <w:sizeAuto/>
                    <w:default w:val="0"/>
                  </w:checkBox>
                </w:ffData>
              </w:fldChar>
            </w:r>
            <w:r w:rsidRPr="003F3FB6">
              <w:rPr>
                <w:rFonts w:ascii="Calibri" w:eastAsia="Times New Roman" w:hAnsi="Calibri" w:cs="Times New Roman"/>
                <w:spacing w:val="-4"/>
                <w:sz w:val="24"/>
                <w:szCs w:val="20"/>
                <w:lang w:val="es-ES" w:eastAsia="en-US" w:bidi="ar-SA"/>
              </w:rPr>
              <w:instrText xml:space="preserve"> FORMCHECKBOX </w:instrText>
            </w:r>
            <w:r w:rsidR="00216328">
              <w:rPr>
                <w:rFonts w:ascii="Calibri" w:eastAsia="Times New Roman" w:hAnsi="Calibri" w:cs="Times New Roman"/>
                <w:spacing w:val="-4"/>
                <w:sz w:val="24"/>
                <w:szCs w:val="20"/>
                <w:lang w:val="es-ES" w:eastAsia="en-US" w:bidi="ar-SA"/>
              </w:rPr>
            </w:r>
            <w:r w:rsidR="00216328">
              <w:rPr>
                <w:rFonts w:ascii="Calibri" w:eastAsia="Times New Roman" w:hAnsi="Calibri" w:cs="Times New Roman"/>
                <w:spacing w:val="-4"/>
                <w:sz w:val="24"/>
                <w:szCs w:val="20"/>
                <w:lang w:val="es-ES" w:eastAsia="en-US" w:bidi="ar-SA"/>
              </w:rPr>
              <w:fldChar w:fldCharType="separate"/>
            </w:r>
            <w:r w:rsidRPr="003F3FB6">
              <w:rPr>
                <w:rFonts w:ascii="Calibri" w:eastAsia="Times New Roman" w:hAnsi="Calibri" w:cs="Times New Roman"/>
                <w:spacing w:val="-4"/>
                <w:sz w:val="24"/>
                <w:szCs w:val="20"/>
                <w:lang w:val="es-ES" w:eastAsia="en-US" w:bidi="ar-SA"/>
              </w:rPr>
              <w:fldChar w:fldCharType="end"/>
            </w:r>
            <w:r w:rsidR="00EC1859" w:rsidRPr="003F3FB6">
              <w:rPr>
                <w:spacing w:val="-4"/>
                <w:sz w:val="20"/>
                <w:szCs w:val="20"/>
                <w:rtl/>
              </w:rPr>
              <w:tab/>
            </w:r>
            <w:r w:rsidR="00EC1859" w:rsidRPr="009047B2">
              <w:rPr>
                <w:b/>
                <w:bCs/>
                <w:spacing w:val="-4"/>
                <w:sz w:val="20"/>
                <w:szCs w:val="20"/>
                <w:rtl/>
              </w:rPr>
              <w:t>تخوِّل</w:t>
            </w:r>
            <w:r w:rsidR="00EC1859" w:rsidRPr="003F3FB6">
              <w:rPr>
                <w:spacing w:val="-4"/>
                <w:sz w:val="20"/>
                <w:szCs w:val="20"/>
                <w:rtl/>
              </w:rPr>
              <w:t xml:space="preserve"> للجنة الدراسات 21 النظر في هذا النص للموافقة عليه (وفي هذه الحالة، اختر أحد الخيارين):</w:t>
            </w:r>
          </w:p>
          <w:p w14:paraId="09DB0E4A" w14:textId="0541DE48" w:rsidR="00EC1859" w:rsidRPr="004A69F7" w:rsidRDefault="00FF3B73" w:rsidP="00076EDF">
            <w:pPr>
              <w:pStyle w:val="enumlev2"/>
              <w:rPr>
                <w:sz w:val="20"/>
                <w:szCs w:val="20"/>
              </w:rPr>
            </w:pPr>
            <w:r w:rsidRPr="00FF3B73">
              <w:rPr>
                <w:rFonts w:ascii="Calibri" w:eastAsia="Times New Roman" w:hAnsi="Calibri" w:cs="Times New Roman"/>
                <w:sz w:val="24"/>
                <w:szCs w:val="20"/>
                <w:lang w:val="es-ES" w:eastAsia="en-US"/>
              </w:rPr>
              <w:fldChar w:fldCharType="begin">
                <w:ffData>
                  <w:name w:val="Check1"/>
                  <w:enabled/>
                  <w:calcOnExit w:val="0"/>
                  <w:checkBox>
                    <w:sizeAuto/>
                    <w:default w:val="0"/>
                  </w:checkBox>
                </w:ffData>
              </w:fldChar>
            </w:r>
            <w:r w:rsidRPr="00FF3B73">
              <w:rPr>
                <w:rFonts w:ascii="Calibri" w:eastAsia="Times New Roman" w:hAnsi="Calibri" w:cs="Times New Roman"/>
                <w:sz w:val="24"/>
                <w:szCs w:val="20"/>
                <w:lang w:val="es-ES" w:eastAsia="en-US"/>
              </w:rPr>
              <w:instrText xml:space="preserve"> FORMCHECKBOX </w:instrText>
            </w:r>
            <w:r w:rsidR="00216328">
              <w:rPr>
                <w:rFonts w:ascii="Calibri" w:eastAsia="Times New Roman" w:hAnsi="Calibri" w:cs="Times New Roman"/>
                <w:sz w:val="24"/>
                <w:szCs w:val="20"/>
                <w:lang w:val="es-ES" w:eastAsia="en-US"/>
              </w:rPr>
            </w:r>
            <w:r w:rsidR="00216328">
              <w:rPr>
                <w:rFonts w:ascii="Calibri" w:eastAsia="Times New Roman" w:hAnsi="Calibri" w:cs="Times New Roman"/>
                <w:sz w:val="24"/>
                <w:szCs w:val="20"/>
                <w:lang w:val="es-ES" w:eastAsia="en-US"/>
              </w:rPr>
              <w:fldChar w:fldCharType="separate"/>
            </w:r>
            <w:r w:rsidRPr="00FF3B73">
              <w:rPr>
                <w:rFonts w:ascii="Calibri" w:eastAsia="Times New Roman" w:hAnsi="Calibri" w:cs="Times New Roman"/>
                <w:sz w:val="24"/>
                <w:szCs w:val="20"/>
                <w:lang w:val="es-ES" w:eastAsia="en-US"/>
              </w:rPr>
              <w:fldChar w:fldCharType="end"/>
            </w:r>
            <w:r w:rsidR="00EC1859" w:rsidRPr="004A69F7">
              <w:rPr>
                <w:sz w:val="20"/>
                <w:szCs w:val="20"/>
                <w:rtl/>
              </w:rPr>
              <w:tab/>
              <w:t>لا توجد تعليقات أو تغييرات مقترحة</w:t>
            </w:r>
          </w:p>
          <w:p w14:paraId="33BFEE5F" w14:textId="11C92B26" w:rsidR="00EC1859" w:rsidRPr="00EC1859" w:rsidRDefault="00FF3B73" w:rsidP="00076EDF">
            <w:pPr>
              <w:pStyle w:val="enumlev2"/>
            </w:pPr>
            <w:r w:rsidRPr="00FF3B73">
              <w:rPr>
                <w:rFonts w:ascii="Calibri" w:eastAsia="Times New Roman" w:hAnsi="Calibri" w:cs="Times New Roman"/>
                <w:sz w:val="24"/>
                <w:szCs w:val="20"/>
                <w:lang w:val="es-ES" w:eastAsia="en-US"/>
              </w:rPr>
              <w:fldChar w:fldCharType="begin">
                <w:ffData>
                  <w:name w:val="Check1"/>
                  <w:enabled/>
                  <w:calcOnExit w:val="0"/>
                  <w:checkBox>
                    <w:sizeAuto/>
                    <w:default w:val="0"/>
                  </w:checkBox>
                </w:ffData>
              </w:fldChar>
            </w:r>
            <w:r w:rsidRPr="00FF3B73">
              <w:rPr>
                <w:rFonts w:ascii="Calibri" w:eastAsia="Times New Roman" w:hAnsi="Calibri" w:cs="Times New Roman"/>
                <w:sz w:val="24"/>
                <w:szCs w:val="20"/>
                <w:lang w:val="es-ES" w:eastAsia="en-US"/>
              </w:rPr>
              <w:instrText xml:space="preserve"> FORMCHECKBOX </w:instrText>
            </w:r>
            <w:r w:rsidR="00216328">
              <w:rPr>
                <w:rFonts w:ascii="Calibri" w:eastAsia="Times New Roman" w:hAnsi="Calibri" w:cs="Times New Roman"/>
                <w:sz w:val="24"/>
                <w:szCs w:val="20"/>
                <w:lang w:val="es-ES" w:eastAsia="en-US"/>
              </w:rPr>
            </w:r>
            <w:r w:rsidR="00216328">
              <w:rPr>
                <w:rFonts w:ascii="Calibri" w:eastAsia="Times New Roman" w:hAnsi="Calibri" w:cs="Times New Roman"/>
                <w:sz w:val="24"/>
                <w:szCs w:val="20"/>
                <w:lang w:val="es-ES" w:eastAsia="en-US"/>
              </w:rPr>
              <w:fldChar w:fldCharType="separate"/>
            </w:r>
            <w:r w:rsidRPr="00FF3B73">
              <w:rPr>
                <w:rFonts w:ascii="Calibri" w:eastAsia="Times New Roman" w:hAnsi="Calibri" w:cs="Times New Roman"/>
                <w:sz w:val="24"/>
                <w:szCs w:val="20"/>
                <w:lang w:val="es-ES" w:eastAsia="en-US"/>
              </w:rPr>
              <w:fldChar w:fldCharType="end"/>
            </w:r>
            <w:r w:rsidR="00EC1859" w:rsidRPr="004A69F7">
              <w:rPr>
                <w:sz w:val="20"/>
                <w:szCs w:val="20"/>
                <w:rtl/>
              </w:rPr>
              <w:tab/>
              <w:t>التعليقات والتغييرات المقترحة مرفَقة</w:t>
            </w:r>
          </w:p>
        </w:tc>
      </w:tr>
      <w:tr w:rsidR="00EC1859" w:rsidRPr="00EC1859" w14:paraId="443CCFCF" w14:textId="77777777" w:rsidTr="00A2613B">
        <w:trPr>
          <w:trHeight w:val="747"/>
        </w:trPr>
        <w:tc>
          <w:tcPr>
            <w:tcW w:w="1164" w:type="pct"/>
            <w:vMerge/>
            <w:shd w:val="clear" w:color="auto" w:fill="auto"/>
            <w:vAlign w:val="center"/>
          </w:tcPr>
          <w:p w14:paraId="5E32FAA9" w14:textId="77777777" w:rsidR="00EC1859" w:rsidRPr="00EC1859" w:rsidRDefault="00EC1859" w:rsidP="0009708E">
            <w:pPr>
              <w:pStyle w:val="Tabletexte"/>
              <w:rPr>
                <w:lang w:val="en-GB"/>
              </w:rPr>
            </w:pPr>
          </w:p>
        </w:tc>
        <w:tc>
          <w:tcPr>
            <w:tcW w:w="3836" w:type="pct"/>
            <w:shd w:val="clear" w:color="auto" w:fill="auto"/>
            <w:vAlign w:val="center"/>
          </w:tcPr>
          <w:p w14:paraId="64C71350" w14:textId="11E12DEF" w:rsidR="00EC1859" w:rsidRPr="00FF3B73" w:rsidRDefault="00FF3B73" w:rsidP="000F44FB">
            <w:pPr>
              <w:pStyle w:val="enumlev1"/>
              <w:rPr>
                <w:spacing w:val="-2"/>
                <w:lang w:bidi="ar-SA"/>
              </w:rPr>
            </w:pPr>
            <w:r w:rsidRPr="00FF3B73">
              <w:rPr>
                <w:rFonts w:ascii="Calibri" w:eastAsia="Times New Roman" w:hAnsi="Calibri" w:cs="Times New Roman"/>
                <w:sz w:val="24"/>
                <w:szCs w:val="20"/>
                <w:lang w:val="es-ES" w:eastAsia="en-US" w:bidi="ar-SA"/>
              </w:rPr>
              <w:fldChar w:fldCharType="begin">
                <w:ffData>
                  <w:name w:val="Check1"/>
                  <w:enabled/>
                  <w:calcOnExit w:val="0"/>
                  <w:checkBox>
                    <w:sizeAuto/>
                    <w:default w:val="0"/>
                  </w:checkBox>
                </w:ffData>
              </w:fldChar>
            </w:r>
            <w:r w:rsidRPr="00FF3B73">
              <w:rPr>
                <w:rFonts w:ascii="Calibri" w:eastAsia="Times New Roman" w:hAnsi="Calibri" w:cs="Times New Roman"/>
                <w:sz w:val="24"/>
                <w:szCs w:val="20"/>
                <w:lang w:val="es-ES" w:eastAsia="en-US" w:bidi="ar-SA"/>
              </w:rPr>
              <w:instrText xml:space="preserve"> FORMCHECKBOX </w:instrText>
            </w:r>
            <w:r w:rsidR="00216328">
              <w:rPr>
                <w:rFonts w:ascii="Calibri" w:eastAsia="Times New Roman" w:hAnsi="Calibri" w:cs="Times New Roman"/>
                <w:sz w:val="24"/>
                <w:szCs w:val="20"/>
                <w:lang w:val="es-ES" w:eastAsia="en-US" w:bidi="ar-SA"/>
              </w:rPr>
            </w:r>
            <w:r w:rsidR="00216328">
              <w:rPr>
                <w:rFonts w:ascii="Calibri" w:eastAsia="Times New Roman" w:hAnsi="Calibri" w:cs="Times New Roman"/>
                <w:sz w:val="24"/>
                <w:szCs w:val="20"/>
                <w:lang w:val="es-ES" w:eastAsia="en-US" w:bidi="ar-SA"/>
              </w:rPr>
              <w:fldChar w:fldCharType="separate"/>
            </w:r>
            <w:r w:rsidRPr="00FF3B73">
              <w:rPr>
                <w:rFonts w:ascii="Calibri" w:eastAsia="Times New Roman" w:hAnsi="Calibri" w:cs="Times New Roman"/>
                <w:sz w:val="24"/>
                <w:szCs w:val="20"/>
                <w:lang w:val="es-ES" w:eastAsia="en-US" w:bidi="ar-SA"/>
              </w:rPr>
              <w:fldChar w:fldCharType="end"/>
            </w:r>
            <w:r w:rsidR="00EC1859" w:rsidRPr="00531F5F">
              <w:rPr>
                <w:spacing w:val="-2"/>
                <w:sz w:val="20"/>
                <w:szCs w:val="20"/>
                <w:rtl/>
              </w:rPr>
              <w:tab/>
            </w:r>
            <w:r w:rsidR="00EC1859" w:rsidRPr="009047B2">
              <w:rPr>
                <w:b/>
                <w:bCs/>
                <w:spacing w:val="-2"/>
                <w:sz w:val="20"/>
                <w:szCs w:val="20"/>
                <w:rtl/>
              </w:rPr>
              <w:t>لا تخول</w:t>
            </w:r>
            <w:r w:rsidR="00EC1859" w:rsidRPr="00531F5F">
              <w:rPr>
                <w:spacing w:val="-2"/>
                <w:sz w:val="20"/>
                <w:szCs w:val="20"/>
                <w:rtl/>
              </w:rPr>
              <w:t xml:space="preserve"> للجنة الدراسات 21 النظر في هذا النص للموافقة عليه (مرفق طيه أسباب هذا الرأي وموجز للتغييرات الممكنة التي من شأنها أن تمكن من إحراز تقدم في العمل)</w:t>
            </w:r>
          </w:p>
        </w:tc>
      </w:tr>
      <w:tr w:rsidR="00EC1859" w:rsidRPr="00EC1859" w14:paraId="7687DE7F" w14:textId="77777777" w:rsidTr="00A2613B">
        <w:trPr>
          <w:trHeight w:val="748"/>
        </w:trPr>
        <w:tc>
          <w:tcPr>
            <w:tcW w:w="1164" w:type="pct"/>
            <w:vMerge w:val="restart"/>
            <w:shd w:val="clear" w:color="auto" w:fill="auto"/>
            <w:vAlign w:val="center"/>
          </w:tcPr>
          <w:p w14:paraId="6BFD19AE" w14:textId="2DEDA100" w:rsidR="00EC1859" w:rsidRPr="00211C5A" w:rsidRDefault="00EC1859" w:rsidP="00211C5A">
            <w:pPr>
              <w:pStyle w:val="Tabletexte"/>
              <w:jc w:val="center"/>
              <w:rPr>
                <w:b/>
                <w:bCs/>
                <w:lang w:bidi="ar-SA"/>
              </w:rPr>
            </w:pPr>
            <w:r w:rsidRPr="00211C5A">
              <w:rPr>
                <w:b/>
                <w:bCs/>
                <w:rtl/>
              </w:rPr>
              <w:t>مشروع التوصية الجديدة ITU-T</w:t>
            </w:r>
            <w:r w:rsidR="00EE7EC7">
              <w:rPr>
                <w:rFonts w:hint="cs"/>
                <w:b/>
                <w:bCs/>
                <w:rtl/>
              </w:rPr>
              <w:t> </w:t>
            </w:r>
            <w:r w:rsidRPr="00211C5A">
              <w:rPr>
                <w:b/>
                <w:bCs/>
                <w:rtl/>
              </w:rPr>
              <w:t>F.748</w:t>
            </w:r>
            <w:r w:rsidR="00211C5A" w:rsidRPr="00211C5A">
              <w:rPr>
                <w:rFonts w:hint="cs"/>
                <w:b/>
                <w:bCs/>
                <w:rtl/>
              </w:rPr>
              <w:t>.</w:t>
            </w:r>
            <w:r w:rsidRPr="00211C5A">
              <w:rPr>
                <w:b/>
                <w:bCs/>
                <w:rtl/>
              </w:rPr>
              <w:t>57</w:t>
            </w:r>
            <w:r w:rsidR="00211C5A" w:rsidRPr="00211C5A">
              <w:rPr>
                <w:b/>
                <w:bCs/>
              </w:rPr>
              <w:t xml:space="preserve"> </w:t>
            </w:r>
            <w:r w:rsidRPr="00211C5A">
              <w:rPr>
                <w:b/>
                <w:bCs/>
                <w:rtl/>
              </w:rPr>
              <w:t>(F.RA</w:t>
            </w:r>
            <w:r w:rsidR="00211C5A" w:rsidRPr="00211C5A">
              <w:rPr>
                <w:b/>
                <w:bCs/>
                <w:rtl/>
              </w:rPr>
              <w:noBreakHyphen/>
            </w:r>
            <w:r w:rsidRPr="00211C5A">
              <w:rPr>
                <w:b/>
                <w:bCs/>
                <w:rtl/>
              </w:rPr>
              <w:t xml:space="preserve">GAI </w:t>
            </w:r>
            <w:r w:rsidR="00873506" w:rsidRPr="00211C5A">
              <w:rPr>
                <w:b/>
                <w:bCs/>
                <w:rtl/>
                <w:lang w:bidi="ar-SA"/>
              </w:rPr>
              <w:t>سابقاً</w:t>
            </w:r>
            <w:r w:rsidR="00211C5A" w:rsidRPr="00211C5A">
              <w:rPr>
                <w:rFonts w:hint="cs"/>
                <w:b/>
                <w:bCs/>
                <w:rtl/>
                <w:lang w:val="en-GB"/>
              </w:rPr>
              <w:t>)</w:t>
            </w:r>
          </w:p>
        </w:tc>
        <w:tc>
          <w:tcPr>
            <w:tcW w:w="3836" w:type="pct"/>
            <w:shd w:val="clear" w:color="auto" w:fill="auto"/>
            <w:vAlign w:val="center"/>
          </w:tcPr>
          <w:p w14:paraId="67CF0E1C" w14:textId="05921FEE" w:rsidR="00EC1859" w:rsidRPr="00232F25" w:rsidRDefault="00FF3B73" w:rsidP="000F44FB">
            <w:pPr>
              <w:pStyle w:val="enumlev1"/>
              <w:rPr>
                <w:spacing w:val="-4"/>
                <w:sz w:val="20"/>
                <w:szCs w:val="20"/>
                <w:lang w:bidi="ar-SA"/>
              </w:rPr>
            </w:pPr>
            <w:r w:rsidRPr="00232F25">
              <w:rPr>
                <w:rFonts w:ascii="Calibri" w:eastAsia="Times New Roman" w:hAnsi="Calibri" w:cs="Times New Roman"/>
                <w:spacing w:val="-4"/>
                <w:sz w:val="24"/>
                <w:szCs w:val="20"/>
                <w:lang w:val="es-ES" w:eastAsia="en-US" w:bidi="ar-SA"/>
              </w:rPr>
              <w:fldChar w:fldCharType="begin">
                <w:ffData>
                  <w:name w:val="Check1"/>
                  <w:enabled/>
                  <w:calcOnExit w:val="0"/>
                  <w:checkBox>
                    <w:sizeAuto/>
                    <w:default w:val="0"/>
                  </w:checkBox>
                </w:ffData>
              </w:fldChar>
            </w:r>
            <w:r w:rsidRPr="00232F25">
              <w:rPr>
                <w:rFonts w:ascii="Calibri" w:eastAsia="Times New Roman" w:hAnsi="Calibri" w:cs="Times New Roman"/>
                <w:spacing w:val="-4"/>
                <w:sz w:val="24"/>
                <w:szCs w:val="20"/>
                <w:lang w:val="es-ES" w:eastAsia="en-US" w:bidi="ar-SA"/>
              </w:rPr>
              <w:instrText xml:space="preserve"> FORMCHECKBOX </w:instrText>
            </w:r>
            <w:r w:rsidR="00216328">
              <w:rPr>
                <w:rFonts w:ascii="Calibri" w:eastAsia="Times New Roman" w:hAnsi="Calibri" w:cs="Times New Roman"/>
                <w:spacing w:val="-4"/>
                <w:sz w:val="24"/>
                <w:szCs w:val="20"/>
                <w:lang w:val="es-ES" w:eastAsia="en-US" w:bidi="ar-SA"/>
              </w:rPr>
            </w:r>
            <w:r w:rsidR="00216328">
              <w:rPr>
                <w:rFonts w:ascii="Calibri" w:eastAsia="Times New Roman" w:hAnsi="Calibri" w:cs="Times New Roman"/>
                <w:spacing w:val="-4"/>
                <w:sz w:val="24"/>
                <w:szCs w:val="20"/>
                <w:lang w:val="es-ES" w:eastAsia="en-US" w:bidi="ar-SA"/>
              </w:rPr>
              <w:fldChar w:fldCharType="separate"/>
            </w:r>
            <w:r w:rsidRPr="00232F25">
              <w:rPr>
                <w:rFonts w:ascii="Calibri" w:eastAsia="Times New Roman" w:hAnsi="Calibri" w:cs="Times New Roman"/>
                <w:spacing w:val="-4"/>
                <w:sz w:val="24"/>
                <w:szCs w:val="20"/>
                <w:lang w:val="es-ES" w:eastAsia="en-US" w:bidi="ar-SA"/>
              </w:rPr>
              <w:fldChar w:fldCharType="end"/>
            </w:r>
            <w:r w:rsidR="00EC1859" w:rsidRPr="00232F25">
              <w:rPr>
                <w:spacing w:val="-4"/>
                <w:sz w:val="20"/>
                <w:szCs w:val="20"/>
                <w:rtl/>
              </w:rPr>
              <w:tab/>
            </w:r>
            <w:r w:rsidR="00EC1859" w:rsidRPr="00EE7EC7">
              <w:rPr>
                <w:b/>
                <w:bCs/>
                <w:spacing w:val="-4"/>
                <w:sz w:val="20"/>
                <w:szCs w:val="20"/>
                <w:rtl/>
              </w:rPr>
              <w:t>تخوِّل</w:t>
            </w:r>
            <w:r w:rsidR="00EC1859" w:rsidRPr="00232F25">
              <w:rPr>
                <w:spacing w:val="-4"/>
                <w:sz w:val="20"/>
                <w:szCs w:val="20"/>
                <w:rtl/>
              </w:rPr>
              <w:t xml:space="preserve"> للجنة الدراسات 21 النظر في هذا النص للموافقة عليه (وفي هذه الحالة، اختر أحد الخيارين):</w:t>
            </w:r>
          </w:p>
          <w:p w14:paraId="0D5D4994" w14:textId="15FB7544" w:rsidR="00EC1859" w:rsidRPr="004A69F7" w:rsidRDefault="00FF3B73" w:rsidP="004A69F7">
            <w:pPr>
              <w:pStyle w:val="enumlev2"/>
              <w:rPr>
                <w:sz w:val="20"/>
                <w:szCs w:val="20"/>
              </w:rPr>
            </w:pPr>
            <w:r w:rsidRPr="00FF3B73">
              <w:rPr>
                <w:rFonts w:ascii="Calibri" w:eastAsia="Times New Roman" w:hAnsi="Calibri" w:cs="Times New Roman"/>
                <w:sz w:val="24"/>
                <w:szCs w:val="20"/>
                <w:lang w:val="es-ES" w:eastAsia="en-US"/>
              </w:rPr>
              <w:fldChar w:fldCharType="begin">
                <w:ffData>
                  <w:name w:val="Check1"/>
                  <w:enabled/>
                  <w:calcOnExit w:val="0"/>
                  <w:checkBox>
                    <w:sizeAuto/>
                    <w:default w:val="0"/>
                  </w:checkBox>
                </w:ffData>
              </w:fldChar>
            </w:r>
            <w:r w:rsidRPr="00FF3B73">
              <w:rPr>
                <w:rFonts w:ascii="Calibri" w:eastAsia="Times New Roman" w:hAnsi="Calibri" w:cs="Times New Roman"/>
                <w:sz w:val="24"/>
                <w:szCs w:val="20"/>
                <w:lang w:val="es-ES" w:eastAsia="en-US"/>
              </w:rPr>
              <w:instrText xml:space="preserve"> FORMCHECKBOX </w:instrText>
            </w:r>
            <w:r w:rsidR="00216328">
              <w:rPr>
                <w:rFonts w:ascii="Calibri" w:eastAsia="Times New Roman" w:hAnsi="Calibri" w:cs="Times New Roman"/>
                <w:sz w:val="24"/>
                <w:szCs w:val="20"/>
                <w:lang w:val="es-ES" w:eastAsia="en-US"/>
              </w:rPr>
            </w:r>
            <w:r w:rsidR="00216328">
              <w:rPr>
                <w:rFonts w:ascii="Calibri" w:eastAsia="Times New Roman" w:hAnsi="Calibri" w:cs="Times New Roman"/>
                <w:sz w:val="24"/>
                <w:szCs w:val="20"/>
                <w:lang w:val="es-ES" w:eastAsia="en-US"/>
              </w:rPr>
              <w:fldChar w:fldCharType="separate"/>
            </w:r>
            <w:r w:rsidRPr="00FF3B73">
              <w:rPr>
                <w:rFonts w:ascii="Calibri" w:eastAsia="Times New Roman" w:hAnsi="Calibri" w:cs="Times New Roman"/>
                <w:sz w:val="24"/>
                <w:szCs w:val="20"/>
                <w:lang w:val="es-ES" w:eastAsia="en-US"/>
              </w:rPr>
              <w:fldChar w:fldCharType="end"/>
            </w:r>
            <w:r w:rsidR="00EC1859" w:rsidRPr="004A69F7">
              <w:rPr>
                <w:sz w:val="20"/>
                <w:szCs w:val="20"/>
                <w:rtl/>
              </w:rPr>
              <w:tab/>
              <w:t>لا توجد تعليقات أو تغييرات مقترحة</w:t>
            </w:r>
          </w:p>
          <w:p w14:paraId="4EDC5A7A" w14:textId="280F90B0" w:rsidR="00EC1859" w:rsidRPr="00EC1859" w:rsidRDefault="00FF3B73" w:rsidP="004A69F7">
            <w:pPr>
              <w:pStyle w:val="enumlev2"/>
            </w:pPr>
            <w:r w:rsidRPr="00FF3B73">
              <w:rPr>
                <w:rFonts w:ascii="Calibri" w:eastAsia="Times New Roman" w:hAnsi="Calibri" w:cs="Times New Roman"/>
                <w:sz w:val="24"/>
                <w:szCs w:val="20"/>
                <w:lang w:val="es-ES" w:eastAsia="en-US"/>
              </w:rPr>
              <w:fldChar w:fldCharType="begin">
                <w:ffData>
                  <w:name w:val="Check1"/>
                  <w:enabled/>
                  <w:calcOnExit w:val="0"/>
                  <w:checkBox>
                    <w:sizeAuto/>
                    <w:default w:val="0"/>
                  </w:checkBox>
                </w:ffData>
              </w:fldChar>
            </w:r>
            <w:r w:rsidRPr="00FF3B73">
              <w:rPr>
                <w:rFonts w:ascii="Calibri" w:eastAsia="Times New Roman" w:hAnsi="Calibri" w:cs="Times New Roman"/>
                <w:sz w:val="24"/>
                <w:szCs w:val="20"/>
                <w:lang w:val="es-ES" w:eastAsia="en-US"/>
              </w:rPr>
              <w:instrText xml:space="preserve"> FORMCHECKBOX </w:instrText>
            </w:r>
            <w:r w:rsidR="00216328">
              <w:rPr>
                <w:rFonts w:ascii="Calibri" w:eastAsia="Times New Roman" w:hAnsi="Calibri" w:cs="Times New Roman"/>
                <w:sz w:val="24"/>
                <w:szCs w:val="20"/>
                <w:lang w:val="es-ES" w:eastAsia="en-US"/>
              </w:rPr>
            </w:r>
            <w:r w:rsidR="00216328">
              <w:rPr>
                <w:rFonts w:ascii="Calibri" w:eastAsia="Times New Roman" w:hAnsi="Calibri" w:cs="Times New Roman"/>
                <w:sz w:val="24"/>
                <w:szCs w:val="20"/>
                <w:lang w:val="es-ES" w:eastAsia="en-US"/>
              </w:rPr>
              <w:fldChar w:fldCharType="separate"/>
            </w:r>
            <w:r w:rsidRPr="00FF3B73">
              <w:rPr>
                <w:rFonts w:ascii="Calibri" w:eastAsia="Times New Roman" w:hAnsi="Calibri" w:cs="Times New Roman"/>
                <w:sz w:val="24"/>
                <w:szCs w:val="20"/>
                <w:lang w:val="es-ES" w:eastAsia="en-US"/>
              </w:rPr>
              <w:fldChar w:fldCharType="end"/>
            </w:r>
            <w:r w:rsidR="00EC1859" w:rsidRPr="00531F5F">
              <w:rPr>
                <w:sz w:val="20"/>
                <w:szCs w:val="20"/>
                <w:rtl/>
              </w:rPr>
              <w:tab/>
              <w:t>التعليقات والتغييرات المقترحة مرفَقة</w:t>
            </w:r>
          </w:p>
        </w:tc>
      </w:tr>
      <w:tr w:rsidR="00EC1859" w:rsidRPr="00EC1859" w14:paraId="5582A462" w14:textId="77777777" w:rsidTr="00A2613B">
        <w:trPr>
          <w:trHeight w:val="747"/>
        </w:trPr>
        <w:tc>
          <w:tcPr>
            <w:tcW w:w="1164" w:type="pct"/>
            <w:vMerge/>
            <w:shd w:val="clear" w:color="auto" w:fill="auto"/>
            <w:vAlign w:val="center"/>
          </w:tcPr>
          <w:p w14:paraId="556FA8B8" w14:textId="77777777" w:rsidR="00EC1859" w:rsidRPr="00EC1859" w:rsidRDefault="00EC1859" w:rsidP="0009708E">
            <w:pPr>
              <w:pStyle w:val="Tabletexte"/>
              <w:rPr>
                <w:lang w:val="en-GB"/>
              </w:rPr>
            </w:pPr>
          </w:p>
        </w:tc>
        <w:tc>
          <w:tcPr>
            <w:tcW w:w="3836" w:type="pct"/>
            <w:shd w:val="clear" w:color="auto" w:fill="auto"/>
            <w:vAlign w:val="center"/>
          </w:tcPr>
          <w:p w14:paraId="37A87AFA" w14:textId="6E3206D1" w:rsidR="00EC1859" w:rsidRPr="001A5EE1" w:rsidRDefault="00FF3B73" w:rsidP="000F44FB">
            <w:pPr>
              <w:pStyle w:val="enumlev1"/>
              <w:rPr>
                <w:spacing w:val="-2"/>
                <w:lang w:bidi="ar-SA"/>
              </w:rPr>
            </w:pPr>
            <w:r w:rsidRPr="00FF3B73">
              <w:rPr>
                <w:rFonts w:ascii="Calibri" w:eastAsia="Times New Roman" w:hAnsi="Calibri" w:cs="Times New Roman"/>
                <w:sz w:val="24"/>
                <w:szCs w:val="20"/>
                <w:lang w:val="es-ES" w:eastAsia="en-US" w:bidi="ar-SA"/>
              </w:rPr>
              <w:fldChar w:fldCharType="begin">
                <w:ffData>
                  <w:name w:val="Check1"/>
                  <w:enabled/>
                  <w:calcOnExit w:val="0"/>
                  <w:checkBox>
                    <w:sizeAuto/>
                    <w:default w:val="0"/>
                  </w:checkBox>
                </w:ffData>
              </w:fldChar>
            </w:r>
            <w:r w:rsidRPr="00FF3B73">
              <w:rPr>
                <w:rFonts w:ascii="Calibri" w:eastAsia="Times New Roman" w:hAnsi="Calibri" w:cs="Times New Roman"/>
                <w:sz w:val="24"/>
                <w:szCs w:val="20"/>
                <w:lang w:val="es-ES" w:eastAsia="en-US" w:bidi="ar-SA"/>
              </w:rPr>
              <w:instrText xml:space="preserve"> FORMCHECKBOX </w:instrText>
            </w:r>
            <w:r w:rsidR="00216328">
              <w:rPr>
                <w:rFonts w:ascii="Calibri" w:eastAsia="Times New Roman" w:hAnsi="Calibri" w:cs="Times New Roman"/>
                <w:sz w:val="24"/>
                <w:szCs w:val="20"/>
                <w:lang w:val="es-ES" w:eastAsia="en-US" w:bidi="ar-SA"/>
              </w:rPr>
            </w:r>
            <w:r w:rsidR="00216328">
              <w:rPr>
                <w:rFonts w:ascii="Calibri" w:eastAsia="Times New Roman" w:hAnsi="Calibri" w:cs="Times New Roman"/>
                <w:sz w:val="24"/>
                <w:szCs w:val="20"/>
                <w:lang w:val="es-ES" w:eastAsia="en-US" w:bidi="ar-SA"/>
              </w:rPr>
              <w:fldChar w:fldCharType="separate"/>
            </w:r>
            <w:r w:rsidRPr="00FF3B73">
              <w:rPr>
                <w:rFonts w:ascii="Calibri" w:eastAsia="Times New Roman" w:hAnsi="Calibri" w:cs="Times New Roman"/>
                <w:sz w:val="24"/>
                <w:szCs w:val="20"/>
                <w:lang w:val="es-ES" w:eastAsia="en-US" w:bidi="ar-SA"/>
              </w:rPr>
              <w:fldChar w:fldCharType="end"/>
            </w:r>
            <w:r w:rsidR="00EC1859" w:rsidRPr="00531F5F">
              <w:rPr>
                <w:spacing w:val="-2"/>
                <w:sz w:val="20"/>
                <w:szCs w:val="20"/>
                <w:rtl/>
              </w:rPr>
              <w:tab/>
            </w:r>
            <w:r w:rsidR="00EC1859" w:rsidRPr="00EE7EC7">
              <w:rPr>
                <w:b/>
                <w:bCs/>
                <w:spacing w:val="-2"/>
                <w:sz w:val="20"/>
                <w:szCs w:val="20"/>
                <w:rtl/>
              </w:rPr>
              <w:t>لا تخول</w:t>
            </w:r>
            <w:r w:rsidR="00EC1859" w:rsidRPr="00531F5F">
              <w:rPr>
                <w:spacing w:val="-2"/>
                <w:sz w:val="20"/>
                <w:szCs w:val="20"/>
                <w:rtl/>
              </w:rPr>
              <w:t xml:space="preserve"> للجنة الدراسات 21 النظر في هذا النص للموافقة عليه (مرفق طيه أسباب هذا الرأي وموجز للتغييرات الممكنة التي من شأنها أن تمكن من إحراز تقدم في العمل)</w:t>
            </w:r>
          </w:p>
        </w:tc>
      </w:tr>
    </w:tbl>
    <w:p w14:paraId="7CE78C0C" w14:textId="77777777" w:rsidR="00EC1859" w:rsidRPr="00EC1859" w:rsidRDefault="00EC1859" w:rsidP="00304028">
      <w:pPr>
        <w:keepNext/>
        <w:keepLines/>
        <w:spacing w:before="240"/>
      </w:pPr>
      <w:r w:rsidRPr="00EC1859">
        <w:rPr>
          <w:rtl/>
        </w:rPr>
        <w:t>وتفضلوا بقبول فائق الاحترام،</w:t>
      </w:r>
    </w:p>
    <w:p w14:paraId="1980733C" w14:textId="77777777" w:rsidR="00EC1859" w:rsidRPr="00EC1859" w:rsidRDefault="00EC1859" w:rsidP="00232F25">
      <w:pPr>
        <w:spacing w:before="540"/>
        <w:rPr>
          <w:highlight w:val="green"/>
        </w:rPr>
      </w:pPr>
      <w:r w:rsidRPr="00EC1859">
        <w:rPr>
          <w:highlight w:val="green"/>
          <w:rtl/>
        </w:rPr>
        <w:t>[الاسم]</w:t>
      </w:r>
    </w:p>
    <w:p w14:paraId="6FD18A2E" w14:textId="77777777" w:rsidR="00EC1859" w:rsidRPr="00EC1859" w:rsidRDefault="00EC1859" w:rsidP="00EC1859">
      <w:pPr>
        <w:rPr>
          <w:highlight w:val="green"/>
        </w:rPr>
      </w:pPr>
      <w:r w:rsidRPr="00EC1859">
        <w:rPr>
          <w:highlight w:val="green"/>
          <w:rtl/>
        </w:rPr>
        <w:t>[الدور/اللقب الرسمي]</w:t>
      </w:r>
    </w:p>
    <w:p w14:paraId="54AEE831" w14:textId="77777777" w:rsidR="00EC1859" w:rsidRPr="00EC1859" w:rsidRDefault="00EC1859" w:rsidP="00EC1859">
      <w:r w:rsidRPr="00EC1859">
        <w:rPr>
          <w:rtl/>
        </w:rPr>
        <w:t xml:space="preserve">إدارة </w:t>
      </w:r>
      <w:r w:rsidRPr="00EC1859">
        <w:rPr>
          <w:highlight w:val="green"/>
          <w:rtl/>
        </w:rPr>
        <w:t>[الدولة العضو]</w:t>
      </w:r>
    </w:p>
    <w:p w14:paraId="425DAE7C" w14:textId="06675E54" w:rsidR="00596808" w:rsidRPr="00CC37AB" w:rsidRDefault="00CC37AB" w:rsidP="00232F25">
      <w:pPr>
        <w:spacing w:before="480"/>
        <w:jc w:val="center"/>
        <w:rPr>
          <w:rtl/>
          <w:lang w:val="en-GB" w:bidi="ar-EG"/>
        </w:rPr>
      </w:pPr>
      <w:r>
        <w:rPr>
          <w:rFonts w:hint="cs"/>
          <w:rtl/>
          <w:lang w:val="en-GB" w:bidi="ar-EG"/>
        </w:rPr>
        <w:t>ـــــــــــــــــــــــــــــــــــــــــــــــــــــــــــــــــــــــــــــــــــــــــــــــــــــــــــ</w:t>
      </w:r>
    </w:p>
    <w:sectPr w:rsidR="00596808" w:rsidRPr="00CC37AB" w:rsidSect="006C3242">
      <w:head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F6F9C" w14:textId="77777777" w:rsidR="00BF1FCD" w:rsidRDefault="00BF1FCD" w:rsidP="006C3242">
      <w:pPr>
        <w:spacing w:before="0" w:line="240" w:lineRule="auto"/>
      </w:pPr>
      <w:r>
        <w:separator/>
      </w:r>
    </w:p>
  </w:endnote>
  <w:endnote w:type="continuationSeparator" w:id="0">
    <w:p w14:paraId="09EDBDFB" w14:textId="77777777" w:rsidR="00BF1FCD" w:rsidRDefault="00BF1FCD"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D580"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DC770" w14:textId="77777777" w:rsidR="00BF1FCD" w:rsidRDefault="00BF1FCD" w:rsidP="006C3242">
      <w:pPr>
        <w:spacing w:before="0" w:line="240" w:lineRule="auto"/>
      </w:pPr>
      <w:r>
        <w:separator/>
      </w:r>
    </w:p>
  </w:footnote>
  <w:footnote w:type="continuationSeparator" w:id="0">
    <w:p w14:paraId="65BC41C3" w14:textId="77777777" w:rsidR="00BF1FCD" w:rsidRDefault="00BF1FCD"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F1789" w14:textId="4042C498" w:rsidR="00447F32" w:rsidRPr="00596808" w:rsidRDefault="00596808" w:rsidP="00B916A7">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007139D8">
      <w:rPr>
        <w:sz w:val="20"/>
        <w:szCs w:val="20"/>
        <w:lang w:bidi="ar-EG"/>
      </w:rPr>
      <w:t xml:space="preserve">TSB Circular </w:t>
    </w:r>
    <w:r w:rsidR="0054527A">
      <w:rPr>
        <w:sz w:val="20"/>
        <w:szCs w:val="20"/>
        <w:lang w:bidi="ar-EG"/>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80181218">
    <w:abstractNumId w:val="9"/>
  </w:num>
  <w:num w:numId="2" w16cid:durableId="376005570">
    <w:abstractNumId w:val="7"/>
  </w:num>
  <w:num w:numId="3" w16cid:durableId="639193220">
    <w:abstractNumId w:val="6"/>
  </w:num>
  <w:num w:numId="4" w16cid:durableId="340160401">
    <w:abstractNumId w:val="5"/>
  </w:num>
  <w:num w:numId="5" w16cid:durableId="109589037">
    <w:abstractNumId w:val="4"/>
  </w:num>
  <w:num w:numId="6" w16cid:durableId="2048142625">
    <w:abstractNumId w:val="8"/>
  </w:num>
  <w:num w:numId="7" w16cid:durableId="1013265783">
    <w:abstractNumId w:val="3"/>
  </w:num>
  <w:num w:numId="8" w16cid:durableId="1496919553">
    <w:abstractNumId w:val="2"/>
  </w:num>
  <w:num w:numId="9" w16cid:durableId="49110613">
    <w:abstractNumId w:val="1"/>
  </w:num>
  <w:num w:numId="10" w16cid:durableId="1100763512">
    <w:abstractNumId w:val="0"/>
  </w:num>
  <w:num w:numId="11" w16cid:durableId="4591477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FCD"/>
    <w:rsid w:val="00002A63"/>
    <w:rsid w:val="0006468A"/>
    <w:rsid w:val="00072703"/>
    <w:rsid w:val="00076EDF"/>
    <w:rsid w:val="00090574"/>
    <w:rsid w:val="0009708E"/>
    <w:rsid w:val="000C1C0E"/>
    <w:rsid w:val="000C548A"/>
    <w:rsid w:val="000D1D9E"/>
    <w:rsid w:val="000E327F"/>
    <w:rsid w:val="000F44FB"/>
    <w:rsid w:val="00146FE2"/>
    <w:rsid w:val="001A5EE1"/>
    <w:rsid w:val="001C0169"/>
    <w:rsid w:val="001D1D50"/>
    <w:rsid w:val="001D6745"/>
    <w:rsid w:val="001E2788"/>
    <w:rsid w:val="001E446E"/>
    <w:rsid w:val="00211C5A"/>
    <w:rsid w:val="002154EE"/>
    <w:rsid w:val="00216328"/>
    <w:rsid w:val="002276D2"/>
    <w:rsid w:val="0023283D"/>
    <w:rsid w:val="00232F25"/>
    <w:rsid w:val="0026373E"/>
    <w:rsid w:val="00271C43"/>
    <w:rsid w:val="0028397E"/>
    <w:rsid w:val="00290728"/>
    <w:rsid w:val="00290E76"/>
    <w:rsid w:val="002978F4"/>
    <w:rsid w:val="002A2B5A"/>
    <w:rsid w:val="002B028D"/>
    <w:rsid w:val="002D0BEC"/>
    <w:rsid w:val="002E196B"/>
    <w:rsid w:val="002E6541"/>
    <w:rsid w:val="00304028"/>
    <w:rsid w:val="0031098F"/>
    <w:rsid w:val="00334924"/>
    <w:rsid w:val="003409BC"/>
    <w:rsid w:val="00352182"/>
    <w:rsid w:val="00357185"/>
    <w:rsid w:val="00383829"/>
    <w:rsid w:val="00384957"/>
    <w:rsid w:val="003A3046"/>
    <w:rsid w:val="003C6610"/>
    <w:rsid w:val="003C7EDF"/>
    <w:rsid w:val="003E4CA8"/>
    <w:rsid w:val="003E51A0"/>
    <w:rsid w:val="003F3FB6"/>
    <w:rsid w:val="003F4B29"/>
    <w:rsid w:val="00400EC6"/>
    <w:rsid w:val="0042686F"/>
    <w:rsid w:val="004317D8"/>
    <w:rsid w:val="00434183"/>
    <w:rsid w:val="00443869"/>
    <w:rsid w:val="00447F32"/>
    <w:rsid w:val="004A69F7"/>
    <w:rsid w:val="004E11DC"/>
    <w:rsid w:val="004F1C39"/>
    <w:rsid w:val="004F3179"/>
    <w:rsid w:val="00525DDD"/>
    <w:rsid w:val="00531F5F"/>
    <w:rsid w:val="005409AC"/>
    <w:rsid w:val="0054527A"/>
    <w:rsid w:val="0055516A"/>
    <w:rsid w:val="0055717B"/>
    <w:rsid w:val="005731DD"/>
    <w:rsid w:val="0058491B"/>
    <w:rsid w:val="00592EA5"/>
    <w:rsid w:val="00595B52"/>
    <w:rsid w:val="00596808"/>
    <w:rsid w:val="005A3170"/>
    <w:rsid w:val="005E18F2"/>
    <w:rsid w:val="005E4A7B"/>
    <w:rsid w:val="006019C6"/>
    <w:rsid w:val="00621E9B"/>
    <w:rsid w:val="006567F3"/>
    <w:rsid w:val="006635B2"/>
    <w:rsid w:val="00677396"/>
    <w:rsid w:val="0069200F"/>
    <w:rsid w:val="006A65CB"/>
    <w:rsid w:val="006C1530"/>
    <w:rsid w:val="006C3242"/>
    <w:rsid w:val="006C7CC0"/>
    <w:rsid w:val="006E1BAD"/>
    <w:rsid w:val="006E6264"/>
    <w:rsid w:val="006F63F7"/>
    <w:rsid w:val="007025C7"/>
    <w:rsid w:val="00706D7A"/>
    <w:rsid w:val="007139D8"/>
    <w:rsid w:val="00722F0D"/>
    <w:rsid w:val="0074420E"/>
    <w:rsid w:val="00745738"/>
    <w:rsid w:val="00783E26"/>
    <w:rsid w:val="0078518B"/>
    <w:rsid w:val="007C3BC7"/>
    <w:rsid w:val="007C3BCD"/>
    <w:rsid w:val="007D4ACF"/>
    <w:rsid w:val="007F0787"/>
    <w:rsid w:val="00807031"/>
    <w:rsid w:val="00810B7B"/>
    <w:rsid w:val="0082358A"/>
    <w:rsid w:val="008235CD"/>
    <w:rsid w:val="008247DE"/>
    <w:rsid w:val="00840B10"/>
    <w:rsid w:val="008513CB"/>
    <w:rsid w:val="00873469"/>
    <w:rsid w:val="00873506"/>
    <w:rsid w:val="00877F4B"/>
    <w:rsid w:val="0088192D"/>
    <w:rsid w:val="00891703"/>
    <w:rsid w:val="008A7F84"/>
    <w:rsid w:val="009047B2"/>
    <w:rsid w:val="0091702E"/>
    <w:rsid w:val="00923B0C"/>
    <w:rsid w:val="00926F44"/>
    <w:rsid w:val="0094021C"/>
    <w:rsid w:val="0094432F"/>
    <w:rsid w:val="00952F86"/>
    <w:rsid w:val="00982B28"/>
    <w:rsid w:val="009B59D5"/>
    <w:rsid w:val="009D313F"/>
    <w:rsid w:val="00A208ED"/>
    <w:rsid w:val="00A2613B"/>
    <w:rsid w:val="00A47A5A"/>
    <w:rsid w:val="00A531ED"/>
    <w:rsid w:val="00A53D36"/>
    <w:rsid w:val="00A64435"/>
    <w:rsid w:val="00A6683B"/>
    <w:rsid w:val="00A77C90"/>
    <w:rsid w:val="00A9156F"/>
    <w:rsid w:val="00A94F82"/>
    <w:rsid w:val="00A97F94"/>
    <w:rsid w:val="00AA7EA2"/>
    <w:rsid w:val="00AB0BC9"/>
    <w:rsid w:val="00AF6B5C"/>
    <w:rsid w:val="00B01533"/>
    <w:rsid w:val="00B03099"/>
    <w:rsid w:val="00B05BC8"/>
    <w:rsid w:val="00B06AFE"/>
    <w:rsid w:val="00B1288F"/>
    <w:rsid w:val="00B338A8"/>
    <w:rsid w:val="00B64B47"/>
    <w:rsid w:val="00B916A7"/>
    <w:rsid w:val="00BB0F08"/>
    <w:rsid w:val="00BC7C2D"/>
    <w:rsid w:val="00BF1FCD"/>
    <w:rsid w:val="00C002DE"/>
    <w:rsid w:val="00C53BF8"/>
    <w:rsid w:val="00C66157"/>
    <w:rsid w:val="00C674FE"/>
    <w:rsid w:val="00C67501"/>
    <w:rsid w:val="00C75633"/>
    <w:rsid w:val="00CC37AB"/>
    <w:rsid w:val="00CE1C08"/>
    <w:rsid w:val="00CE2EE1"/>
    <w:rsid w:val="00CE3349"/>
    <w:rsid w:val="00CE36E5"/>
    <w:rsid w:val="00CF20F9"/>
    <w:rsid w:val="00CF27F5"/>
    <w:rsid w:val="00CF3FFD"/>
    <w:rsid w:val="00D10CCF"/>
    <w:rsid w:val="00D22846"/>
    <w:rsid w:val="00D22CB9"/>
    <w:rsid w:val="00D517B2"/>
    <w:rsid w:val="00D578E9"/>
    <w:rsid w:val="00D63B62"/>
    <w:rsid w:val="00D67385"/>
    <w:rsid w:val="00D67F50"/>
    <w:rsid w:val="00D76170"/>
    <w:rsid w:val="00D77D0F"/>
    <w:rsid w:val="00D84F55"/>
    <w:rsid w:val="00D91271"/>
    <w:rsid w:val="00DA1CF0"/>
    <w:rsid w:val="00DB264D"/>
    <w:rsid w:val="00DC1E02"/>
    <w:rsid w:val="00DC24B4"/>
    <w:rsid w:val="00DC5FB0"/>
    <w:rsid w:val="00DD1EBB"/>
    <w:rsid w:val="00DF16DC"/>
    <w:rsid w:val="00E45211"/>
    <w:rsid w:val="00E473C5"/>
    <w:rsid w:val="00E84438"/>
    <w:rsid w:val="00E92863"/>
    <w:rsid w:val="00EB796D"/>
    <w:rsid w:val="00EC1859"/>
    <w:rsid w:val="00ED31B4"/>
    <w:rsid w:val="00EE7EC7"/>
    <w:rsid w:val="00F058DC"/>
    <w:rsid w:val="00F24FC4"/>
    <w:rsid w:val="00F2676C"/>
    <w:rsid w:val="00F52941"/>
    <w:rsid w:val="00F632D2"/>
    <w:rsid w:val="00F67198"/>
    <w:rsid w:val="00F84366"/>
    <w:rsid w:val="00F85089"/>
    <w:rsid w:val="00F974C5"/>
    <w:rsid w:val="00FA6F46"/>
    <w:rsid w:val="00FE5872"/>
    <w:rsid w:val="00FE7FCA"/>
    <w:rsid w:val="00FF3B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0A103"/>
  <w15:chartTrackingRefBased/>
  <w15:docId w15:val="{662C9BC1-8B5C-45C6-9FCF-E495EF656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character" w:styleId="FollowedHyperlink">
    <w:name w:val="FollowedHyperlink"/>
    <w:basedOn w:val="DefaultParagraphFont"/>
    <w:uiPriority w:val="99"/>
    <w:semiHidden/>
    <w:unhideWhenUsed/>
    <w:rsid w:val="00621E9B"/>
    <w:rPr>
      <w:color w:val="954F72" w:themeColor="followedHyperlink"/>
      <w:u w:val="single"/>
    </w:rPr>
  </w:style>
  <w:style w:type="paragraph" w:styleId="Revision">
    <w:name w:val="Revision"/>
    <w:hidden/>
    <w:uiPriority w:val="99"/>
    <w:semiHidden/>
    <w:rsid w:val="0028397E"/>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sbdir@itu.int"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25-SG21-R-0006/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T25-SG21-R-0007/en"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tsbsg21@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5\ITU-T%20(TSB)\PA_TSB%20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1E61AAD99A901438D9BC061B6D8E5BF" ma:contentTypeVersion="11" ma:contentTypeDescription="Crée un document." ma:contentTypeScope="" ma:versionID="c405d8c1bf82a9ca5078239b3a4000e6">
  <xsd:schema xmlns:xsd="http://www.w3.org/2001/XMLSchema" xmlns:xs="http://www.w3.org/2001/XMLSchema" xmlns:p="http://schemas.microsoft.com/office/2006/metadata/properties" xmlns:ns2="7bbce149-ba0e-4c7d-b138-75737535ebd3" xmlns:ns3="fc530d05-483b-4fd2-bcc9-ba5292dbeb46" targetNamespace="http://schemas.microsoft.com/office/2006/metadata/properties" ma:root="true" ma:fieldsID="c84c66d25a2c6bcab693d2260f4bc015" ns2:_="" ns3:_="">
    <xsd:import namespace="7bbce149-ba0e-4c7d-b138-75737535ebd3"/>
    <xsd:import namespace="fc530d05-483b-4fd2-bcc9-ba5292dbeb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ce149-ba0e-4c7d-b138-75737535e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530d05-483b-4fd2-bcc9-ba5292dbeb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d2e498-ff2d-4125-a977-653969dc4aa3}" ma:internalName="TaxCatchAll" ma:showField="CatchAllData" ma:web="fc530d05-483b-4fd2-bcc9-ba5292dbe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bbce149-ba0e-4c7d-b138-75737535ebd3">
      <Terms xmlns="http://schemas.microsoft.com/office/infopath/2007/PartnerControls"/>
    </lcf76f155ced4ddcb4097134ff3c332f>
    <TaxCatchAll xmlns="fc530d05-483b-4fd2-bcc9-ba5292dbeb46" xsi:nil="true"/>
  </documentManagement>
</p:properties>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customXml/itemProps2.xml><?xml version="1.0" encoding="utf-8"?>
<ds:datastoreItem xmlns:ds="http://schemas.openxmlformats.org/officeDocument/2006/customXml" ds:itemID="{97A228A6-3850-4EA8-B218-4BFE63A7C2B9}"/>
</file>

<file path=customXml/itemProps3.xml><?xml version="1.0" encoding="utf-8"?>
<ds:datastoreItem xmlns:ds="http://schemas.openxmlformats.org/officeDocument/2006/customXml" ds:itemID="{58551196-4ED3-45E8-801E-CB1F6F8E6ED3}"/>
</file>

<file path=customXml/itemProps4.xml><?xml version="1.0" encoding="utf-8"?>
<ds:datastoreItem xmlns:ds="http://schemas.openxmlformats.org/officeDocument/2006/customXml" ds:itemID="{5A210A98-4D6A-4A7B-858E-1BD38A985627}"/>
</file>

<file path=docProps/app.xml><?xml version="1.0" encoding="utf-8"?>
<Properties xmlns="http://schemas.openxmlformats.org/officeDocument/2006/extended-properties" xmlns:vt="http://schemas.openxmlformats.org/officeDocument/2006/docPropsVTypes">
  <Template>PA_TSB Circ.dotx</Template>
  <TotalTime>15</TotalTime>
  <Pages>4</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Arabic_AA</dc:creator>
  <cp:keywords/>
  <dc:description/>
  <cp:lastModifiedBy>PA_I.R</cp:lastModifiedBy>
  <cp:revision>3</cp:revision>
  <dcterms:created xsi:type="dcterms:W3CDTF">2025-04-16T14:14:00Z</dcterms:created>
  <dcterms:modified xsi:type="dcterms:W3CDTF">2025-04-16T14:30:00Z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0x010100D1E61AAD99A901438D9BC061B6D8E5BF</vt:lpwstr>
  </property>
</Properties>
</file>