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34"/>
        <w:gridCol w:w="10"/>
        <w:gridCol w:w="3434"/>
        <w:gridCol w:w="3148"/>
        <w:gridCol w:w="2003"/>
      </w:tblGrid>
      <w:tr w:rsidR="00FA46A0" w:rsidRPr="0088519B" w14:paraId="2F3AEBE3" w14:textId="77777777" w:rsidTr="00872354">
        <w:trPr>
          <w:trHeight w:val="1282"/>
        </w:trPr>
        <w:tc>
          <w:tcPr>
            <w:tcW w:w="114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BF41D" w14:textId="77777777" w:rsidR="00FA46A0" w:rsidRPr="0088519B" w:rsidRDefault="009747C5" w:rsidP="00872354">
            <w:pPr>
              <w:pStyle w:val="Tabletext"/>
              <w:jc w:val="center"/>
            </w:pPr>
            <w:r w:rsidRPr="0088519B">
              <w:rPr>
                <w:noProof/>
                <w:lang w:val="fr-CH" w:eastAsia="fr-CH"/>
              </w:rPr>
              <w:drawing>
                <wp:inline distT="0" distB="0" distL="0" distR="0" wp14:anchorId="3BA9F842" wp14:editId="02A5BE9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EC0ECC8" w14:textId="77777777" w:rsidR="00FA46A0" w:rsidRPr="0088519B" w:rsidRDefault="00B61012" w:rsidP="008723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88519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A486C08" w14:textId="77777777" w:rsidR="00FA46A0" w:rsidRPr="0088519B" w:rsidRDefault="00B61012" w:rsidP="008723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88519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7652B4C" w14:textId="77777777" w:rsidR="00FA46A0" w:rsidRPr="0088519B" w:rsidRDefault="00FA46A0" w:rsidP="008723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007F91" w14:paraId="7CBEEB9D" w14:textId="77777777" w:rsidTr="00007F91">
        <w:trPr>
          <w:cantSplit/>
          <w:trHeight w:val="630"/>
        </w:trPr>
        <w:tc>
          <w:tcPr>
            <w:tcW w:w="4578" w:type="dxa"/>
            <w:gridSpan w:val="3"/>
            <w:vAlign w:val="center"/>
          </w:tcPr>
          <w:p w14:paraId="02781ED0" w14:textId="77777777" w:rsidR="00FA46A0" w:rsidRPr="00007F91" w:rsidRDefault="00FA46A0" w:rsidP="00872354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51" w:type="dxa"/>
            <w:gridSpan w:val="2"/>
            <w:vAlign w:val="center"/>
          </w:tcPr>
          <w:p w14:paraId="5542BFA4" w14:textId="53A82D98" w:rsidR="00FA46A0" w:rsidRPr="00007F91" w:rsidRDefault="00B61012" w:rsidP="00FE00A1">
            <w:pPr>
              <w:pStyle w:val="Tabletext"/>
              <w:spacing w:before="0" w:after="12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Geneva, </w:t>
            </w:r>
            <w:r w:rsidR="00BF5A2E" w:rsidRPr="00007F9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3F6E00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February 2025</w:t>
            </w:r>
          </w:p>
        </w:tc>
      </w:tr>
      <w:tr w:rsidR="00007F91" w:rsidRPr="00007F91" w14:paraId="5B9F57B8" w14:textId="77777777" w:rsidTr="00A73A72">
        <w:trPr>
          <w:cantSplit/>
          <w:trHeight w:val="562"/>
        </w:trPr>
        <w:tc>
          <w:tcPr>
            <w:tcW w:w="1134" w:type="dxa"/>
          </w:tcPr>
          <w:p w14:paraId="4361F29A" w14:textId="77777777" w:rsidR="00007F91" w:rsidRPr="00007F91" w:rsidRDefault="00007F91" w:rsidP="006D5489">
            <w:pPr>
              <w:pStyle w:val="Tabletext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444" w:type="dxa"/>
            <w:gridSpan w:val="2"/>
          </w:tcPr>
          <w:p w14:paraId="101ED353" w14:textId="6ED02883" w:rsidR="00007F91" w:rsidRPr="00007F91" w:rsidRDefault="00007F91" w:rsidP="00FE00A1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TSB Circular 21</w:t>
            </w:r>
          </w:p>
          <w:p w14:paraId="1FA4CE7F" w14:textId="2878E5E0" w:rsidR="00007F91" w:rsidRPr="00007F91" w:rsidRDefault="00007F91" w:rsidP="00FE00A1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CB</w:t>
            </w:r>
          </w:p>
        </w:tc>
        <w:tc>
          <w:tcPr>
            <w:tcW w:w="5151" w:type="dxa"/>
            <w:gridSpan w:val="2"/>
            <w:vMerge w:val="restart"/>
          </w:tcPr>
          <w:p w14:paraId="145C348F" w14:textId="77777777" w:rsidR="00007F91" w:rsidRPr="00007F91" w:rsidRDefault="00007F91" w:rsidP="006D54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 w:after="2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3059177C" w14:textId="7FC0A27C" w:rsidR="00007F91" w:rsidRPr="006D5489" w:rsidRDefault="00007F91" w:rsidP="006D548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ind w:left="555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Union</w:t>
            </w:r>
            <w:r w:rsidR="006D5489" w:rsidRPr="006D548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64E6B91A" w14:textId="6A7953A1" w:rsidR="00007F91" w:rsidRPr="00007F91" w:rsidRDefault="00007F91" w:rsidP="006D548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ind w:left="555" w:hanging="283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</w:t>
            </w:r>
            <w:r w:rsidRPr="00007F91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007F91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Sector</w:t>
            </w:r>
            <w:proofErr w:type="spellEnd"/>
            <w:r w:rsidRPr="00007F91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 </w:t>
            </w:r>
            <w:proofErr w:type="gramStart"/>
            <w:r w:rsidRPr="00007F91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Members</w:t>
            </w:r>
            <w:r w:rsidR="006D548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;</w:t>
            </w:r>
            <w:proofErr w:type="gramEnd"/>
          </w:p>
          <w:p w14:paraId="0257F81C" w14:textId="6BF4D684" w:rsidR="00007F91" w:rsidRPr="00007F91" w:rsidRDefault="00007F91" w:rsidP="006D548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ind w:left="555" w:hanging="283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</w:t>
            </w:r>
            <w:r w:rsidRPr="00007F91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ab/>
              <w:t xml:space="preserve">ITU-T </w:t>
            </w:r>
            <w:proofErr w:type="gramStart"/>
            <w:r w:rsidRPr="00007F91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Associates</w:t>
            </w:r>
            <w:r w:rsidR="006D548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;</w:t>
            </w:r>
            <w:proofErr w:type="gramEnd"/>
          </w:p>
          <w:p w14:paraId="03D5FF9A" w14:textId="2AD6712D" w:rsidR="00007F91" w:rsidRPr="00007F91" w:rsidRDefault="00007F91" w:rsidP="006D548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ind w:left="555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ITU </w:t>
            </w:r>
            <w:proofErr w:type="gramStart"/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Academia</w:t>
            </w:r>
            <w:r w:rsidR="006D5489" w:rsidRPr="006D548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43BB579E" w14:textId="1C2678C5" w:rsidR="00007F91" w:rsidRPr="006D5489" w:rsidRDefault="00007F91" w:rsidP="006D548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ind w:left="555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Permanent Missions and Embassies in </w:t>
            </w:r>
            <w:proofErr w:type="gramStart"/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Geneva</w:t>
            </w:r>
            <w:r w:rsidR="006D5489" w:rsidRPr="006D548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051D1A5D" w14:textId="0AF3CBA7" w:rsidR="00007F91" w:rsidRPr="00007F91" w:rsidRDefault="00007F91" w:rsidP="006D548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ind w:left="555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Relevant international, regional and national </w:t>
            </w:r>
            <w:proofErr w:type="gramStart"/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organisations</w:t>
            </w:r>
            <w:r w:rsidR="006D5489" w:rsidRPr="006D548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48892166" w14:textId="1B000563" w:rsidR="00007F91" w:rsidRPr="006D5489" w:rsidRDefault="00007F91" w:rsidP="006D548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ind w:left="555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Intergovernmental organizations operating satellite </w:t>
            </w:r>
            <w:proofErr w:type="gramStart"/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systems</w:t>
            </w:r>
            <w:r w:rsidR="006D5489" w:rsidRPr="006D548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68F227F1" w14:textId="45D86DFB" w:rsidR="00007F91" w:rsidRPr="00007F91" w:rsidRDefault="00007F91" w:rsidP="006D548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ind w:left="555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United </w:t>
            </w:r>
            <w:proofErr w:type="gramStart"/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Nations</w:t>
            </w:r>
            <w:r w:rsidR="006D548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;</w:t>
            </w:r>
            <w:proofErr w:type="gramEnd"/>
          </w:p>
          <w:p w14:paraId="69946555" w14:textId="77777777" w:rsidR="00007F91" w:rsidRPr="00007F91" w:rsidRDefault="00007F91" w:rsidP="006D548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ind w:left="555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ab/>
              <w:t>Specialized agencies of the United Nations and the International Atomic Energy Agency</w:t>
            </w:r>
          </w:p>
          <w:p w14:paraId="7D0055BA" w14:textId="77777777" w:rsidR="00007F91" w:rsidRPr="00007F91" w:rsidRDefault="00007F91" w:rsidP="006D5489">
            <w:pPr>
              <w:pStyle w:val="Tabletext"/>
              <w:spacing w:before="0" w:after="2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10E5B756" w14:textId="6ADB5A37" w:rsidR="00007F91" w:rsidRPr="006D5489" w:rsidRDefault="00007F91" w:rsidP="006D5489">
            <w:pPr>
              <w:pStyle w:val="Tabletext"/>
              <w:tabs>
                <w:tab w:val="clear" w:pos="284"/>
              </w:tabs>
              <w:spacing w:before="0" w:after="20"/>
              <w:ind w:left="555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ab/>
              <w:t>The Chairs and Vice-Chairs of</w:t>
            </w:r>
            <w:r w:rsidRPr="00007F91">
              <w:rPr>
                <w:rFonts w:asciiTheme="minorHAnsi" w:hAnsiTheme="minorHAnsi" w:cstheme="minorHAnsi"/>
                <w:sz w:val="22"/>
                <w:szCs w:val="22"/>
                <w:rtl/>
              </w:rPr>
              <w:br/>
            </w:r>
            <w:r w:rsidRPr="00007F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ITU-T 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Study </w:t>
            </w:r>
            <w:proofErr w:type="gramStart"/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Groups</w:t>
            </w:r>
            <w:r w:rsidR="006D5489" w:rsidRPr="006D548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57B70DF8" w14:textId="7C20D31B" w:rsidR="00007F91" w:rsidRPr="006D5489" w:rsidRDefault="00007F91" w:rsidP="006D5489">
            <w:pPr>
              <w:pStyle w:val="Tabletext"/>
              <w:tabs>
                <w:tab w:val="clear" w:pos="284"/>
              </w:tabs>
              <w:spacing w:before="0" w:after="20"/>
              <w:ind w:left="555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Bureau</w:t>
            </w:r>
            <w:r w:rsidR="006D5489" w:rsidRPr="006D548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5984EDB0" w14:textId="249FD7FC" w:rsidR="00007F91" w:rsidRPr="00007F91" w:rsidRDefault="00007F91" w:rsidP="006D5489">
            <w:pPr>
              <w:pStyle w:val="Tabletext"/>
              <w:spacing w:before="0" w:after="20"/>
              <w:ind w:left="66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007F91" w:rsidRPr="00007F91" w14:paraId="218C7AAB" w14:textId="77777777" w:rsidTr="00872354">
        <w:trPr>
          <w:cantSplit/>
          <w:trHeight w:val="221"/>
        </w:trPr>
        <w:tc>
          <w:tcPr>
            <w:tcW w:w="1134" w:type="dxa"/>
          </w:tcPr>
          <w:p w14:paraId="0AF5256F" w14:textId="77777777" w:rsidR="00007F91" w:rsidRPr="006D5489" w:rsidRDefault="00007F91" w:rsidP="006D5489">
            <w:pPr>
              <w:pStyle w:val="Tabletext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5489">
              <w:rPr>
                <w:rFonts w:asciiTheme="minorHAnsi" w:hAnsiTheme="minorHAnsi" w:cstheme="minorHAnsi"/>
                <w:bCs/>
                <w:sz w:val="22"/>
                <w:szCs w:val="22"/>
              </w:rPr>
              <w:t>Tel:</w:t>
            </w:r>
          </w:p>
        </w:tc>
        <w:tc>
          <w:tcPr>
            <w:tcW w:w="3444" w:type="dxa"/>
            <w:gridSpan w:val="2"/>
          </w:tcPr>
          <w:p w14:paraId="79A9C2E7" w14:textId="69E2C47D" w:rsidR="00007F91" w:rsidRPr="00007F91" w:rsidRDefault="00007F91" w:rsidP="00FE00A1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+41 22 730 6301</w:t>
            </w:r>
          </w:p>
        </w:tc>
        <w:tc>
          <w:tcPr>
            <w:tcW w:w="5151" w:type="dxa"/>
            <w:gridSpan w:val="2"/>
            <w:vMerge/>
          </w:tcPr>
          <w:p w14:paraId="00A6FEE0" w14:textId="4760D9E8" w:rsidR="00007F91" w:rsidRPr="00007F91" w:rsidRDefault="00007F91" w:rsidP="00816570">
            <w:pPr>
              <w:pStyle w:val="Tabletext"/>
              <w:spacing w:before="0"/>
              <w:ind w:left="663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F91" w:rsidRPr="00007F91" w14:paraId="4FB22726" w14:textId="77777777" w:rsidTr="00872354">
        <w:trPr>
          <w:cantSplit/>
          <w:trHeight w:val="282"/>
        </w:trPr>
        <w:tc>
          <w:tcPr>
            <w:tcW w:w="1134" w:type="dxa"/>
          </w:tcPr>
          <w:p w14:paraId="254ABACE" w14:textId="77777777" w:rsidR="00007F91" w:rsidRPr="006D5489" w:rsidRDefault="00007F91" w:rsidP="006D5489">
            <w:pPr>
              <w:pStyle w:val="Tabletext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5489">
              <w:rPr>
                <w:rFonts w:asciiTheme="minorHAnsi" w:hAnsiTheme="minorHAnsi" w:cstheme="minorHAnsi"/>
                <w:bCs/>
                <w:sz w:val="22"/>
                <w:szCs w:val="22"/>
              </w:rPr>
              <w:t>Fax:</w:t>
            </w:r>
          </w:p>
        </w:tc>
        <w:tc>
          <w:tcPr>
            <w:tcW w:w="3444" w:type="dxa"/>
            <w:gridSpan w:val="2"/>
          </w:tcPr>
          <w:p w14:paraId="3EED3728" w14:textId="2628A552" w:rsidR="00007F91" w:rsidRPr="00007F91" w:rsidRDefault="00007F91" w:rsidP="00FE00A1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</w:tc>
        <w:tc>
          <w:tcPr>
            <w:tcW w:w="5151" w:type="dxa"/>
            <w:gridSpan w:val="2"/>
            <w:vMerge/>
          </w:tcPr>
          <w:p w14:paraId="2D69D236" w14:textId="157B08D6" w:rsidR="00007F91" w:rsidRPr="00007F91" w:rsidRDefault="00007F91" w:rsidP="00816570">
            <w:pPr>
              <w:pStyle w:val="Tabletext"/>
              <w:spacing w:before="0"/>
              <w:ind w:left="663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F91" w:rsidRPr="00007F91" w14:paraId="5E6C09DD" w14:textId="77777777" w:rsidTr="00FE00A1">
        <w:trPr>
          <w:cantSplit/>
          <w:trHeight w:val="1952"/>
        </w:trPr>
        <w:tc>
          <w:tcPr>
            <w:tcW w:w="1134" w:type="dxa"/>
          </w:tcPr>
          <w:p w14:paraId="0094CC3A" w14:textId="77777777" w:rsidR="00007F91" w:rsidRPr="006D5489" w:rsidRDefault="00007F91" w:rsidP="006D5489">
            <w:pPr>
              <w:pStyle w:val="Tabletext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5489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3444" w:type="dxa"/>
            <w:gridSpan w:val="2"/>
          </w:tcPr>
          <w:p w14:paraId="676B845E" w14:textId="7A07E3C0" w:rsidR="00007F91" w:rsidRPr="00007F91" w:rsidRDefault="00007F91" w:rsidP="00FE00A1">
            <w:pPr>
              <w:pStyle w:val="Tabletext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hyperlink r:id="rId12" w:history="1">
              <w:r w:rsidRPr="00007F9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virtualworlds@itu.int</w:t>
              </w:r>
            </w:hyperlink>
            <w:r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51" w:type="dxa"/>
            <w:gridSpan w:val="2"/>
            <w:vMerge/>
          </w:tcPr>
          <w:p w14:paraId="0170C617" w14:textId="2575E37B" w:rsidR="00007F91" w:rsidRPr="00007F91" w:rsidRDefault="00007F91" w:rsidP="00816570">
            <w:pPr>
              <w:pStyle w:val="Tabletext"/>
              <w:spacing w:before="0"/>
              <w:ind w:left="663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F91" w:rsidRPr="00007F91" w14:paraId="56B4D5C3" w14:textId="77777777" w:rsidTr="00007F91">
        <w:trPr>
          <w:cantSplit/>
          <w:trHeight w:val="1620"/>
        </w:trPr>
        <w:tc>
          <w:tcPr>
            <w:tcW w:w="1134" w:type="dxa"/>
          </w:tcPr>
          <w:p w14:paraId="407C2E4D" w14:textId="77777777" w:rsidR="00007F91" w:rsidRPr="00007F91" w:rsidRDefault="00007F91" w:rsidP="006D5489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4" w:type="dxa"/>
            <w:gridSpan w:val="2"/>
          </w:tcPr>
          <w:p w14:paraId="77090654" w14:textId="77777777" w:rsidR="00007F91" w:rsidRPr="00007F91" w:rsidRDefault="00007F91" w:rsidP="00FE00A1">
            <w:pPr>
              <w:pStyle w:val="Tabletext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51" w:type="dxa"/>
            <w:gridSpan w:val="2"/>
            <w:vMerge/>
          </w:tcPr>
          <w:p w14:paraId="3044B3DC" w14:textId="449063DE" w:rsidR="00007F91" w:rsidRPr="00007F91" w:rsidRDefault="00007F91" w:rsidP="00816570">
            <w:pPr>
              <w:pStyle w:val="Tabletext"/>
              <w:tabs>
                <w:tab w:val="clear" w:pos="284"/>
              </w:tabs>
              <w:spacing w:before="0"/>
              <w:ind w:left="663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007F91" w14:paraId="3D692815" w14:textId="77777777" w:rsidTr="00A73A72">
        <w:trPr>
          <w:cantSplit/>
        </w:trPr>
        <w:tc>
          <w:tcPr>
            <w:tcW w:w="1134" w:type="dxa"/>
          </w:tcPr>
          <w:p w14:paraId="71C35540" w14:textId="3A5EEB69" w:rsidR="00FA46A0" w:rsidRPr="00007F91" w:rsidRDefault="00B61012" w:rsidP="006D5489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595" w:type="dxa"/>
            <w:gridSpan w:val="4"/>
          </w:tcPr>
          <w:p w14:paraId="6DAA681E" w14:textId="50EE182E" w:rsidR="00A73A72" w:rsidRPr="006D5489" w:rsidRDefault="006D5489" w:rsidP="006D5489">
            <w:pPr>
              <w:pStyle w:val="Tabletext"/>
              <w:ind w:right="-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54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First UN </w:t>
            </w:r>
            <w:proofErr w:type="spellStart"/>
            <w:r w:rsidRPr="006D54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Citiverse</w:t>
            </w:r>
            <w:proofErr w:type="spellEnd"/>
            <w:r w:rsidRPr="006D54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Challenge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D54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Award ceremonies: Turin, Italy, June 2025 and Valencia, Spain, October 2025</w:t>
            </w:r>
          </w:p>
        </w:tc>
      </w:tr>
      <w:tr w:rsidR="00A73A72" w:rsidRPr="00007F91" w14:paraId="12D5307A" w14:textId="77777777" w:rsidTr="00A73A72">
        <w:trPr>
          <w:trHeight w:val="711"/>
        </w:trPr>
        <w:tc>
          <w:tcPr>
            <w:tcW w:w="9729" w:type="dxa"/>
            <w:gridSpan w:val="5"/>
          </w:tcPr>
          <w:p w14:paraId="1A6C466B" w14:textId="77777777" w:rsidR="00A73A72" w:rsidRPr="00007F91" w:rsidRDefault="00A73A72" w:rsidP="00AF1F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Dear Sir/Madam,</w:t>
            </w:r>
          </w:p>
          <w:p w14:paraId="46D647CB" w14:textId="05484E82" w:rsidR="00A73A72" w:rsidRPr="00007F91" w:rsidRDefault="00A73A72" w:rsidP="00A73A72">
            <w:pPr>
              <w:tabs>
                <w:tab w:val="clear" w:pos="794"/>
                <w:tab w:val="clear" w:pos="1191"/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It is my pleasure to invite you to participate in the </w:t>
            </w:r>
            <w:r w:rsidR="00945F19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First UN </w:t>
            </w:r>
            <w:proofErr w:type="spellStart"/>
            <w:r w:rsidR="00945F19" w:rsidRPr="00007F91">
              <w:rPr>
                <w:rFonts w:asciiTheme="minorHAnsi" w:hAnsiTheme="minorHAnsi" w:cstheme="minorHAnsi"/>
                <w:sz w:val="22"/>
                <w:szCs w:val="22"/>
              </w:rPr>
              <w:t>Citiverse</w:t>
            </w:r>
            <w:proofErr w:type="spellEnd"/>
            <w:r w:rsidR="00945F19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Challenge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, with the theme “</w:t>
            </w:r>
            <w:proofErr w:type="spellStart"/>
            <w:r w:rsidR="00E11813" w:rsidRPr="00007F91">
              <w:rPr>
                <w:rFonts w:asciiTheme="minorHAnsi" w:hAnsiTheme="minorHAnsi" w:cstheme="minorHAnsi"/>
                <w:sz w:val="22"/>
                <w:szCs w:val="22"/>
              </w:rPr>
              <w:t>Citiverse</w:t>
            </w:r>
            <w:proofErr w:type="spellEnd"/>
            <w:r w:rsidR="00E11813" w:rsidRPr="00007F91">
              <w:rPr>
                <w:rFonts w:asciiTheme="minorHAnsi" w:hAnsiTheme="minorHAnsi" w:cstheme="minorHAnsi"/>
                <w:sz w:val="22"/>
                <w:szCs w:val="22"/>
              </w:rPr>
              <w:t>: Designing Digital Public Infrastructure of Future Cities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”, co-organized by the International Telecommunication Union (ITU), </w:t>
            </w:r>
            <w:r w:rsidR="00E7238B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the International Training Centre of the International Labour Organization (ITCILO), 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the United Nations International Computing Centre (UNICC), the Food and Agriculture Organization of the United Nations (FAO)</w:t>
            </w:r>
            <w:r w:rsidR="00E7238B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D1EA7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UN Tourism, </w:t>
            </w:r>
            <w:r w:rsidR="00C05541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the United Nations International Children’s Emergency Fund (UNICEF), </w:t>
            </w:r>
            <w:r w:rsidR="00D97A57" w:rsidRPr="00007F91">
              <w:rPr>
                <w:rFonts w:asciiTheme="minorHAnsi" w:hAnsiTheme="minorHAnsi" w:cstheme="minorHAnsi"/>
                <w:sz w:val="22"/>
                <w:szCs w:val="22"/>
              </w:rPr>
              <w:t>the World Intellectual Property Organization (WIPO), the World Bank,</w:t>
            </w:r>
            <w:r w:rsidR="00656B40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Digital Dubai, </w:t>
            </w:r>
            <w:r w:rsidR="00AF1F83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656B40" w:rsidRPr="00007F91">
              <w:rPr>
                <w:rFonts w:asciiTheme="minorHAnsi" w:hAnsiTheme="minorHAnsi" w:cstheme="minorHAnsi"/>
                <w:sz w:val="22"/>
                <w:szCs w:val="22"/>
              </w:rPr>
              <w:t>City of Tampere</w:t>
            </w:r>
            <w:r w:rsidR="005B1286" w:rsidRPr="00007F9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56B40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1F83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653311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City of Valencia, </w:t>
            </w:r>
            <w:proofErr w:type="spellStart"/>
            <w:r w:rsidR="00656B40" w:rsidRPr="00007F91">
              <w:rPr>
                <w:rFonts w:asciiTheme="minorHAnsi" w:hAnsiTheme="minorHAnsi" w:cstheme="minorHAnsi"/>
                <w:sz w:val="22"/>
                <w:szCs w:val="22"/>
              </w:rPr>
              <w:t>Universitat</w:t>
            </w:r>
            <w:proofErr w:type="spellEnd"/>
            <w:r w:rsidR="00656B40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56B40" w:rsidRPr="00007F91">
              <w:rPr>
                <w:rFonts w:asciiTheme="minorHAnsi" w:hAnsiTheme="minorHAnsi" w:cstheme="minorHAnsi"/>
                <w:sz w:val="22"/>
                <w:szCs w:val="22"/>
              </w:rPr>
              <w:t>Autònoma</w:t>
            </w:r>
            <w:proofErr w:type="spellEnd"/>
            <w:r w:rsidR="00656B40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de Barcelona</w:t>
            </w:r>
            <w:r w:rsidR="005B1286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AF1F83" w:rsidRPr="00007F9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B1286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Open &amp; Agile Smart Cities (OASC)</w:t>
            </w:r>
            <w:r w:rsidR="00656B40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58D172E" w14:textId="604A3DD2" w:rsidR="00A73A72" w:rsidRPr="00007F91" w:rsidRDefault="00A73A72" w:rsidP="00A73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</w:t>
            </w:r>
            <w:r w:rsidR="005E49A2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First UN </w:t>
            </w:r>
            <w:proofErr w:type="spellStart"/>
            <w:r w:rsidR="005E49A2" w:rsidRPr="00007F91">
              <w:rPr>
                <w:rFonts w:asciiTheme="minorHAnsi" w:hAnsiTheme="minorHAnsi" w:cstheme="minorHAnsi"/>
                <w:sz w:val="22"/>
                <w:szCs w:val="22"/>
              </w:rPr>
              <w:t>Citiverse</w:t>
            </w:r>
            <w:proofErr w:type="spellEnd"/>
            <w:r w:rsidR="005E49A2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Challenge 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aims to </w:t>
            </w:r>
            <w:r w:rsidR="005E49A2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bring together youth and startups to leverage their ideas and virtual world technologies. It will also provide an exclusive opportunity for young innovators and startups to contribute to pre-standardization efforts, exploring innovative solutions that could influence the development of international standards for the </w:t>
            </w:r>
            <w:proofErr w:type="spellStart"/>
            <w:r w:rsidR="005E49A2" w:rsidRPr="00007F91">
              <w:rPr>
                <w:rFonts w:asciiTheme="minorHAnsi" w:hAnsiTheme="minorHAnsi" w:cstheme="minorHAnsi"/>
                <w:sz w:val="22"/>
                <w:szCs w:val="22"/>
              </w:rPr>
              <w:t>citiverse</w:t>
            </w:r>
            <w:proofErr w:type="spellEnd"/>
            <w:r w:rsidR="005E49A2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and digital public infrastructure. </w:t>
            </w:r>
          </w:p>
          <w:p w14:paraId="30BF10C9" w14:textId="72E92999" w:rsidR="00A73A72" w:rsidRPr="00007F91" w:rsidRDefault="00A73A72" w:rsidP="00A73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4F095A" w:rsidRPr="00007F91">
              <w:rPr>
                <w:rFonts w:asciiTheme="minorHAnsi" w:hAnsiTheme="minorHAnsi" w:cstheme="minorHAnsi"/>
                <w:sz w:val="22"/>
                <w:szCs w:val="22"/>
              </w:rPr>
              <w:t>The challenge will focus on the following themes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CF3B707" w14:textId="4B5EE654" w:rsidR="00A73A72" w:rsidRPr="00007F91" w:rsidRDefault="00B959AB" w:rsidP="00A73A72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Access to Public Services: </w:t>
            </w:r>
            <w:r w:rsidRPr="00007F91">
              <w:rPr>
                <w:rFonts w:asciiTheme="minorHAnsi" w:hAnsiTheme="minorHAnsi" w:cstheme="minorHAnsi"/>
                <w:bCs/>
                <w:sz w:val="22"/>
                <w:szCs w:val="22"/>
              </w:rPr>
              <w:t>Redesign digital identity and financial systems to empower underserved populations, ensuring inclusivity and equity</w:t>
            </w:r>
            <w:r w:rsidRPr="00007F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73A72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(SDG 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73A72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C43DC" w:rsidRPr="00007F91">
              <w:rPr>
                <w:rFonts w:asciiTheme="minorHAnsi" w:hAnsiTheme="minorHAnsi" w:cstheme="minorHAnsi"/>
                <w:sz w:val="22"/>
                <w:szCs w:val="22"/>
              </w:rPr>
              <w:t>No Poverty; SDG 11: Sustainable Cities and Communities</w:t>
            </w:r>
            <w:r w:rsidR="00A73A72" w:rsidRPr="00007F9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F1F83" w:rsidRPr="00007F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CC15060" w14:textId="10B20594" w:rsidR="00A73A72" w:rsidRPr="00007F91" w:rsidRDefault="00F95F87" w:rsidP="00A73A72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Sustainability and Resilience: </w:t>
            </w:r>
            <w:r w:rsidRPr="00007F91">
              <w:rPr>
                <w:rFonts w:asciiTheme="minorHAnsi" w:hAnsiTheme="minorHAnsi" w:cstheme="minorHAnsi"/>
                <w:bCs/>
                <w:sz w:val="22"/>
                <w:szCs w:val="22"/>
              </w:rPr>
              <w:t>Develop open, interoperable digital infrastructure to enhance energy access, optimize resources, and improve climate adaptation and disaster preparedness</w:t>
            </w:r>
            <w:r w:rsidR="00A73A72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(SDG 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A73A72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6B5D5C" w:rsidRPr="00007F91">
              <w:rPr>
                <w:rFonts w:asciiTheme="minorHAnsi" w:hAnsiTheme="minorHAnsi" w:cstheme="minorHAnsi"/>
                <w:sz w:val="22"/>
                <w:szCs w:val="22"/>
              </w:rPr>
              <w:t>Affordable and Clean Energy;</w:t>
            </w:r>
            <w:r w:rsidR="00A73A72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SDG 13: Climate Action).</w:t>
            </w:r>
          </w:p>
          <w:p w14:paraId="3F353BA1" w14:textId="649B4B18" w:rsidR="00A73A72" w:rsidRPr="00007F91" w:rsidRDefault="00BD5ED7" w:rsidP="00A73A72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Tourism and Digital Culture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: Create solutions that preserve cultural heritage, enhance accessibility, and foster immersive, inclusive cultural experiences</w:t>
            </w:r>
            <w:r w:rsidR="00A73A72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. (SDG 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A73A72" w:rsidRPr="00007F91">
              <w:rPr>
                <w:rFonts w:asciiTheme="minorHAnsi" w:hAnsiTheme="minorHAnsi" w:cstheme="minorHAnsi"/>
                <w:sz w:val="22"/>
                <w:szCs w:val="22"/>
              </w:rPr>
              <w:t>: Peace, Justice, and Strong Institutions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; SDG 11: Sustainable Cities and Communities</w:t>
            </w:r>
            <w:r w:rsidR="00A73A72" w:rsidRPr="00007F91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6923947C" w14:textId="0F717548" w:rsidR="00A73A72" w:rsidRPr="00007F91" w:rsidRDefault="00AE3DEE" w:rsidP="00A73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  <w:r w:rsidR="00A73A72" w:rsidRPr="00007F9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Participation in the </w:t>
            </w:r>
            <w:r w:rsidR="00473021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UN </w:t>
            </w:r>
            <w:proofErr w:type="spellStart"/>
            <w:r w:rsidR="00473021" w:rsidRPr="00007F91">
              <w:rPr>
                <w:rFonts w:asciiTheme="minorHAnsi" w:hAnsiTheme="minorHAnsi" w:cstheme="minorHAnsi"/>
                <w:sz w:val="22"/>
                <w:szCs w:val="22"/>
              </w:rPr>
              <w:t>Citiverse</w:t>
            </w:r>
            <w:proofErr w:type="spellEnd"/>
            <w:r w:rsidR="00473021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Challenge</w:t>
            </w:r>
            <w:r w:rsidR="00A73A72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is free of charge and open to </w:t>
            </w:r>
            <w:r w:rsidR="004F095A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both </w:t>
            </w:r>
            <w:r w:rsidR="00473021" w:rsidRPr="00007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youth</w:t>
            </w:r>
            <w:r w:rsidR="00473021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473021" w:rsidRPr="00007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startups</w:t>
            </w:r>
            <w:r w:rsidR="00A73A72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. Interested </w:t>
            </w:r>
            <w:r w:rsidR="00FD4756" w:rsidRPr="00007F91">
              <w:rPr>
                <w:rFonts w:asciiTheme="minorHAnsi" w:hAnsiTheme="minorHAnsi" w:cstheme="minorHAnsi"/>
                <w:sz w:val="22"/>
                <w:szCs w:val="22"/>
              </w:rPr>
              <w:t>participants</w:t>
            </w:r>
            <w:r w:rsidR="00A73A72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can register and participate in the </w:t>
            </w:r>
            <w:r w:rsidR="00FD4756" w:rsidRPr="00007F91">
              <w:rPr>
                <w:rFonts w:asciiTheme="minorHAnsi" w:hAnsiTheme="minorHAnsi" w:cstheme="minorHAnsi"/>
                <w:sz w:val="22"/>
                <w:szCs w:val="22"/>
              </w:rPr>
              <w:t>Challenge</w:t>
            </w:r>
            <w:r w:rsidR="00A73A72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3" w:history="1">
              <w:r w:rsidR="006A0CF9" w:rsidRPr="00007F9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here</w:t>
              </w:r>
            </w:hyperlink>
            <w:r w:rsidR="006A0CF9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73A72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Registration is open until </w:t>
            </w:r>
            <w:r w:rsidR="00962710" w:rsidRPr="00007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  <w:r w:rsidR="00AF1F83" w:rsidRPr="00007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="00962710" w:rsidRPr="00007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March 2025</w:t>
            </w:r>
            <w:r w:rsidR="00A73A72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A73A72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proposals need to be submitted by the same date.</w:t>
            </w:r>
          </w:p>
          <w:p w14:paraId="2E4FF7AC" w14:textId="2E285CE9" w:rsidR="00AE3DEE" w:rsidRPr="00007F91" w:rsidRDefault="00AE3DEE" w:rsidP="00A73A72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54E25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The prizes include </w:t>
            </w:r>
            <w:r w:rsidR="00854E25" w:rsidRPr="00007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5,000 CHF</w:t>
            </w:r>
            <w:r w:rsidR="00854E25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for the </w:t>
            </w:r>
            <w:r w:rsidR="00854E25" w:rsidRPr="00007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youth category</w:t>
            </w:r>
            <w:r w:rsidR="00854E25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854E25" w:rsidRPr="00007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5,000 CHF</w:t>
            </w:r>
            <w:r w:rsidR="00854E25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for the </w:t>
            </w:r>
            <w:r w:rsidR="00854E25" w:rsidRPr="00007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startups category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42504" w:rsidRPr="00007F91">
              <w:rPr>
                <w:rFonts w:asciiTheme="minorHAnsi" w:hAnsiTheme="minorHAnsi" w:cstheme="minorHAnsi"/>
                <w:sz w:val="22"/>
                <w:szCs w:val="22"/>
              </w:rPr>
              <w:t>The award ceremony for the youth</w:t>
            </w:r>
            <w:r w:rsidR="00D9001A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category winners will take place during the UN Virtual Worlds Day on 11-12 June 2025, in Turin, Italy. The award ceremony for the startup category winners will take place during the Valencia Digital Summit in October 2025, in Valencia, Spain.</w:t>
            </w:r>
            <w:r w:rsidR="002D3231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3231" w:rsidRPr="00007F91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Details of the </w:t>
            </w:r>
            <w:r w:rsidR="002D3231" w:rsidRPr="00007F91">
              <w:rPr>
                <w:rFonts w:asciiTheme="minorHAnsi" w:hAnsiTheme="minorHAnsi" w:cstheme="minorHAnsi"/>
                <w:sz w:val="22"/>
                <w:szCs w:val="22"/>
              </w:rPr>
              <w:t>Second UN Virtual Worlds Day</w:t>
            </w:r>
            <w:r w:rsidR="002D3231" w:rsidRPr="00007F91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are available in </w:t>
            </w:r>
            <w:hyperlink r:id="rId14" w:history="1">
              <w:r w:rsidR="002D3231" w:rsidRPr="00007F9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val="en-US"/>
                </w:rPr>
                <w:t xml:space="preserve">Circular </w:t>
              </w:r>
              <w:r w:rsidR="006A0CF9" w:rsidRPr="00007F9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val="en-US"/>
                </w:rPr>
                <w:t>22</w:t>
              </w:r>
            </w:hyperlink>
            <w:r w:rsidR="002D3231" w:rsidRPr="00007F91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and on the </w:t>
            </w:r>
            <w:hyperlink r:id="rId15" w:history="1">
              <w:r w:rsidR="002D3231" w:rsidRPr="00007F9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val="en-US"/>
                </w:rPr>
                <w:t>event webpage</w:t>
              </w:r>
            </w:hyperlink>
            <w:r w:rsidR="002D3231" w:rsidRPr="00007F91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.</w:t>
            </w:r>
          </w:p>
          <w:p w14:paraId="06C134BA" w14:textId="28E53B9D" w:rsidR="00C06D67" w:rsidRPr="00007F91" w:rsidRDefault="00A73A72" w:rsidP="00A73A7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  <w:tab w:val="left" w:pos="851"/>
              </w:tabs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07F91"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ab/>
              <w:t xml:space="preserve">Information relating to the </w:t>
            </w:r>
            <w:r w:rsidR="004963C0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UN </w:t>
            </w:r>
            <w:proofErr w:type="spellStart"/>
            <w:r w:rsidR="004963C0" w:rsidRPr="00007F91">
              <w:rPr>
                <w:rFonts w:asciiTheme="minorHAnsi" w:hAnsiTheme="minorHAnsi" w:cstheme="minorHAnsi"/>
                <w:sz w:val="22"/>
                <w:szCs w:val="22"/>
              </w:rPr>
              <w:t>Citiverse</w:t>
            </w:r>
            <w:proofErr w:type="spellEnd"/>
            <w:r w:rsidR="004963C0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Challenge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, including the timeline, format and proposed </w:t>
            </w:r>
            <w:r w:rsidR="004963C0" w:rsidRPr="00007F91">
              <w:rPr>
                <w:rFonts w:asciiTheme="minorHAnsi" w:hAnsiTheme="minorHAnsi" w:cstheme="minorHAnsi"/>
                <w:sz w:val="22"/>
                <w:szCs w:val="22"/>
              </w:rPr>
              <w:t>problem statements</w:t>
            </w:r>
            <w:r w:rsidRPr="00007F91"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, 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is available </w:t>
            </w:r>
            <w:hyperlink r:id="rId16" w:history="1">
              <w:r w:rsidR="006A0CF9" w:rsidRPr="00007F9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here</w:t>
              </w:r>
            </w:hyperlink>
            <w:r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. Please check the homepage periodically for new </w:t>
            </w:r>
            <w:r w:rsidRPr="00007F91"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updates.</w:t>
            </w:r>
          </w:p>
          <w:p w14:paraId="4C772BB9" w14:textId="0B7F0D29" w:rsidR="00A73A72" w:rsidRPr="00007F91" w:rsidRDefault="00C06D67" w:rsidP="00C06D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  <w:tab w:val="left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007F91"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ab/>
            </w:r>
            <w:r w:rsidR="00A73A72" w:rsidRPr="00007F91"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For additional information and questions relating to the </w:t>
            </w:r>
            <w:r w:rsidR="004963C0" w:rsidRPr="00007F91">
              <w:rPr>
                <w:rFonts w:asciiTheme="minorHAnsi" w:hAnsiTheme="minorHAnsi" w:cstheme="minorHAnsi"/>
                <w:sz w:val="22"/>
                <w:szCs w:val="22"/>
              </w:rPr>
              <w:t>Challenge</w:t>
            </w:r>
            <w:r w:rsidR="00A73A72" w:rsidRPr="00007F91"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, please</w:t>
            </w:r>
            <w:r w:rsidR="00A73A72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contact</w:t>
            </w:r>
            <w:r w:rsidR="00D833C7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1F83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Ms </w:t>
            </w:r>
            <w:r w:rsidR="00D833C7" w:rsidRPr="00007F91">
              <w:rPr>
                <w:rFonts w:asciiTheme="minorHAnsi" w:hAnsiTheme="minorHAnsi" w:cstheme="minorHAnsi"/>
                <w:sz w:val="22"/>
                <w:szCs w:val="22"/>
              </w:rPr>
              <w:t>Yining Zhao</w:t>
            </w:r>
            <w:r w:rsidR="00AF1F83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by email at</w:t>
            </w:r>
            <w:r w:rsidR="00B17B06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7" w:history="1">
              <w:r w:rsidR="00B17B06" w:rsidRPr="00007F9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virtualworlds@itu.int</w:t>
              </w:r>
            </w:hyperlink>
            <w:r w:rsidR="00A73A72" w:rsidRPr="00007F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348"/>
      </w:tblGrid>
      <w:tr w:rsidR="007F45B7" w:rsidRPr="00007F91" w14:paraId="379DCA91" w14:textId="77777777" w:rsidTr="00007F91">
        <w:trPr>
          <w:cantSplit/>
          <w:trHeight w:val="1134"/>
        </w:trPr>
        <w:tc>
          <w:tcPr>
            <w:tcW w:w="7371" w:type="dxa"/>
            <w:tcBorders>
              <w:right w:val="single" w:sz="4" w:space="0" w:color="auto"/>
            </w:tcBorders>
          </w:tcPr>
          <w:p w14:paraId="36E9925F" w14:textId="6E14448E" w:rsidR="00956F15" w:rsidRPr="00007F91" w:rsidRDefault="00601FEE" w:rsidP="00007F91">
            <w:pPr>
              <w:spacing w:before="240" w:after="120"/>
              <w:ind w:left="-115" w:firstLine="115"/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Yours faithfully,</w:t>
            </w:r>
          </w:p>
          <w:p w14:paraId="3005ACB9" w14:textId="4665C6AB" w:rsidR="007F45B7" w:rsidRPr="00007F91" w:rsidRDefault="00BA514E" w:rsidP="00007F91">
            <w:pPr>
              <w:spacing w:before="84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44918B2" wp14:editId="6AE860A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13970</wp:posOffset>
                  </wp:positionV>
                  <wp:extent cx="711200" cy="368300"/>
                  <wp:effectExtent l="0" t="0" r="0" b="0"/>
                  <wp:wrapNone/>
                  <wp:docPr id="864402485" name="Picture 2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402485" name="Picture 2" descr="A black text on a white background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56F15" w:rsidRPr="00007F91">
              <w:rPr>
                <w:rFonts w:asciiTheme="minorHAnsi" w:hAnsiTheme="minorHAnsi" w:cstheme="minorHAnsi"/>
                <w:sz w:val="22"/>
                <w:szCs w:val="22"/>
              </w:rPr>
              <w:t>Seizo Onoe</w:t>
            </w:r>
            <w:r w:rsidR="00956F15" w:rsidRPr="00007F9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F45B7" w:rsidRPr="00007F91">
              <w:rPr>
                <w:rFonts w:asciiTheme="minorHAnsi" w:hAnsiTheme="minorHAnsi" w:cstheme="minorHAnsi"/>
                <w:sz w:val="22"/>
                <w:szCs w:val="22"/>
              </w:rPr>
              <w:t>Director of the Telecommunication</w:t>
            </w:r>
            <w:r w:rsidR="007F45B7" w:rsidRPr="00007F91">
              <w:rPr>
                <w:rFonts w:asciiTheme="minorHAnsi" w:hAnsiTheme="minorHAnsi" w:cstheme="minorHAnsi"/>
                <w:sz w:val="22"/>
                <w:szCs w:val="22"/>
              </w:rPr>
              <w:br/>
              <w:t>Standardization Bureau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5D34EF" w14:textId="69B3B8CA" w:rsidR="007F45B7" w:rsidRPr="00007F91" w:rsidRDefault="00751A9C" w:rsidP="00007F91">
            <w:pPr>
              <w:spacing w:before="0" w:after="12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EC51A97" wp14:editId="436D4F46">
                  <wp:extent cx="988201" cy="988201"/>
                  <wp:effectExtent l="0" t="0" r="2540" b="2540"/>
                  <wp:docPr id="752273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2739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201" cy="988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45B7"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4C012CA" w14:textId="2A6A6CF7" w:rsidR="007F45B7" w:rsidRPr="00007F91" w:rsidRDefault="00B05208" w:rsidP="004A10E3">
            <w:pPr>
              <w:spacing w:before="0" w:after="12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7F91">
              <w:rPr>
                <w:rFonts w:asciiTheme="minorHAnsi" w:hAnsiTheme="minorHAnsi" w:cstheme="minorHAnsi"/>
                <w:sz w:val="22"/>
                <w:szCs w:val="22"/>
              </w:rPr>
              <w:t xml:space="preserve">More </w:t>
            </w:r>
            <w:r w:rsidR="007F45B7" w:rsidRPr="00007F91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</w:p>
        </w:tc>
      </w:tr>
    </w:tbl>
    <w:p w14:paraId="4BB6174C" w14:textId="3C6482AE" w:rsidR="007F45B7" w:rsidRPr="000B4DF3" w:rsidRDefault="007F45B7" w:rsidP="00FE00A1">
      <w:pPr>
        <w:spacing w:before="0" w:after="120"/>
        <w:rPr>
          <w:rFonts w:asciiTheme="minorHAnsi" w:hAnsiTheme="minorHAnsi" w:cstheme="minorHAnsi"/>
          <w:sz w:val="22"/>
          <w:szCs w:val="22"/>
        </w:rPr>
      </w:pPr>
    </w:p>
    <w:sectPr w:rsidR="007F45B7" w:rsidRPr="000B4DF3" w:rsidSect="00C24502">
      <w:headerReference w:type="default" r:id="rId20"/>
      <w:footerReference w:type="first" r:id="rId21"/>
      <w:type w:val="oddPage"/>
      <w:pgSz w:w="11907" w:h="16834" w:code="9"/>
      <w:pgMar w:top="567" w:right="1089" w:bottom="851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47C0B" w14:textId="77777777" w:rsidR="00072FBD" w:rsidRDefault="00072FBD">
      <w:r>
        <w:separator/>
      </w:r>
    </w:p>
  </w:endnote>
  <w:endnote w:type="continuationSeparator" w:id="0">
    <w:p w14:paraId="2B7FDB85" w14:textId="77777777" w:rsidR="00072FBD" w:rsidRDefault="00072FBD">
      <w:r>
        <w:continuationSeparator/>
      </w:r>
    </w:p>
  </w:endnote>
  <w:endnote w:type="continuationNotice" w:id="1">
    <w:p w14:paraId="7A41BAA7" w14:textId="77777777" w:rsidR="00670CEC" w:rsidRDefault="00670CE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D308" w14:textId="77777777" w:rsidR="00114254" w:rsidRPr="00C24502" w:rsidRDefault="00114254">
    <w:pPr>
      <w:pStyle w:val="FirstFooter"/>
      <w:ind w:left="-397" w:right="-397"/>
      <w:jc w:val="center"/>
      <w:rPr>
        <w:color w:val="0070C0"/>
      </w:rPr>
    </w:pPr>
    <w:r w:rsidRPr="00C24502">
      <w:rPr>
        <w:color w:val="0070C0"/>
        <w:sz w:val="18"/>
        <w:szCs w:val="18"/>
      </w:rPr>
      <w:t>International Telecommunication Union • Place des Nations • CH-1211 Geneva 20 • Switzerland</w:t>
    </w:r>
    <w:r w:rsidRPr="00C24502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C24502">
        <w:rPr>
          <w:rStyle w:val="Hyperlink"/>
          <w:color w:val="0070C0"/>
          <w:sz w:val="18"/>
          <w:szCs w:val="18"/>
        </w:rPr>
        <w:t>itumail@itu.int</w:t>
      </w:r>
    </w:hyperlink>
    <w:r w:rsidRPr="00C24502">
      <w:rPr>
        <w:color w:val="0070C0"/>
        <w:sz w:val="18"/>
        <w:szCs w:val="18"/>
      </w:rPr>
      <w:t xml:space="preserve"> • </w:t>
    </w:r>
    <w:hyperlink r:id="rId2" w:history="1">
      <w:r w:rsidRPr="00C2450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E0028" w14:textId="77777777" w:rsidR="00072FBD" w:rsidRDefault="00072FBD">
      <w:r>
        <w:t>____________________</w:t>
      </w:r>
    </w:p>
  </w:footnote>
  <w:footnote w:type="continuationSeparator" w:id="0">
    <w:p w14:paraId="7264B8D2" w14:textId="77777777" w:rsidR="00072FBD" w:rsidRDefault="00072FBD">
      <w:r>
        <w:continuationSeparator/>
      </w:r>
    </w:p>
  </w:footnote>
  <w:footnote w:type="continuationNotice" w:id="1">
    <w:p w14:paraId="6AF52DF8" w14:textId="77777777" w:rsidR="00670CEC" w:rsidRDefault="00670CE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6C20C" w14:textId="39D98570" w:rsidR="00114254" w:rsidRDefault="00114254" w:rsidP="00C24502">
    <w:pPr>
      <w:pStyle w:val="Header"/>
      <w:spacing w:after="240"/>
    </w:pPr>
    <w:r w:rsidRPr="000B4DF3">
      <w:t xml:space="preserve">- </w:t>
    </w:r>
    <w:r w:rsidRPr="000B4DF3">
      <w:fldChar w:fldCharType="begin"/>
    </w:r>
    <w:r w:rsidRPr="000B4DF3">
      <w:instrText xml:space="preserve"> PAGE   \* MERGEFORMAT </w:instrText>
    </w:r>
    <w:r w:rsidRPr="000B4DF3">
      <w:fldChar w:fldCharType="separate"/>
    </w:r>
    <w:r w:rsidR="00FC5C1C" w:rsidRPr="000B4DF3">
      <w:rPr>
        <w:noProof/>
      </w:rPr>
      <w:t>2</w:t>
    </w:r>
    <w:r w:rsidRPr="000B4DF3">
      <w:rPr>
        <w:noProof/>
      </w:rPr>
      <w:fldChar w:fldCharType="end"/>
    </w:r>
    <w:r w:rsidRPr="000B4DF3">
      <w:rPr>
        <w:noProof/>
      </w:rPr>
      <w:t xml:space="preserve"> -</w:t>
    </w:r>
    <w:r w:rsidRPr="000B4DF3">
      <w:rPr>
        <w:noProof/>
      </w:rPr>
      <w:br/>
    </w:r>
    <w:r w:rsidR="00220528" w:rsidRPr="00220528">
      <w:rPr>
        <w:noProof/>
      </w:rPr>
      <w:t xml:space="preserve">TSB Circular </w:t>
    </w:r>
    <w:r w:rsidR="00C06D67">
      <w:rPr>
        <w:noProof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8699D"/>
    <w:multiLevelType w:val="hybridMultilevel"/>
    <w:tmpl w:val="FF20F686"/>
    <w:lvl w:ilvl="0" w:tplc="EBAE24A4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67EAE"/>
    <w:multiLevelType w:val="multilevel"/>
    <w:tmpl w:val="12267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20D77"/>
    <w:multiLevelType w:val="multilevel"/>
    <w:tmpl w:val="658661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90B5F81"/>
    <w:multiLevelType w:val="hybridMultilevel"/>
    <w:tmpl w:val="56FC6E42"/>
    <w:lvl w:ilvl="0" w:tplc="264475B6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94204"/>
    <w:multiLevelType w:val="hybridMultilevel"/>
    <w:tmpl w:val="05365D78"/>
    <w:lvl w:ilvl="0" w:tplc="08090005">
      <w:start w:val="1"/>
      <w:numFmt w:val="bullet"/>
      <w:lvlText w:val=""/>
      <w:lvlJc w:val="left"/>
      <w:pPr>
        <w:ind w:left="1155" w:hanging="79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1C5"/>
    <w:multiLevelType w:val="multilevel"/>
    <w:tmpl w:val="213D6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C0F3E"/>
    <w:multiLevelType w:val="hybridMultilevel"/>
    <w:tmpl w:val="7BBAF588"/>
    <w:lvl w:ilvl="0" w:tplc="31EC9F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F6CC1"/>
    <w:multiLevelType w:val="multilevel"/>
    <w:tmpl w:val="36BF6C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95F13"/>
    <w:multiLevelType w:val="hybridMultilevel"/>
    <w:tmpl w:val="28E89BF8"/>
    <w:lvl w:ilvl="0" w:tplc="0F82649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02869"/>
    <w:multiLevelType w:val="multilevel"/>
    <w:tmpl w:val="EDE2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1E4D7B"/>
    <w:multiLevelType w:val="hybridMultilevel"/>
    <w:tmpl w:val="6B4CCE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C72B9"/>
    <w:multiLevelType w:val="hybridMultilevel"/>
    <w:tmpl w:val="1B82AC1C"/>
    <w:lvl w:ilvl="0" w:tplc="2AA8B89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2232F"/>
    <w:multiLevelType w:val="hybridMultilevel"/>
    <w:tmpl w:val="FFF86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8452A7"/>
    <w:multiLevelType w:val="hybridMultilevel"/>
    <w:tmpl w:val="2EDAC584"/>
    <w:lvl w:ilvl="0" w:tplc="116A654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35F14"/>
    <w:multiLevelType w:val="hybridMultilevel"/>
    <w:tmpl w:val="C4B4E4D0"/>
    <w:lvl w:ilvl="0" w:tplc="C3088982">
      <w:numFmt w:val="bullet"/>
      <w:lvlText w:val="–"/>
      <w:lvlJc w:val="left"/>
      <w:pPr>
        <w:ind w:left="1155" w:hanging="795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B0ECA"/>
    <w:multiLevelType w:val="hybridMultilevel"/>
    <w:tmpl w:val="B1D263D8"/>
    <w:lvl w:ilvl="0" w:tplc="FE8002E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B5B1C"/>
    <w:multiLevelType w:val="hybridMultilevel"/>
    <w:tmpl w:val="0CF2ED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41561"/>
    <w:multiLevelType w:val="hybridMultilevel"/>
    <w:tmpl w:val="D240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A6F36"/>
    <w:multiLevelType w:val="hybridMultilevel"/>
    <w:tmpl w:val="3C96AC4C"/>
    <w:lvl w:ilvl="0" w:tplc="7C2C3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723590"/>
    <w:multiLevelType w:val="multilevel"/>
    <w:tmpl w:val="31B8CA02"/>
    <w:lvl w:ilvl="0">
      <w:start w:val="1"/>
      <w:numFmt w:val="bullet"/>
      <w:lvlText w:val="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6B7254F"/>
    <w:multiLevelType w:val="hybridMultilevel"/>
    <w:tmpl w:val="7A42D270"/>
    <w:lvl w:ilvl="0" w:tplc="E17E4BB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D66A9"/>
    <w:multiLevelType w:val="hybridMultilevel"/>
    <w:tmpl w:val="4B0A3FA6"/>
    <w:lvl w:ilvl="0" w:tplc="0F82649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90224">
    <w:abstractNumId w:val="9"/>
  </w:num>
  <w:num w:numId="2" w16cid:durableId="1583416746">
    <w:abstractNumId w:val="7"/>
  </w:num>
  <w:num w:numId="3" w16cid:durableId="2021155601">
    <w:abstractNumId w:val="6"/>
  </w:num>
  <w:num w:numId="4" w16cid:durableId="73170365">
    <w:abstractNumId w:val="5"/>
  </w:num>
  <w:num w:numId="5" w16cid:durableId="764152136">
    <w:abstractNumId w:val="4"/>
  </w:num>
  <w:num w:numId="6" w16cid:durableId="897284385">
    <w:abstractNumId w:val="8"/>
  </w:num>
  <w:num w:numId="7" w16cid:durableId="716899370">
    <w:abstractNumId w:val="3"/>
  </w:num>
  <w:num w:numId="8" w16cid:durableId="373045669">
    <w:abstractNumId w:val="2"/>
  </w:num>
  <w:num w:numId="9" w16cid:durableId="2016107181">
    <w:abstractNumId w:val="1"/>
  </w:num>
  <w:num w:numId="10" w16cid:durableId="1615821364">
    <w:abstractNumId w:val="0"/>
  </w:num>
  <w:num w:numId="11" w16cid:durableId="24792855">
    <w:abstractNumId w:val="16"/>
  </w:num>
  <w:num w:numId="12" w16cid:durableId="1229920914">
    <w:abstractNumId w:val="36"/>
  </w:num>
  <w:num w:numId="13" w16cid:durableId="911164175">
    <w:abstractNumId w:val="31"/>
  </w:num>
  <w:num w:numId="14" w16cid:durableId="938639230">
    <w:abstractNumId w:val="17"/>
  </w:num>
  <w:num w:numId="15" w16cid:durableId="1320305922">
    <w:abstractNumId w:val="11"/>
  </w:num>
  <w:num w:numId="16" w16cid:durableId="557477774">
    <w:abstractNumId w:val="15"/>
  </w:num>
  <w:num w:numId="17" w16cid:durableId="1647322298">
    <w:abstractNumId w:val="23"/>
  </w:num>
  <w:num w:numId="18" w16cid:durableId="1769229339">
    <w:abstractNumId w:val="34"/>
  </w:num>
  <w:num w:numId="19" w16cid:durableId="364453697">
    <w:abstractNumId w:val="32"/>
  </w:num>
  <w:num w:numId="20" w16cid:durableId="201094465">
    <w:abstractNumId w:val="22"/>
  </w:num>
  <w:num w:numId="21" w16cid:durableId="1660573812">
    <w:abstractNumId w:val="30"/>
  </w:num>
  <w:num w:numId="22" w16cid:durableId="105663965">
    <w:abstractNumId w:val="24"/>
  </w:num>
  <w:num w:numId="23" w16cid:durableId="251479151">
    <w:abstractNumId w:val="26"/>
  </w:num>
  <w:num w:numId="24" w16cid:durableId="1621915932">
    <w:abstractNumId w:val="18"/>
  </w:num>
  <w:num w:numId="25" w16cid:durableId="923610459">
    <w:abstractNumId w:val="28"/>
  </w:num>
  <w:num w:numId="26" w16cid:durableId="98255084">
    <w:abstractNumId w:val="10"/>
  </w:num>
  <w:num w:numId="27" w16cid:durableId="1728841027">
    <w:abstractNumId w:val="19"/>
  </w:num>
  <w:num w:numId="28" w16cid:durableId="2057243541">
    <w:abstractNumId w:val="35"/>
  </w:num>
  <w:num w:numId="29" w16cid:durableId="2073887254">
    <w:abstractNumId w:val="29"/>
  </w:num>
  <w:num w:numId="30" w16cid:durableId="845897454">
    <w:abstractNumId w:val="25"/>
  </w:num>
  <w:num w:numId="31" w16cid:durableId="251938965">
    <w:abstractNumId w:val="14"/>
  </w:num>
  <w:num w:numId="32" w16cid:durableId="167982007">
    <w:abstractNumId w:val="21"/>
  </w:num>
  <w:num w:numId="33" w16cid:durableId="837381672">
    <w:abstractNumId w:val="27"/>
  </w:num>
  <w:num w:numId="34" w16cid:durableId="2007895550">
    <w:abstractNumId w:val="33"/>
  </w:num>
  <w:num w:numId="35" w16cid:durableId="938486811">
    <w:abstractNumId w:val="12"/>
  </w:num>
  <w:num w:numId="36" w16cid:durableId="944657469">
    <w:abstractNumId w:val="20"/>
  </w:num>
  <w:num w:numId="37" w16cid:durableId="160611293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2NDYyNDU3NzQ0tLRQ0lEKTi0uzszPAykwNKkFAMf3iactAAAA"/>
  </w:docVars>
  <w:rsids>
    <w:rsidRoot w:val="00C24502"/>
    <w:rsid w:val="00006F35"/>
    <w:rsid w:val="00007F91"/>
    <w:rsid w:val="000119CA"/>
    <w:rsid w:val="00011D65"/>
    <w:rsid w:val="00016F53"/>
    <w:rsid w:val="00022E6B"/>
    <w:rsid w:val="00033AB7"/>
    <w:rsid w:val="00041181"/>
    <w:rsid w:val="00042695"/>
    <w:rsid w:val="00042F29"/>
    <w:rsid w:val="00043834"/>
    <w:rsid w:val="00060DA5"/>
    <w:rsid w:val="00072FBD"/>
    <w:rsid w:val="00074B3E"/>
    <w:rsid w:val="00077E3E"/>
    <w:rsid w:val="00091AEB"/>
    <w:rsid w:val="000939D4"/>
    <w:rsid w:val="0009680B"/>
    <w:rsid w:val="000A04D9"/>
    <w:rsid w:val="000A067F"/>
    <w:rsid w:val="000A0F2B"/>
    <w:rsid w:val="000A2136"/>
    <w:rsid w:val="000B15C8"/>
    <w:rsid w:val="000B2E87"/>
    <w:rsid w:val="000B4DF3"/>
    <w:rsid w:val="000D14FF"/>
    <w:rsid w:val="000D3797"/>
    <w:rsid w:val="000D74B8"/>
    <w:rsid w:val="000D7910"/>
    <w:rsid w:val="000F0641"/>
    <w:rsid w:val="001018B0"/>
    <w:rsid w:val="001018E1"/>
    <w:rsid w:val="00104D26"/>
    <w:rsid w:val="00110B55"/>
    <w:rsid w:val="00112F37"/>
    <w:rsid w:val="00114254"/>
    <w:rsid w:val="0012746A"/>
    <w:rsid w:val="00132509"/>
    <w:rsid w:val="00143255"/>
    <w:rsid w:val="00160D56"/>
    <w:rsid w:val="00163A28"/>
    <w:rsid w:val="001650FB"/>
    <w:rsid w:val="00165DD9"/>
    <w:rsid w:val="00176B2C"/>
    <w:rsid w:val="0018348D"/>
    <w:rsid w:val="00184435"/>
    <w:rsid w:val="001876FF"/>
    <w:rsid w:val="00191B62"/>
    <w:rsid w:val="001A34EC"/>
    <w:rsid w:val="001A695F"/>
    <w:rsid w:val="001B4871"/>
    <w:rsid w:val="001B568B"/>
    <w:rsid w:val="001B6FD8"/>
    <w:rsid w:val="001C2831"/>
    <w:rsid w:val="001C2BCF"/>
    <w:rsid w:val="001C7C93"/>
    <w:rsid w:val="001D0AE1"/>
    <w:rsid w:val="001D101A"/>
    <w:rsid w:val="001D212C"/>
    <w:rsid w:val="001D516F"/>
    <w:rsid w:val="001E224F"/>
    <w:rsid w:val="001E22BC"/>
    <w:rsid w:val="001E692B"/>
    <w:rsid w:val="001F3432"/>
    <w:rsid w:val="001F6BF6"/>
    <w:rsid w:val="002021CA"/>
    <w:rsid w:val="00205749"/>
    <w:rsid w:val="00212790"/>
    <w:rsid w:val="00212B83"/>
    <w:rsid w:val="00215C27"/>
    <w:rsid w:val="002164A6"/>
    <w:rsid w:val="00220528"/>
    <w:rsid w:val="00227C33"/>
    <w:rsid w:val="00230030"/>
    <w:rsid w:val="00241932"/>
    <w:rsid w:val="00247CD7"/>
    <w:rsid w:val="00252B86"/>
    <w:rsid w:val="00254274"/>
    <w:rsid w:val="00254923"/>
    <w:rsid w:val="00256361"/>
    <w:rsid w:val="002838D7"/>
    <w:rsid w:val="00287163"/>
    <w:rsid w:val="0028743A"/>
    <w:rsid w:val="002931E2"/>
    <w:rsid w:val="002A5D44"/>
    <w:rsid w:val="002B4F3B"/>
    <w:rsid w:val="002B52D9"/>
    <w:rsid w:val="002C3404"/>
    <w:rsid w:val="002C4CD5"/>
    <w:rsid w:val="002D0EEF"/>
    <w:rsid w:val="002D3231"/>
    <w:rsid w:val="002E6544"/>
    <w:rsid w:val="002F07BB"/>
    <w:rsid w:val="002F1009"/>
    <w:rsid w:val="002F7968"/>
    <w:rsid w:val="003041C0"/>
    <w:rsid w:val="00314FEE"/>
    <w:rsid w:val="00315BC8"/>
    <w:rsid w:val="00316EFA"/>
    <w:rsid w:val="00327E67"/>
    <w:rsid w:val="00343697"/>
    <w:rsid w:val="003437E1"/>
    <w:rsid w:val="00345F16"/>
    <w:rsid w:val="00350C1F"/>
    <w:rsid w:val="00350FE0"/>
    <w:rsid w:val="003554E3"/>
    <w:rsid w:val="00356B73"/>
    <w:rsid w:val="00367771"/>
    <w:rsid w:val="00373A98"/>
    <w:rsid w:val="003746A5"/>
    <w:rsid w:val="003759E2"/>
    <w:rsid w:val="003852AF"/>
    <w:rsid w:val="00385DEF"/>
    <w:rsid w:val="00395F32"/>
    <w:rsid w:val="003A3A0E"/>
    <w:rsid w:val="003A4E2A"/>
    <w:rsid w:val="003B0EDF"/>
    <w:rsid w:val="003B3AC7"/>
    <w:rsid w:val="003C32EC"/>
    <w:rsid w:val="003C43DC"/>
    <w:rsid w:val="003C79F3"/>
    <w:rsid w:val="003D4690"/>
    <w:rsid w:val="003D589A"/>
    <w:rsid w:val="003D72D5"/>
    <w:rsid w:val="003E0708"/>
    <w:rsid w:val="003F6E00"/>
    <w:rsid w:val="0040270C"/>
    <w:rsid w:val="00403B9F"/>
    <w:rsid w:val="00406378"/>
    <w:rsid w:val="0043177D"/>
    <w:rsid w:val="00432A54"/>
    <w:rsid w:val="004330D3"/>
    <w:rsid w:val="00433A8E"/>
    <w:rsid w:val="004364E7"/>
    <w:rsid w:val="004424D8"/>
    <w:rsid w:val="004426C0"/>
    <w:rsid w:val="00444DD0"/>
    <w:rsid w:val="00453621"/>
    <w:rsid w:val="00453CEA"/>
    <w:rsid w:val="00455B93"/>
    <w:rsid w:val="0046334C"/>
    <w:rsid w:val="00473021"/>
    <w:rsid w:val="00474721"/>
    <w:rsid w:val="004778EE"/>
    <w:rsid w:val="00482C4F"/>
    <w:rsid w:val="004834BB"/>
    <w:rsid w:val="00483568"/>
    <w:rsid w:val="00487330"/>
    <w:rsid w:val="0049143C"/>
    <w:rsid w:val="004963C0"/>
    <w:rsid w:val="004A10E3"/>
    <w:rsid w:val="004A2C1C"/>
    <w:rsid w:val="004A52A9"/>
    <w:rsid w:val="004B377E"/>
    <w:rsid w:val="004C6429"/>
    <w:rsid w:val="004D0791"/>
    <w:rsid w:val="004D1B7D"/>
    <w:rsid w:val="004D20F7"/>
    <w:rsid w:val="004D22D2"/>
    <w:rsid w:val="004D60F3"/>
    <w:rsid w:val="004E5C76"/>
    <w:rsid w:val="004E68DD"/>
    <w:rsid w:val="004E7530"/>
    <w:rsid w:val="004F095A"/>
    <w:rsid w:val="004F2B96"/>
    <w:rsid w:val="004F349F"/>
    <w:rsid w:val="004F5ECE"/>
    <w:rsid w:val="0050096F"/>
    <w:rsid w:val="005013F3"/>
    <w:rsid w:val="00503ADB"/>
    <w:rsid w:val="005120BB"/>
    <w:rsid w:val="00512765"/>
    <w:rsid w:val="00514B65"/>
    <w:rsid w:val="00525996"/>
    <w:rsid w:val="00532365"/>
    <w:rsid w:val="00547D6A"/>
    <w:rsid w:val="00560C97"/>
    <w:rsid w:val="00561EFB"/>
    <w:rsid w:val="0056750D"/>
    <w:rsid w:val="00584D52"/>
    <w:rsid w:val="005936AB"/>
    <w:rsid w:val="005B0A85"/>
    <w:rsid w:val="005B1286"/>
    <w:rsid w:val="005C05C7"/>
    <w:rsid w:val="005C3596"/>
    <w:rsid w:val="005C35E2"/>
    <w:rsid w:val="005D2311"/>
    <w:rsid w:val="005D3B65"/>
    <w:rsid w:val="005D7C28"/>
    <w:rsid w:val="005E003C"/>
    <w:rsid w:val="005E49A2"/>
    <w:rsid w:val="005E7145"/>
    <w:rsid w:val="005F3818"/>
    <w:rsid w:val="00601FEE"/>
    <w:rsid w:val="00602FBB"/>
    <w:rsid w:val="0060352E"/>
    <w:rsid w:val="00604605"/>
    <w:rsid w:val="00620E07"/>
    <w:rsid w:val="006250F8"/>
    <w:rsid w:val="006335A4"/>
    <w:rsid w:val="006456EA"/>
    <w:rsid w:val="00653311"/>
    <w:rsid w:val="0065423B"/>
    <w:rsid w:val="00656B40"/>
    <w:rsid w:val="00667371"/>
    <w:rsid w:val="00670CEC"/>
    <w:rsid w:val="0068014A"/>
    <w:rsid w:val="00680BAD"/>
    <w:rsid w:val="006933D3"/>
    <w:rsid w:val="00696239"/>
    <w:rsid w:val="006A0CF9"/>
    <w:rsid w:val="006A1A9A"/>
    <w:rsid w:val="006B56EE"/>
    <w:rsid w:val="006B5D5C"/>
    <w:rsid w:val="006B6387"/>
    <w:rsid w:val="006B6B9D"/>
    <w:rsid w:val="006B74DE"/>
    <w:rsid w:val="006C09B9"/>
    <w:rsid w:val="006C7458"/>
    <w:rsid w:val="006C7B39"/>
    <w:rsid w:val="006D0234"/>
    <w:rsid w:val="006D353B"/>
    <w:rsid w:val="006D5489"/>
    <w:rsid w:val="006E04C0"/>
    <w:rsid w:val="006E4B4C"/>
    <w:rsid w:val="006F1D8E"/>
    <w:rsid w:val="006F48A1"/>
    <w:rsid w:val="006F5837"/>
    <w:rsid w:val="006F717F"/>
    <w:rsid w:val="007037F3"/>
    <w:rsid w:val="0071000B"/>
    <w:rsid w:val="00712E5C"/>
    <w:rsid w:val="00714786"/>
    <w:rsid w:val="007231B6"/>
    <w:rsid w:val="00724148"/>
    <w:rsid w:val="00726301"/>
    <w:rsid w:val="00730A58"/>
    <w:rsid w:val="00740448"/>
    <w:rsid w:val="00744E3A"/>
    <w:rsid w:val="007477B9"/>
    <w:rsid w:val="00751A9C"/>
    <w:rsid w:val="0075708A"/>
    <w:rsid w:val="00761F1D"/>
    <w:rsid w:val="00764B6B"/>
    <w:rsid w:val="00765859"/>
    <w:rsid w:val="00765C34"/>
    <w:rsid w:val="0078477D"/>
    <w:rsid w:val="0078517F"/>
    <w:rsid w:val="007853A0"/>
    <w:rsid w:val="00787B26"/>
    <w:rsid w:val="00797425"/>
    <w:rsid w:val="0079763E"/>
    <w:rsid w:val="007A148E"/>
    <w:rsid w:val="007A42DD"/>
    <w:rsid w:val="007A5A28"/>
    <w:rsid w:val="007A65E8"/>
    <w:rsid w:val="007C4AFD"/>
    <w:rsid w:val="007D2694"/>
    <w:rsid w:val="007D39A4"/>
    <w:rsid w:val="007D3F9A"/>
    <w:rsid w:val="007F45B7"/>
    <w:rsid w:val="007F648C"/>
    <w:rsid w:val="00801E76"/>
    <w:rsid w:val="00811B5A"/>
    <w:rsid w:val="00816570"/>
    <w:rsid w:val="00822EB8"/>
    <w:rsid w:val="008326E9"/>
    <w:rsid w:val="00832F8E"/>
    <w:rsid w:val="0083545D"/>
    <w:rsid w:val="008413AB"/>
    <w:rsid w:val="00843033"/>
    <w:rsid w:val="0084321D"/>
    <w:rsid w:val="00846FA3"/>
    <w:rsid w:val="008545C9"/>
    <w:rsid w:val="00854E25"/>
    <w:rsid w:val="008561CB"/>
    <w:rsid w:val="008570EC"/>
    <w:rsid w:val="00863F6D"/>
    <w:rsid w:val="00870627"/>
    <w:rsid w:val="00872258"/>
    <w:rsid w:val="00872354"/>
    <w:rsid w:val="00875B56"/>
    <w:rsid w:val="00880F4A"/>
    <w:rsid w:val="0088519B"/>
    <w:rsid w:val="00885266"/>
    <w:rsid w:val="00897C26"/>
    <w:rsid w:val="00897C5C"/>
    <w:rsid w:val="008A52F0"/>
    <w:rsid w:val="008A585A"/>
    <w:rsid w:val="008B0FF9"/>
    <w:rsid w:val="008B1D19"/>
    <w:rsid w:val="008B6792"/>
    <w:rsid w:val="008C026D"/>
    <w:rsid w:val="008C03F5"/>
    <w:rsid w:val="008C4331"/>
    <w:rsid w:val="008C6280"/>
    <w:rsid w:val="008D1B7A"/>
    <w:rsid w:val="008D7DC6"/>
    <w:rsid w:val="008E70CB"/>
    <w:rsid w:val="009146F7"/>
    <w:rsid w:val="0091489F"/>
    <w:rsid w:val="009229C5"/>
    <w:rsid w:val="009230EE"/>
    <w:rsid w:val="00927E01"/>
    <w:rsid w:val="00935B10"/>
    <w:rsid w:val="0094351A"/>
    <w:rsid w:val="00945F19"/>
    <w:rsid w:val="0094780C"/>
    <w:rsid w:val="00956F15"/>
    <w:rsid w:val="00962710"/>
    <w:rsid w:val="00963900"/>
    <w:rsid w:val="009662F9"/>
    <w:rsid w:val="009747C5"/>
    <w:rsid w:val="009749CC"/>
    <w:rsid w:val="00991FE8"/>
    <w:rsid w:val="009A1C5C"/>
    <w:rsid w:val="009A6073"/>
    <w:rsid w:val="009B1923"/>
    <w:rsid w:val="009B2EB5"/>
    <w:rsid w:val="009B58FE"/>
    <w:rsid w:val="009B7639"/>
    <w:rsid w:val="009C039A"/>
    <w:rsid w:val="009D6CB4"/>
    <w:rsid w:val="009F42C6"/>
    <w:rsid w:val="009F5EA6"/>
    <w:rsid w:val="00A007AC"/>
    <w:rsid w:val="00A02C14"/>
    <w:rsid w:val="00A04541"/>
    <w:rsid w:val="00A0519C"/>
    <w:rsid w:val="00A07BF4"/>
    <w:rsid w:val="00A12220"/>
    <w:rsid w:val="00A17367"/>
    <w:rsid w:val="00A21BD6"/>
    <w:rsid w:val="00A2632E"/>
    <w:rsid w:val="00A334D8"/>
    <w:rsid w:val="00A40483"/>
    <w:rsid w:val="00A420A9"/>
    <w:rsid w:val="00A61F58"/>
    <w:rsid w:val="00A67087"/>
    <w:rsid w:val="00A71D46"/>
    <w:rsid w:val="00A72C30"/>
    <w:rsid w:val="00A73A72"/>
    <w:rsid w:val="00A76820"/>
    <w:rsid w:val="00A863FB"/>
    <w:rsid w:val="00AC33EB"/>
    <w:rsid w:val="00AC37FC"/>
    <w:rsid w:val="00AC418F"/>
    <w:rsid w:val="00AC5B63"/>
    <w:rsid w:val="00AD080D"/>
    <w:rsid w:val="00AD413B"/>
    <w:rsid w:val="00AD7724"/>
    <w:rsid w:val="00AE13DA"/>
    <w:rsid w:val="00AE3DEE"/>
    <w:rsid w:val="00AE60AC"/>
    <w:rsid w:val="00AF1DE9"/>
    <w:rsid w:val="00AF1F83"/>
    <w:rsid w:val="00AF4EBB"/>
    <w:rsid w:val="00AF5F88"/>
    <w:rsid w:val="00B01E48"/>
    <w:rsid w:val="00B03238"/>
    <w:rsid w:val="00B04B33"/>
    <w:rsid w:val="00B05208"/>
    <w:rsid w:val="00B128D3"/>
    <w:rsid w:val="00B17B06"/>
    <w:rsid w:val="00B2488F"/>
    <w:rsid w:val="00B27C58"/>
    <w:rsid w:val="00B376F5"/>
    <w:rsid w:val="00B3794A"/>
    <w:rsid w:val="00B44D24"/>
    <w:rsid w:val="00B4669D"/>
    <w:rsid w:val="00B57FE0"/>
    <w:rsid w:val="00B61012"/>
    <w:rsid w:val="00B62936"/>
    <w:rsid w:val="00B73030"/>
    <w:rsid w:val="00B73C85"/>
    <w:rsid w:val="00B7496B"/>
    <w:rsid w:val="00B77587"/>
    <w:rsid w:val="00B80CA0"/>
    <w:rsid w:val="00B82A95"/>
    <w:rsid w:val="00B959AB"/>
    <w:rsid w:val="00BA1798"/>
    <w:rsid w:val="00BA37D3"/>
    <w:rsid w:val="00BA514E"/>
    <w:rsid w:val="00BA79DA"/>
    <w:rsid w:val="00BC7342"/>
    <w:rsid w:val="00BD0C4A"/>
    <w:rsid w:val="00BD5ED7"/>
    <w:rsid w:val="00BD7344"/>
    <w:rsid w:val="00BE45DD"/>
    <w:rsid w:val="00BE6328"/>
    <w:rsid w:val="00BF30CA"/>
    <w:rsid w:val="00BF3C63"/>
    <w:rsid w:val="00BF5A2E"/>
    <w:rsid w:val="00C03E72"/>
    <w:rsid w:val="00C04FC4"/>
    <w:rsid w:val="00C05541"/>
    <w:rsid w:val="00C06AC4"/>
    <w:rsid w:val="00C06D67"/>
    <w:rsid w:val="00C1034C"/>
    <w:rsid w:val="00C12BC4"/>
    <w:rsid w:val="00C13A74"/>
    <w:rsid w:val="00C1429C"/>
    <w:rsid w:val="00C224B3"/>
    <w:rsid w:val="00C24502"/>
    <w:rsid w:val="00C247CC"/>
    <w:rsid w:val="00C277F1"/>
    <w:rsid w:val="00C3120F"/>
    <w:rsid w:val="00C32885"/>
    <w:rsid w:val="00C32C5E"/>
    <w:rsid w:val="00C36438"/>
    <w:rsid w:val="00C41DB7"/>
    <w:rsid w:val="00C456AC"/>
    <w:rsid w:val="00C462EF"/>
    <w:rsid w:val="00C4748D"/>
    <w:rsid w:val="00C54615"/>
    <w:rsid w:val="00C558F1"/>
    <w:rsid w:val="00C64069"/>
    <w:rsid w:val="00C640E1"/>
    <w:rsid w:val="00C672A1"/>
    <w:rsid w:val="00C70C6A"/>
    <w:rsid w:val="00C73EC6"/>
    <w:rsid w:val="00C95BF6"/>
    <w:rsid w:val="00C9660F"/>
    <w:rsid w:val="00CA45C9"/>
    <w:rsid w:val="00CA5862"/>
    <w:rsid w:val="00CA7813"/>
    <w:rsid w:val="00CB024A"/>
    <w:rsid w:val="00CB697A"/>
    <w:rsid w:val="00CC2C4B"/>
    <w:rsid w:val="00CE26D2"/>
    <w:rsid w:val="00CE5631"/>
    <w:rsid w:val="00CF0C00"/>
    <w:rsid w:val="00CF3AF8"/>
    <w:rsid w:val="00D02486"/>
    <w:rsid w:val="00D12C27"/>
    <w:rsid w:val="00D13353"/>
    <w:rsid w:val="00D13D7C"/>
    <w:rsid w:val="00D1681C"/>
    <w:rsid w:val="00D1744D"/>
    <w:rsid w:val="00D178C5"/>
    <w:rsid w:val="00D250AA"/>
    <w:rsid w:val="00D27934"/>
    <w:rsid w:val="00D321C1"/>
    <w:rsid w:val="00D42504"/>
    <w:rsid w:val="00D42E8A"/>
    <w:rsid w:val="00D52252"/>
    <w:rsid w:val="00D62702"/>
    <w:rsid w:val="00D638F6"/>
    <w:rsid w:val="00D63E62"/>
    <w:rsid w:val="00D65EA5"/>
    <w:rsid w:val="00D74BA6"/>
    <w:rsid w:val="00D75C0D"/>
    <w:rsid w:val="00D808A1"/>
    <w:rsid w:val="00D81D16"/>
    <w:rsid w:val="00D82AE5"/>
    <w:rsid w:val="00D833C7"/>
    <w:rsid w:val="00D837CE"/>
    <w:rsid w:val="00D9001A"/>
    <w:rsid w:val="00D91D91"/>
    <w:rsid w:val="00D92E73"/>
    <w:rsid w:val="00D9366C"/>
    <w:rsid w:val="00D95921"/>
    <w:rsid w:val="00D9747F"/>
    <w:rsid w:val="00D97A57"/>
    <w:rsid w:val="00DA1B34"/>
    <w:rsid w:val="00DA2FC7"/>
    <w:rsid w:val="00DA6CC1"/>
    <w:rsid w:val="00DB686B"/>
    <w:rsid w:val="00DC0430"/>
    <w:rsid w:val="00DC3EC9"/>
    <w:rsid w:val="00DC7E54"/>
    <w:rsid w:val="00DD5252"/>
    <w:rsid w:val="00DE2BB8"/>
    <w:rsid w:val="00DF6713"/>
    <w:rsid w:val="00E01F0F"/>
    <w:rsid w:val="00E06052"/>
    <w:rsid w:val="00E071A8"/>
    <w:rsid w:val="00E11813"/>
    <w:rsid w:val="00E13C33"/>
    <w:rsid w:val="00E2112A"/>
    <w:rsid w:val="00E22B7D"/>
    <w:rsid w:val="00E265FA"/>
    <w:rsid w:val="00E2756D"/>
    <w:rsid w:val="00E37FD1"/>
    <w:rsid w:val="00E47CB4"/>
    <w:rsid w:val="00E500BB"/>
    <w:rsid w:val="00E623F2"/>
    <w:rsid w:val="00E6542F"/>
    <w:rsid w:val="00E7238B"/>
    <w:rsid w:val="00E72571"/>
    <w:rsid w:val="00E72F9B"/>
    <w:rsid w:val="00E73576"/>
    <w:rsid w:val="00E7713C"/>
    <w:rsid w:val="00E80496"/>
    <w:rsid w:val="00E847C0"/>
    <w:rsid w:val="00E84F97"/>
    <w:rsid w:val="00E870E2"/>
    <w:rsid w:val="00E93985"/>
    <w:rsid w:val="00EA017C"/>
    <w:rsid w:val="00EA2114"/>
    <w:rsid w:val="00EA76D5"/>
    <w:rsid w:val="00EA79B7"/>
    <w:rsid w:val="00EB0866"/>
    <w:rsid w:val="00EC05E9"/>
    <w:rsid w:val="00EC15F4"/>
    <w:rsid w:val="00EC74F6"/>
    <w:rsid w:val="00EC7FA8"/>
    <w:rsid w:val="00ED1476"/>
    <w:rsid w:val="00ED1EA7"/>
    <w:rsid w:val="00EE07E9"/>
    <w:rsid w:val="00EE61C5"/>
    <w:rsid w:val="00EF0363"/>
    <w:rsid w:val="00EF661A"/>
    <w:rsid w:val="00F0302E"/>
    <w:rsid w:val="00F03CC9"/>
    <w:rsid w:val="00F05C4F"/>
    <w:rsid w:val="00F10DAA"/>
    <w:rsid w:val="00F116FE"/>
    <w:rsid w:val="00F11C8B"/>
    <w:rsid w:val="00F1762C"/>
    <w:rsid w:val="00F2168F"/>
    <w:rsid w:val="00F22314"/>
    <w:rsid w:val="00F26216"/>
    <w:rsid w:val="00F278D1"/>
    <w:rsid w:val="00F308F6"/>
    <w:rsid w:val="00F505E7"/>
    <w:rsid w:val="00F56BA0"/>
    <w:rsid w:val="00F66E70"/>
    <w:rsid w:val="00F74CD4"/>
    <w:rsid w:val="00F81F9E"/>
    <w:rsid w:val="00F85DAD"/>
    <w:rsid w:val="00F90F2C"/>
    <w:rsid w:val="00F94884"/>
    <w:rsid w:val="00F95F87"/>
    <w:rsid w:val="00F9702A"/>
    <w:rsid w:val="00F97FC7"/>
    <w:rsid w:val="00FA2315"/>
    <w:rsid w:val="00FA46A0"/>
    <w:rsid w:val="00FC1C19"/>
    <w:rsid w:val="00FC1D0F"/>
    <w:rsid w:val="00FC5363"/>
    <w:rsid w:val="00FC5C1C"/>
    <w:rsid w:val="00FC6D54"/>
    <w:rsid w:val="00FD4756"/>
    <w:rsid w:val="00FE00A1"/>
    <w:rsid w:val="00FE711E"/>
    <w:rsid w:val="00FF0C1E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79E0E"/>
  <w15:docId w15:val="{D793B4CD-6E0E-437A-A8D2-8E7FDD6D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C2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45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4502"/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C24502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C4F"/>
    <w:rPr>
      <w:color w:val="605E5C"/>
      <w:shd w:val="clear" w:color="auto" w:fill="E1DFDD"/>
    </w:rPr>
  </w:style>
  <w:style w:type="paragraph" w:styleId="Revision">
    <w:name w:val="Revision"/>
    <w:hidden/>
    <w:semiHidden/>
    <w:rsid w:val="0094780C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4615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rsid w:val="001E224F"/>
    <w:pPr>
      <w:keepNext/>
      <w:keepLines/>
      <w:spacing w:before="480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224F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E22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wp-block-itu-cards-timeline-item">
    <w:name w:val="wp-block-itu-cards-timeline-item"/>
    <w:basedOn w:val="Normal"/>
    <w:rsid w:val="00C41D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etaverse/virtual-worlds/1st-un-citiverse-challenge/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virtualworlds@itu.int" TargetMode="External"/><Relationship Id="rId17" Type="http://schemas.openxmlformats.org/officeDocument/2006/relationships/hyperlink" Target="mailto:virtualworlds@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etaverse/virtual-worlds/1st-un-citiverse-challeng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un-virtual-worlds-day/2025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TSB-CIR-0022/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2" ma:contentTypeDescription="Create a new document." ma:contentTypeScope="" ma:versionID="7d53ea5ff23d71cda672b97550cacb34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31c5cdad31fab106d6d419c2664d418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c0e8086-52c8-4e7d-93a1-d9c447822528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E135-C31F-4770-A676-D4453E7B7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74080-ECC1-467E-BB5D-0914F6623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DC47E-47C9-40BA-A5EA-0E528FECB3AD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4.xml><?xml version="1.0" encoding="utf-8"?>
<ds:datastoreItem xmlns:ds="http://schemas.openxmlformats.org/officeDocument/2006/customXml" ds:itemID="{1E2FFC76-663C-4A0E-9E23-EC6F3014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20</TotalTime>
  <Pages>2</Pages>
  <Words>570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Co, Chiara Kirsten</dc:creator>
  <dc:description>TSB-circular-6th-meeting.docx  For: _x000d_Document date: _x000d_Saved by ITU51017730 at 18:23:29 on 02/03/2024</dc:description>
  <cp:lastModifiedBy>Braud, Olivia</cp:lastModifiedBy>
  <cp:revision>13</cp:revision>
  <cp:lastPrinted>2025-02-13T09:30:00Z</cp:lastPrinted>
  <dcterms:created xsi:type="dcterms:W3CDTF">2025-02-10T09:15:00Z</dcterms:created>
  <dcterms:modified xsi:type="dcterms:W3CDTF">2025-02-13T09:30:00Z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TSB-circular-6th-meeting.docx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23d123811a74a3bfb5e32dd249ccace47d6d781744039da058ba5052ee27b7f5</vt:lpwstr>
  </property>
  <property fmtid="{D5CDD505-2E9C-101B-9397-08002B2CF9AE}" pid="9" name="ContentTypeId">
    <vt:lpwstr>0x010100D1E61AAD99A901438D9BC061B6D8E5BF</vt:lpwstr>
  </property>
  <property fmtid="{D5CDD505-2E9C-101B-9397-08002B2CF9AE}" pid="10" name="MediaServiceImageTags">
    <vt:lpwstr/>
  </property>
</Properties>
</file>