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8" w:type="dxa"/>
        <w:tblLayout w:type="fixed"/>
        <w:tblCellMar>
          <w:left w:w="0" w:type="dxa"/>
          <w:right w:w="0" w:type="dxa"/>
        </w:tblCellMar>
        <w:tblLook w:val="0000" w:firstRow="0" w:lastRow="0" w:firstColumn="0" w:lastColumn="0" w:noHBand="0" w:noVBand="0"/>
      </w:tblPr>
      <w:tblGrid>
        <w:gridCol w:w="1410"/>
        <w:gridCol w:w="3467"/>
        <w:gridCol w:w="5329"/>
      </w:tblGrid>
      <w:tr w:rsidR="007B6316" w14:paraId="1FD462B9" w14:textId="77777777" w:rsidTr="007B6316">
        <w:trPr>
          <w:cantSplit/>
          <w:trHeight w:val="340"/>
        </w:trPr>
        <w:tc>
          <w:tcPr>
            <w:tcW w:w="1410" w:type="dxa"/>
          </w:tcPr>
          <w:p w14:paraId="3117B4CA"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059452AD" wp14:editId="263466B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757F83E5"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7F3D237"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0E0BFD" w14:paraId="32DDC192" w14:textId="77777777" w:rsidTr="000E0BFD">
        <w:trPr>
          <w:cantSplit/>
          <w:trHeight w:val="594"/>
        </w:trPr>
        <w:tc>
          <w:tcPr>
            <w:tcW w:w="1410" w:type="dxa"/>
          </w:tcPr>
          <w:p w14:paraId="31DC0569" w14:textId="77777777" w:rsidR="007B6316" w:rsidRPr="000E0BFD" w:rsidRDefault="007B6316" w:rsidP="000E0BFD">
            <w:pPr>
              <w:tabs>
                <w:tab w:val="left" w:pos="4111"/>
              </w:tabs>
              <w:spacing w:before="10"/>
              <w:ind w:left="525"/>
              <w:rPr>
                <w:b/>
                <w:bCs/>
                <w:sz w:val="22"/>
                <w:szCs w:val="22"/>
              </w:rPr>
            </w:pPr>
          </w:p>
        </w:tc>
        <w:tc>
          <w:tcPr>
            <w:tcW w:w="3467" w:type="dxa"/>
          </w:tcPr>
          <w:p w14:paraId="60C85B71" w14:textId="77777777" w:rsidR="007B6316" w:rsidRPr="000E0BFD" w:rsidRDefault="007B6316" w:rsidP="00303D62">
            <w:pPr>
              <w:tabs>
                <w:tab w:val="left" w:pos="4111"/>
              </w:tabs>
              <w:spacing w:before="0"/>
              <w:ind w:left="57"/>
              <w:rPr>
                <w:b/>
                <w:sz w:val="22"/>
                <w:szCs w:val="22"/>
              </w:rPr>
            </w:pPr>
          </w:p>
        </w:tc>
        <w:tc>
          <w:tcPr>
            <w:tcW w:w="5329" w:type="dxa"/>
          </w:tcPr>
          <w:p w14:paraId="0168F724" w14:textId="66082157" w:rsidR="007B6316" w:rsidRPr="000E0BFD" w:rsidRDefault="007B6316" w:rsidP="007B6316">
            <w:pPr>
              <w:tabs>
                <w:tab w:val="clear" w:pos="794"/>
                <w:tab w:val="clear" w:pos="1191"/>
                <w:tab w:val="clear" w:pos="1588"/>
                <w:tab w:val="clear" w:pos="1985"/>
                <w:tab w:val="left" w:pos="284"/>
              </w:tabs>
              <w:spacing w:after="120"/>
              <w:ind w:left="284" w:hanging="227"/>
              <w:rPr>
                <w:sz w:val="22"/>
                <w:szCs w:val="22"/>
              </w:rPr>
            </w:pPr>
            <w:r w:rsidRPr="000E0BFD">
              <w:rPr>
                <w:sz w:val="22"/>
                <w:szCs w:val="22"/>
              </w:rPr>
              <w:t>Ginebra,</w:t>
            </w:r>
            <w:r w:rsidR="00B77164" w:rsidRPr="000E0BFD">
              <w:rPr>
                <w:rFonts w:cstheme="minorHAnsi"/>
                <w:sz w:val="22"/>
                <w:szCs w:val="22"/>
              </w:rPr>
              <w:t xml:space="preserve"> 7 de febrero de 2025</w:t>
            </w:r>
          </w:p>
        </w:tc>
      </w:tr>
      <w:tr w:rsidR="001350B9" w:rsidRPr="000E0BFD" w14:paraId="138FD60C" w14:textId="77777777" w:rsidTr="00B77164">
        <w:trPr>
          <w:cantSplit/>
          <w:trHeight w:val="340"/>
        </w:trPr>
        <w:tc>
          <w:tcPr>
            <w:tcW w:w="1410" w:type="dxa"/>
          </w:tcPr>
          <w:p w14:paraId="461E431C" w14:textId="60F0203A" w:rsidR="001350B9" w:rsidRPr="000E0BFD" w:rsidRDefault="001350B9" w:rsidP="000E0BFD">
            <w:pPr>
              <w:tabs>
                <w:tab w:val="left" w:pos="4111"/>
              </w:tabs>
              <w:spacing w:before="10"/>
              <w:rPr>
                <w:sz w:val="22"/>
                <w:szCs w:val="22"/>
              </w:rPr>
            </w:pPr>
            <w:r w:rsidRPr="000E0BFD">
              <w:rPr>
                <w:b/>
                <w:bCs/>
                <w:sz w:val="22"/>
                <w:szCs w:val="22"/>
              </w:rPr>
              <w:t>Ref</w:t>
            </w:r>
            <w:r w:rsidRPr="000E0BFD">
              <w:rPr>
                <w:sz w:val="22"/>
                <w:szCs w:val="22"/>
              </w:rPr>
              <w:t>.:</w:t>
            </w:r>
          </w:p>
        </w:tc>
        <w:tc>
          <w:tcPr>
            <w:tcW w:w="3467" w:type="dxa"/>
          </w:tcPr>
          <w:p w14:paraId="120158DD" w14:textId="68D3832D" w:rsidR="001350B9" w:rsidRPr="000E0BFD" w:rsidRDefault="001350B9" w:rsidP="00303D62">
            <w:pPr>
              <w:tabs>
                <w:tab w:val="left" w:pos="4111"/>
              </w:tabs>
              <w:spacing w:before="0"/>
              <w:ind w:left="57"/>
              <w:rPr>
                <w:b/>
                <w:sz w:val="22"/>
                <w:szCs w:val="22"/>
              </w:rPr>
            </w:pPr>
            <w:r w:rsidRPr="000E0BFD">
              <w:rPr>
                <w:b/>
                <w:sz w:val="22"/>
                <w:szCs w:val="22"/>
              </w:rPr>
              <w:t xml:space="preserve">Circular TSB </w:t>
            </w:r>
            <w:r w:rsidR="00B77164" w:rsidRPr="000E0BFD">
              <w:rPr>
                <w:b/>
                <w:sz w:val="22"/>
                <w:szCs w:val="22"/>
              </w:rPr>
              <w:t>20</w:t>
            </w:r>
          </w:p>
          <w:p w14:paraId="1122EC48" w14:textId="554F17BE" w:rsidR="001350B9" w:rsidRPr="000E0BFD" w:rsidRDefault="00B77164" w:rsidP="007B6316">
            <w:pPr>
              <w:tabs>
                <w:tab w:val="left" w:pos="4111"/>
              </w:tabs>
              <w:spacing w:before="0"/>
              <w:ind w:left="57"/>
              <w:rPr>
                <w:b/>
                <w:sz w:val="22"/>
                <w:szCs w:val="22"/>
              </w:rPr>
            </w:pPr>
            <w:r w:rsidRPr="000E0BFD">
              <w:rPr>
                <w:rFonts w:cstheme="minorHAnsi"/>
                <w:sz w:val="22"/>
                <w:szCs w:val="22"/>
                <w:lang w:val="pt-PT"/>
              </w:rPr>
              <w:t>SG21/SP</w:t>
            </w:r>
          </w:p>
        </w:tc>
        <w:tc>
          <w:tcPr>
            <w:tcW w:w="5329" w:type="dxa"/>
            <w:vMerge w:val="restart"/>
          </w:tcPr>
          <w:p w14:paraId="0515C6BC" w14:textId="2F75DD36" w:rsidR="00B77164" w:rsidRPr="000E0BFD" w:rsidRDefault="00B77164" w:rsidP="00B77164">
            <w:pPr>
              <w:tabs>
                <w:tab w:val="clear" w:pos="794"/>
                <w:tab w:val="left" w:pos="226"/>
                <w:tab w:val="left" w:pos="4111"/>
              </w:tabs>
              <w:spacing w:before="0"/>
              <w:rPr>
                <w:b/>
                <w:bCs/>
                <w:sz w:val="22"/>
                <w:szCs w:val="22"/>
              </w:rPr>
            </w:pPr>
            <w:bookmarkStart w:id="0" w:name="Addressee_S"/>
            <w:bookmarkEnd w:id="0"/>
            <w:r w:rsidRPr="000E0BFD">
              <w:rPr>
                <w:b/>
                <w:bCs/>
                <w:sz w:val="22"/>
                <w:szCs w:val="22"/>
              </w:rPr>
              <w:t>A</w:t>
            </w:r>
          </w:p>
          <w:p w14:paraId="03CF4540" w14:textId="3749B7C6" w:rsidR="001350B9" w:rsidRPr="000E0BFD" w:rsidRDefault="00B77164" w:rsidP="00B77164">
            <w:pPr>
              <w:tabs>
                <w:tab w:val="clear" w:pos="794"/>
                <w:tab w:val="clear" w:pos="1191"/>
                <w:tab w:val="left" w:pos="510"/>
                <w:tab w:val="left" w:pos="4111"/>
              </w:tabs>
              <w:spacing w:before="0"/>
              <w:ind w:left="496" w:hanging="425"/>
              <w:rPr>
                <w:sz w:val="22"/>
                <w:szCs w:val="22"/>
              </w:rPr>
            </w:pPr>
            <w:r w:rsidRPr="000E0BFD">
              <w:rPr>
                <w:sz w:val="22"/>
                <w:szCs w:val="22"/>
              </w:rPr>
              <w:t>–</w:t>
            </w:r>
            <w:r w:rsidR="001350B9" w:rsidRPr="000E0BFD">
              <w:rPr>
                <w:sz w:val="22"/>
                <w:szCs w:val="22"/>
              </w:rPr>
              <w:tab/>
              <w:t>las Administraciones de los Estados Miembros de la Unión</w:t>
            </w:r>
          </w:p>
          <w:p w14:paraId="41A0597A" w14:textId="32EAE7FB" w:rsidR="001350B9" w:rsidRPr="000E0BFD" w:rsidRDefault="00B77164" w:rsidP="00B77164">
            <w:pPr>
              <w:tabs>
                <w:tab w:val="clear" w:pos="794"/>
                <w:tab w:val="left" w:pos="226"/>
                <w:tab w:val="left" w:pos="4111"/>
              </w:tabs>
              <w:spacing w:before="0"/>
              <w:rPr>
                <w:b/>
                <w:bCs/>
                <w:sz w:val="22"/>
                <w:szCs w:val="22"/>
              </w:rPr>
            </w:pPr>
            <w:r w:rsidRPr="000E0BFD">
              <w:rPr>
                <w:b/>
                <w:bCs/>
                <w:sz w:val="22"/>
                <w:szCs w:val="22"/>
              </w:rPr>
              <w:t>Copia:</w:t>
            </w:r>
          </w:p>
          <w:p w14:paraId="3F95841F" w14:textId="6F1EFA1A" w:rsidR="001350B9" w:rsidRPr="000E0BFD" w:rsidRDefault="00B77164" w:rsidP="00B77164">
            <w:pPr>
              <w:tabs>
                <w:tab w:val="clear" w:pos="794"/>
                <w:tab w:val="clear" w:pos="1191"/>
                <w:tab w:val="left" w:pos="510"/>
                <w:tab w:val="left" w:pos="4111"/>
              </w:tabs>
              <w:spacing w:before="0"/>
              <w:ind w:left="496" w:hanging="425"/>
              <w:rPr>
                <w:sz w:val="22"/>
                <w:szCs w:val="22"/>
              </w:rPr>
            </w:pPr>
            <w:r w:rsidRPr="000E0BFD">
              <w:rPr>
                <w:sz w:val="22"/>
                <w:szCs w:val="22"/>
              </w:rPr>
              <w:t>–</w:t>
            </w:r>
            <w:r w:rsidRPr="000E0BFD">
              <w:rPr>
                <w:sz w:val="22"/>
                <w:szCs w:val="22"/>
              </w:rPr>
              <w:tab/>
            </w:r>
            <w:r w:rsidR="001350B9" w:rsidRPr="000E0BFD">
              <w:rPr>
                <w:sz w:val="22"/>
                <w:szCs w:val="22"/>
              </w:rPr>
              <w:t>A los Miembros del Sector UIT</w:t>
            </w:r>
            <w:r w:rsidR="001350B9" w:rsidRPr="000E0BFD">
              <w:rPr>
                <w:sz w:val="22"/>
                <w:szCs w:val="22"/>
              </w:rPr>
              <w:noBreakHyphen/>
              <w:t>T;</w:t>
            </w:r>
          </w:p>
          <w:p w14:paraId="65FA7B31" w14:textId="53E602B9" w:rsidR="001350B9" w:rsidRPr="000E0BFD" w:rsidRDefault="00B77164" w:rsidP="00B77164">
            <w:pPr>
              <w:tabs>
                <w:tab w:val="clear" w:pos="794"/>
                <w:tab w:val="clear" w:pos="1191"/>
                <w:tab w:val="left" w:pos="510"/>
                <w:tab w:val="left" w:pos="4111"/>
              </w:tabs>
              <w:spacing w:before="0"/>
              <w:ind w:left="496" w:hanging="425"/>
              <w:rPr>
                <w:sz w:val="22"/>
                <w:szCs w:val="22"/>
              </w:rPr>
            </w:pPr>
            <w:r w:rsidRPr="000E0BFD">
              <w:rPr>
                <w:sz w:val="22"/>
                <w:szCs w:val="22"/>
              </w:rPr>
              <w:t>–</w:t>
            </w:r>
            <w:r w:rsidRPr="000E0BFD">
              <w:rPr>
                <w:sz w:val="22"/>
                <w:szCs w:val="22"/>
              </w:rPr>
              <w:tab/>
            </w:r>
            <w:r w:rsidR="001350B9" w:rsidRPr="000E0BFD">
              <w:rPr>
                <w:sz w:val="22"/>
                <w:szCs w:val="22"/>
              </w:rPr>
              <w:t>A</w:t>
            </w:r>
            <w:r w:rsidRPr="000E0BFD">
              <w:rPr>
                <w:sz w:val="22"/>
                <w:szCs w:val="22"/>
              </w:rPr>
              <w:t xml:space="preserve"> los Asociados de la Comisión de Estudio 21 del UIT-T</w:t>
            </w:r>
            <w:r w:rsidR="001350B9" w:rsidRPr="000E0BFD">
              <w:rPr>
                <w:sz w:val="22"/>
                <w:szCs w:val="22"/>
              </w:rPr>
              <w:t>;</w:t>
            </w:r>
          </w:p>
          <w:p w14:paraId="5554F026" w14:textId="21E19762" w:rsidR="001350B9" w:rsidRPr="000E0BFD" w:rsidRDefault="00B77164" w:rsidP="00B77164">
            <w:pPr>
              <w:tabs>
                <w:tab w:val="clear" w:pos="794"/>
                <w:tab w:val="clear" w:pos="1191"/>
                <w:tab w:val="left" w:pos="510"/>
                <w:tab w:val="left" w:pos="4111"/>
              </w:tabs>
              <w:spacing w:before="0"/>
              <w:ind w:left="496" w:hanging="425"/>
              <w:rPr>
                <w:sz w:val="22"/>
                <w:szCs w:val="22"/>
              </w:rPr>
            </w:pPr>
            <w:r w:rsidRPr="000E0BFD">
              <w:rPr>
                <w:sz w:val="22"/>
                <w:szCs w:val="22"/>
              </w:rPr>
              <w:t>–</w:t>
            </w:r>
            <w:r w:rsidRPr="000E0BFD">
              <w:rPr>
                <w:sz w:val="22"/>
                <w:szCs w:val="22"/>
              </w:rPr>
              <w:tab/>
            </w:r>
            <w:r w:rsidR="001350B9" w:rsidRPr="000E0BFD">
              <w:rPr>
                <w:sz w:val="22"/>
                <w:szCs w:val="22"/>
              </w:rPr>
              <w:t>A las Instituciones Académicas del UIT-T;</w:t>
            </w:r>
          </w:p>
          <w:p w14:paraId="368DCA7B" w14:textId="7B9E2899" w:rsidR="001350B9" w:rsidRPr="000E0BFD" w:rsidRDefault="00B77164" w:rsidP="00B77164">
            <w:pPr>
              <w:tabs>
                <w:tab w:val="clear" w:pos="794"/>
                <w:tab w:val="clear" w:pos="1191"/>
                <w:tab w:val="left" w:pos="496"/>
                <w:tab w:val="left" w:pos="4111"/>
              </w:tabs>
              <w:spacing w:before="0"/>
              <w:ind w:left="496" w:hanging="425"/>
              <w:rPr>
                <w:sz w:val="22"/>
                <w:szCs w:val="22"/>
              </w:rPr>
            </w:pPr>
            <w:r w:rsidRPr="000E0BFD">
              <w:rPr>
                <w:sz w:val="22"/>
                <w:szCs w:val="22"/>
              </w:rPr>
              <w:t>–</w:t>
            </w:r>
            <w:r w:rsidRPr="000E0BFD">
              <w:rPr>
                <w:sz w:val="22"/>
                <w:szCs w:val="22"/>
              </w:rPr>
              <w:tab/>
            </w:r>
            <w:r w:rsidR="001350B9" w:rsidRPr="000E0BFD">
              <w:rPr>
                <w:sz w:val="22"/>
                <w:szCs w:val="22"/>
              </w:rPr>
              <w:t xml:space="preserve">Al </w:t>
            </w:r>
            <w:proofErr w:type="gramStart"/>
            <w:r w:rsidR="001350B9" w:rsidRPr="000E0BFD">
              <w:rPr>
                <w:sz w:val="22"/>
                <w:szCs w:val="22"/>
              </w:rPr>
              <w:t>Presidente</w:t>
            </w:r>
            <w:proofErr w:type="gramEnd"/>
            <w:r w:rsidR="001350B9" w:rsidRPr="000E0BFD">
              <w:rPr>
                <w:sz w:val="22"/>
                <w:szCs w:val="22"/>
              </w:rPr>
              <w:t xml:space="preserve"> y a</w:t>
            </w:r>
            <w:r w:rsidR="000C2ED6" w:rsidRPr="000E0BFD">
              <w:rPr>
                <w:sz w:val="22"/>
                <w:szCs w:val="22"/>
              </w:rPr>
              <w:t xml:space="preserve"> los </w:t>
            </w:r>
            <w:r w:rsidR="001350B9" w:rsidRPr="000E0BFD">
              <w:rPr>
                <w:sz w:val="22"/>
                <w:szCs w:val="22"/>
              </w:rPr>
              <w:t>Vicepresidente</w:t>
            </w:r>
            <w:r w:rsidR="000C2ED6" w:rsidRPr="000E0BFD">
              <w:rPr>
                <w:sz w:val="22"/>
                <w:szCs w:val="22"/>
              </w:rPr>
              <w:t>s</w:t>
            </w:r>
            <w:r w:rsidR="001350B9" w:rsidRPr="000E0BFD">
              <w:rPr>
                <w:sz w:val="22"/>
                <w:szCs w:val="22"/>
              </w:rPr>
              <w:t xml:space="preserve"> de la</w:t>
            </w:r>
            <w:r w:rsidRPr="000E0BFD">
              <w:rPr>
                <w:sz w:val="22"/>
                <w:szCs w:val="22"/>
              </w:rPr>
              <w:t xml:space="preserve"> </w:t>
            </w:r>
            <w:r w:rsidR="001350B9" w:rsidRPr="000E0BFD">
              <w:rPr>
                <w:sz w:val="22"/>
                <w:szCs w:val="22"/>
              </w:rPr>
              <w:t xml:space="preserve">Comisión de Estudio </w:t>
            </w:r>
            <w:r w:rsidRPr="000E0BFD">
              <w:rPr>
                <w:sz w:val="22"/>
                <w:szCs w:val="22"/>
              </w:rPr>
              <w:t>21 del UIT-T</w:t>
            </w:r>
            <w:r w:rsidR="001350B9" w:rsidRPr="000E0BFD">
              <w:rPr>
                <w:sz w:val="22"/>
                <w:szCs w:val="22"/>
              </w:rPr>
              <w:t>;</w:t>
            </w:r>
          </w:p>
          <w:p w14:paraId="789DA101" w14:textId="70B5AB08" w:rsidR="001350B9" w:rsidRPr="000E0BFD" w:rsidRDefault="00B77164" w:rsidP="00B77164">
            <w:pPr>
              <w:tabs>
                <w:tab w:val="clear" w:pos="794"/>
                <w:tab w:val="clear" w:pos="1191"/>
                <w:tab w:val="left" w:pos="510"/>
                <w:tab w:val="left" w:pos="4111"/>
              </w:tabs>
              <w:spacing w:before="0"/>
              <w:ind w:left="496" w:hanging="425"/>
              <w:rPr>
                <w:sz w:val="22"/>
                <w:szCs w:val="22"/>
              </w:rPr>
            </w:pPr>
            <w:r w:rsidRPr="000E0BFD">
              <w:rPr>
                <w:sz w:val="22"/>
                <w:szCs w:val="22"/>
              </w:rPr>
              <w:t>–</w:t>
            </w:r>
            <w:r w:rsidRPr="000E0BFD">
              <w:rPr>
                <w:sz w:val="22"/>
                <w:szCs w:val="22"/>
              </w:rPr>
              <w:tab/>
            </w:r>
            <w:r w:rsidR="001350B9" w:rsidRPr="000E0BFD">
              <w:rPr>
                <w:sz w:val="22"/>
                <w:szCs w:val="22"/>
              </w:rPr>
              <w:t>A</w:t>
            </w:r>
            <w:r w:rsidRPr="000E0BFD">
              <w:rPr>
                <w:sz w:val="22"/>
                <w:szCs w:val="22"/>
              </w:rPr>
              <w:t>l</w:t>
            </w:r>
            <w:r w:rsidR="001350B9" w:rsidRPr="000E0BFD">
              <w:rPr>
                <w:sz w:val="22"/>
                <w:szCs w:val="22"/>
              </w:rPr>
              <w:t xml:space="preserve"> </w:t>
            </w:r>
            <w:proofErr w:type="gramStart"/>
            <w:r w:rsidR="001350B9" w:rsidRPr="000E0BFD">
              <w:rPr>
                <w:sz w:val="22"/>
                <w:szCs w:val="22"/>
              </w:rPr>
              <w:t>Director</w:t>
            </w:r>
            <w:proofErr w:type="gramEnd"/>
            <w:r w:rsidR="001350B9" w:rsidRPr="000E0BFD">
              <w:rPr>
                <w:sz w:val="22"/>
                <w:szCs w:val="22"/>
              </w:rPr>
              <w:t xml:space="preserve"> de la Oficina de Desarrollo de las Telecomunicaciones;</w:t>
            </w:r>
          </w:p>
          <w:p w14:paraId="523698C6" w14:textId="3C8E30C2" w:rsidR="001350B9" w:rsidRPr="000E0BFD" w:rsidRDefault="00B77164" w:rsidP="00B77164">
            <w:pPr>
              <w:tabs>
                <w:tab w:val="clear" w:pos="794"/>
                <w:tab w:val="clear" w:pos="1191"/>
                <w:tab w:val="left" w:pos="510"/>
                <w:tab w:val="left" w:pos="4111"/>
              </w:tabs>
              <w:spacing w:before="0"/>
              <w:ind w:left="496" w:hanging="425"/>
              <w:rPr>
                <w:sz w:val="22"/>
                <w:szCs w:val="22"/>
              </w:rPr>
            </w:pPr>
            <w:r w:rsidRPr="000E0BFD">
              <w:rPr>
                <w:sz w:val="22"/>
                <w:szCs w:val="22"/>
              </w:rPr>
              <w:t>–</w:t>
            </w:r>
            <w:r w:rsidRPr="000E0BFD">
              <w:rPr>
                <w:sz w:val="22"/>
                <w:szCs w:val="22"/>
              </w:rPr>
              <w:tab/>
            </w:r>
            <w:r w:rsidR="001350B9" w:rsidRPr="000E0BFD">
              <w:rPr>
                <w:sz w:val="22"/>
                <w:szCs w:val="22"/>
              </w:rPr>
              <w:t xml:space="preserve">Al </w:t>
            </w:r>
            <w:proofErr w:type="gramStart"/>
            <w:r w:rsidR="001350B9" w:rsidRPr="000E0BFD">
              <w:rPr>
                <w:sz w:val="22"/>
                <w:szCs w:val="22"/>
              </w:rPr>
              <w:t>Director</w:t>
            </w:r>
            <w:proofErr w:type="gramEnd"/>
            <w:r w:rsidR="001350B9" w:rsidRPr="000E0BFD">
              <w:rPr>
                <w:sz w:val="22"/>
                <w:szCs w:val="22"/>
              </w:rPr>
              <w:t xml:space="preserve"> de la Oficina de Radiocomunicaciones</w:t>
            </w:r>
          </w:p>
        </w:tc>
      </w:tr>
      <w:tr w:rsidR="001350B9" w:rsidRPr="000E0BFD" w14:paraId="64B91315" w14:textId="77777777" w:rsidTr="00B77164">
        <w:trPr>
          <w:cantSplit/>
        </w:trPr>
        <w:tc>
          <w:tcPr>
            <w:tcW w:w="1410" w:type="dxa"/>
          </w:tcPr>
          <w:p w14:paraId="10135657" w14:textId="77777777" w:rsidR="001350B9" w:rsidRPr="000E0BFD" w:rsidRDefault="001350B9" w:rsidP="000E0BFD">
            <w:pPr>
              <w:tabs>
                <w:tab w:val="left" w:pos="4111"/>
              </w:tabs>
              <w:spacing w:before="10"/>
              <w:rPr>
                <w:sz w:val="22"/>
                <w:szCs w:val="22"/>
              </w:rPr>
            </w:pPr>
            <w:r w:rsidRPr="000E0BFD">
              <w:rPr>
                <w:sz w:val="22"/>
                <w:szCs w:val="22"/>
              </w:rPr>
              <w:t>Tel.:</w:t>
            </w:r>
          </w:p>
        </w:tc>
        <w:tc>
          <w:tcPr>
            <w:tcW w:w="3467" w:type="dxa"/>
          </w:tcPr>
          <w:p w14:paraId="50E40220" w14:textId="41100D2E" w:rsidR="001350B9" w:rsidRPr="000E0BFD" w:rsidRDefault="001350B9" w:rsidP="00303D62">
            <w:pPr>
              <w:tabs>
                <w:tab w:val="left" w:pos="4111"/>
              </w:tabs>
              <w:spacing w:before="0"/>
              <w:ind w:left="57"/>
              <w:rPr>
                <w:rStyle w:val="Hyperlink"/>
                <w:sz w:val="22"/>
                <w:szCs w:val="22"/>
              </w:rPr>
            </w:pPr>
            <w:r w:rsidRPr="000E0BFD">
              <w:rPr>
                <w:sz w:val="22"/>
                <w:szCs w:val="22"/>
              </w:rPr>
              <w:t>+41 22 730</w:t>
            </w:r>
            <w:r w:rsidR="00B77164" w:rsidRPr="000E0BFD">
              <w:rPr>
                <w:sz w:val="22"/>
                <w:szCs w:val="22"/>
              </w:rPr>
              <w:t xml:space="preserve"> 5858</w:t>
            </w:r>
          </w:p>
        </w:tc>
        <w:tc>
          <w:tcPr>
            <w:tcW w:w="5329" w:type="dxa"/>
            <w:vMerge/>
          </w:tcPr>
          <w:p w14:paraId="56325A25" w14:textId="77777777" w:rsidR="001350B9" w:rsidRPr="000E0BFD" w:rsidRDefault="001350B9" w:rsidP="00303D62">
            <w:pPr>
              <w:tabs>
                <w:tab w:val="left" w:pos="226"/>
                <w:tab w:val="left" w:pos="510"/>
              </w:tabs>
              <w:spacing w:before="0"/>
              <w:ind w:left="226" w:hanging="169"/>
              <w:rPr>
                <w:b/>
                <w:sz w:val="22"/>
                <w:szCs w:val="22"/>
              </w:rPr>
            </w:pPr>
          </w:p>
        </w:tc>
      </w:tr>
      <w:tr w:rsidR="001350B9" w:rsidRPr="000E0BFD" w14:paraId="2D9F2BD1" w14:textId="77777777" w:rsidTr="00B77164">
        <w:trPr>
          <w:cantSplit/>
        </w:trPr>
        <w:tc>
          <w:tcPr>
            <w:tcW w:w="1410" w:type="dxa"/>
          </w:tcPr>
          <w:p w14:paraId="2B1DFE12" w14:textId="77777777" w:rsidR="001350B9" w:rsidRPr="000E0BFD" w:rsidRDefault="001350B9" w:rsidP="000E0BFD">
            <w:pPr>
              <w:tabs>
                <w:tab w:val="left" w:pos="4111"/>
              </w:tabs>
              <w:spacing w:before="10"/>
              <w:rPr>
                <w:sz w:val="22"/>
                <w:szCs w:val="22"/>
              </w:rPr>
            </w:pPr>
            <w:r w:rsidRPr="000E0BFD">
              <w:rPr>
                <w:sz w:val="22"/>
                <w:szCs w:val="22"/>
              </w:rPr>
              <w:t>Fax:</w:t>
            </w:r>
          </w:p>
        </w:tc>
        <w:tc>
          <w:tcPr>
            <w:tcW w:w="3467" w:type="dxa"/>
          </w:tcPr>
          <w:p w14:paraId="38A8D287" w14:textId="77777777" w:rsidR="001350B9" w:rsidRPr="000E0BFD" w:rsidRDefault="001350B9" w:rsidP="00303D62">
            <w:pPr>
              <w:tabs>
                <w:tab w:val="left" w:pos="4111"/>
              </w:tabs>
              <w:spacing w:before="0"/>
              <w:ind w:left="57"/>
              <w:rPr>
                <w:rStyle w:val="Hyperlink"/>
                <w:sz w:val="22"/>
                <w:szCs w:val="22"/>
              </w:rPr>
            </w:pPr>
            <w:r w:rsidRPr="000E0BFD">
              <w:rPr>
                <w:sz w:val="22"/>
                <w:szCs w:val="22"/>
              </w:rPr>
              <w:t>+41 22 730 5853</w:t>
            </w:r>
          </w:p>
        </w:tc>
        <w:tc>
          <w:tcPr>
            <w:tcW w:w="5329" w:type="dxa"/>
            <w:vMerge/>
          </w:tcPr>
          <w:p w14:paraId="3FA164A7" w14:textId="77777777" w:rsidR="001350B9" w:rsidRPr="000E0BFD" w:rsidRDefault="001350B9" w:rsidP="00303D62">
            <w:pPr>
              <w:tabs>
                <w:tab w:val="left" w:pos="226"/>
                <w:tab w:val="left" w:pos="510"/>
              </w:tabs>
              <w:spacing w:before="0"/>
              <w:ind w:left="226" w:hanging="169"/>
              <w:rPr>
                <w:b/>
                <w:sz w:val="22"/>
                <w:szCs w:val="22"/>
              </w:rPr>
            </w:pPr>
          </w:p>
        </w:tc>
      </w:tr>
      <w:tr w:rsidR="001350B9" w:rsidRPr="000E0BFD" w14:paraId="6DCCE406" w14:textId="77777777" w:rsidTr="000E0BFD">
        <w:trPr>
          <w:cantSplit/>
          <w:trHeight w:val="2592"/>
        </w:trPr>
        <w:tc>
          <w:tcPr>
            <w:tcW w:w="1410" w:type="dxa"/>
          </w:tcPr>
          <w:p w14:paraId="4E60BFE6" w14:textId="7782047F" w:rsidR="001350B9" w:rsidRPr="000E0BFD" w:rsidRDefault="001350B9" w:rsidP="000E0BFD">
            <w:pPr>
              <w:tabs>
                <w:tab w:val="clear" w:pos="794"/>
                <w:tab w:val="clear" w:pos="1191"/>
                <w:tab w:val="left" w:pos="100"/>
                <w:tab w:val="left" w:pos="4111"/>
              </w:tabs>
              <w:spacing w:before="0"/>
              <w:ind w:left="75" w:hanging="75"/>
              <w:rPr>
                <w:sz w:val="22"/>
                <w:szCs w:val="22"/>
              </w:rPr>
            </w:pPr>
            <w:r w:rsidRPr="000E0BFD">
              <w:rPr>
                <w:sz w:val="22"/>
                <w:szCs w:val="22"/>
              </w:rPr>
              <w:t>Correo-e:</w:t>
            </w:r>
          </w:p>
        </w:tc>
        <w:tc>
          <w:tcPr>
            <w:tcW w:w="3467" w:type="dxa"/>
          </w:tcPr>
          <w:p w14:paraId="70AEC5A0" w14:textId="3B9234C2" w:rsidR="001350B9" w:rsidRPr="000E0BFD" w:rsidRDefault="00B77164" w:rsidP="00B77164">
            <w:pPr>
              <w:pStyle w:val="Tabletext0"/>
              <w:tabs>
                <w:tab w:val="clear" w:pos="1134"/>
                <w:tab w:val="clear" w:pos="2268"/>
                <w:tab w:val="left" w:pos="794"/>
                <w:tab w:val="left" w:pos="1191"/>
                <w:tab w:val="left" w:pos="1588"/>
              </w:tabs>
              <w:rPr>
                <w:szCs w:val="22"/>
              </w:rPr>
            </w:pPr>
            <w:hyperlink r:id="rId12" w:history="1">
              <w:r w:rsidRPr="000E0BFD">
                <w:rPr>
                  <w:rStyle w:val="Hyperlink"/>
                  <w:rFonts w:cstheme="minorHAnsi"/>
                  <w:szCs w:val="22"/>
                  <w:lang w:val="en-GB"/>
                </w:rPr>
                <w:t>tsbsg21@itu.int</w:t>
              </w:r>
            </w:hyperlink>
            <w:r w:rsidR="001350B9" w:rsidRPr="000E0BFD">
              <w:rPr>
                <w:szCs w:val="22"/>
              </w:rPr>
              <w:t xml:space="preserve"> </w:t>
            </w:r>
          </w:p>
        </w:tc>
        <w:tc>
          <w:tcPr>
            <w:tcW w:w="5329" w:type="dxa"/>
            <w:vMerge/>
          </w:tcPr>
          <w:p w14:paraId="7BE07A9D" w14:textId="77777777" w:rsidR="001350B9" w:rsidRPr="000E0BFD" w:rsidRDefault="001350B9" w:rsidP="00B77164">
            <w:pPr>
              <w:tabs>
                <w:tab w:val="clear" w:pos="794"/>
                <w:tab w:val="clear" w:pos="1191"/>
                <w:tab w:val="left" w:pos="510"/>
                <w:tab w:val="left" w:pos="4111"/>
              </w:tabs>
              <w:spacing w:before="0"/>
              <w:ind w:left="496" w:hanging="425"/>
              <w:rPr>
                <w:sz w:val="22"/>
                <w:szCs w:val="22"/>
              </w:rPr>
            </w:pPr>
          </w:p>
        </w:tc>
      </w:tr>
      <w:tr w:rsidR="007B6316" w:rsidRPr="000E0BFD" w14:paraId="58B9FFB8" w14:textId="77777777" w:rsidTr="00F8049D">
        <w:trPr>
          <w:cantSplit/>
          <w:trHeight w:val="616"/>
        </w:trPr>
        <w:tc>
          <w:tcPr>
            <w:tcW w:w="1410" w:type="dxa"/>
          </w:tcPr>
          <w:p w14:paraId="5A2513BA" w14:textId="77777777" w:rsidR="007B6316" w:rsidRPr="000E0BFD" w:rsidRDefault="007B6316" w:rsidP="000E0BFD">
            <w:pPr>
              <w:tabs>
                <w:tab w:val="left" w:pos="4111"/>
              </w:tabs>
              <w:spacing w:before="10"/>
              <w:ind w:left="-15" w:firstLine="15"/>
              <w:rPr>
                <w:sz w:val="22"/>
                <w:szCs w:val="22"/>
              </w:rPr>
            </w:pPr>
            <w:r w:rsidRPr="000E0BFD">
              <w:rPr>
                <w:b/>
                <w:bCs/>
                <w:sz w:val="22"/>
                <w:szCs w:val="22"/>
              </w:rPr>
              <w:t>Asunto</w:t>
            </w:r>
            <w:r w:rsidRPr="000E0BFD">
              <w:rPr>
                <w:sz w:val="22"/>
                <w:szCs w:val="22"/>
              </w:rPr>
              <w:t>:</w:t>
            </w:r>
          </w:p>
        </w:tc>
        <w:tc>
          <w:tcPr>
            <w:tcW w:w="8796" w:type="dxa"/>
            <w:gridSpan w:val="2"/>
          </w:tcPr>
          <w:p w14:paraId="5B72A893" w14:textId="64D4C4B2" w:rsidR="007B6316" w:rsidRPr="000E0BFD" w:rsidRDefault="00B77164" w:rsidP="00303D62">
            <w:pPr>
              <w:tabs>
                <w:tab w:val="left" w:pos="4111"/>
              </w:tabs>
              <w:spacing w:before="0"/>
              <w:rPr>
                <w:b/>
                <w:sz w:val="22"/>
                <w:szCs w:val="22"/>
              </w:rPr>
            </w:pPr>
            <w:r w:rsidRPr="000E0BFD">
              <w:rPr>
                <w:rFonts w:cstheme="minorHAnsi"/>
                <w:b/>
                <w:sz w:val="22"/>
                <w:szCs w:val="22"/>
                <w:lang w:val="es-ES"/>
              </w:rPr>
              <w:t xml:space="preserve">Situación de la Recomendación UIT-T F.748.39 (ex </w:t>
            </w:r>
            <w:proofErr w:type="gramStart"/>
            <w:r w:rsidR="00263018" w:rsidRPr="000E0BFD">
              <w:rPr>
                <w:rFonts w:cstheme="minorHAnsi"/>
                <w:b/>
                <w:sz w:val="22"/>
                <w:szCs w:val="22"/>
                <w:lang w:val="es-ES"/>
              </w:rPr>
              <w:t>F.AICP</w:t>
            </w:r>
            <w:proofErr w:type="gramEnd"/>
            <w:r w:rsidRPr="000E0BFD">
              <w:rPr>
                <w:rFonts w:cstheme="minorHAnsi"/>
                <w:b/>
                <w:sz w:val="22"/>
                <w:szCs w:val="22"/>
                <w:lang w:val="es-ES"/>
              </w:rPr>
              <w:t>-FRRC) después de la reunión de la Comisión de Estudio 21 del UIT-T (Ginebra, 13-24 de enero de 2025)</w:t>
            </w:r>
          </w:p>
        </w:tc>
      </w:tr>
    </w:tbl>
    <w:p w14:paraId="72941A65" w14:textId="7674ACC7" w:rsidR="00C34772" w:rsidRPr="000E0BFD" w:rsidRDefault="00C34772" w:rsidP="000E0BFD">
      <w:pPr>
        <w:pStyle w:val="Normalaftertitle"/>
        <w:spacing w:before="120"/>
        <w:rPr>
          <w:sz w:val="22"/>
          <w:szCs w:val="22"/>
        </w:rPr>
      </w:pPr>
      <w:bookmarkStart w:id="1" w:name="StartTyping_S"/>
      <w:bookmarkStart w:id="2" w:name="suitetext"/>
      <w:bookmarkStart w:id="3" w:name="text"/>
      <w:bookmarkEnd w:id="1"/>
      <w:bookmarkEnd w:id="2"/>
      <w:bookmarkEnd w:id="3"/>
      <w:r w:rsidRPr="000E0BFD">
        <w:rPr>
          <w:sz w:val="22"/>
          <w:szCs w:val="22"/>
        </w:rPr>
        <w:t>Muy Señora mía/Muy Señor mío</w:t>
      </w:r>
      <w:r w:rsidR="000E0BFD">
        <w:rPr>
          <w:sz w:val="22"/>
          <w:szCs w:val="22"/>
        </w:rPr>
        <w:t>,</w:t>
      </w:r>
    </w:p>
    <w:p w14:paraId="6BCDA456" w14:textId="270A5179" w:rsidR="00263018" w:rsidRPr="000E0BFD" w:rsidRDefault="00263018" w:rsidP="009E2957">
      <w:pPr>
        <w:spacing w:after="240"/>
        <w:rPr>
          <w:sz w:val="22"/>
          <w:szCs w:val="22"/>
          <w:lang w:val="es-ES"/>
        </w:rPr>
      </w:pPr>
      <w:r w:rsidRPr="000E0BFD">
        <w:rPr>
          <w:bCs/>
          <w:sz w:val="22"/>
          <w:szCs w:val="22"/>
          <w:lang w:val="es-ES"/>
        </w:rPr>
        <w:t>1</w:t>
      </w:r>
      <w:r w:rsidRPr="000E0BFD">
        <w:rPr>
          <w:sz w:val="22"/>
          <w:szCs w:val="22"/>
          <w:lang w:val="es-ES"/>
        </w:rPr>
        <w:tab/>
      </w:r>
      <w:proofErr w:type="gramStart"/>
      <w:r w:rsidRPr="000E0BFD">
        <w:rPr>
          <w:sz w:val="22"/>
          <w:szCs w:val="22"/>
          <w:lang w:val="es-ES"/>
        </w:rPr>
        <w:t>A</w:t>
      </w:r>
      <w:proofErr w:type="gramEnd"/>
      <w:r w:rsidRPr="000E0BFD">
        <w:rPr>
          <w:sz w:val="22"/>
          <w:szCs w:val="22"/>
          <w:lang w:val="es-ES"/>
        </w:rPr>
        <w:t xml:space="preserve"> raíz de la </w:t>
      </w:r>
      <w:hyperlink r:id="rId13" w:history="1">
        <w:r w:rsidRPr="000E0BFD">
          <w:rPr>
            <w:rStyle w:val="Hyperlink"/>
            <w:rFonts w:cstheme="minorHAnsi"/>
            <w:sz w:val="22"/>
            <w:szCs w:val="22"/>
            <w:lang w:val="es-ES"/>
          </w:rPr>
          <w:t>Circular TSB 207</w:t>
        </w:r>
      </w:hyperlink>
      <w:r w:rsidRPr="000E0BFD">
        <w:rPr>
          <w:sz w:val="22"/>
          <w:szCs w:val="22"/>
          <w:lang w:val="es-ES"/>
        </w:rPr>
        <w:t xml:space="preserve"> de 11 de junio de 2024 (y su revisión de 23 de septiembre de 2024), y de conformidad con las cláusulas 9.5 y 9.6 de la Resolución 1 (Rev. Ginebra, 2022), por la presente le informo de que la Comisión de Estudio 21 adoptó en su Sesión Plenaria, celebrada el 24 de enero de 2025 en Ginebra, la siguiente decisión sobre el proyecto de texto del UIT-T indicado a continuación:</w:t>
      </w:r>
    </w:p>
    <w:tbl>
      <w:tblPr>
        <w:tblW w:w="522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7"/>
        <w:gridCol w:w="5338"/>
        <w:gridCol w:w="2761"/>
      </w:tblGrid>
      <w:tr w:rsidR="00263018" w:rsidRPr="000E0BFD" w14:paraId="46EA66FE" w14:textId="77777777" w:rsidTr="00F8049D">
        <w:trPr>
          <w:trHeight w:val="265"/>
        </w:trPr>
        <w:tc>
          <w:tcPr>
            <w:tcW w:w="973" w:type="pct"/>
            <w:shd w:val="clear" w:color="auto" w:fill="auto"/>
            <w:tcMar>
              <w:top w:w="105" w:type="dxa"/>
              <w:left w:w="75" w:type="dxa"/>
              <w:bottom w:w="90" w:type="dxa"/>
              <w:right w:w="75" w:type="dxa"/>
            </w:tcMar>
            <w:hideMark/>
          </w:tcPr>
          <w:p w14:paraId="4B265E6B" w14:textId="77777777" w:rsidR="00263018" w:rsidRPr="000E0BFD" w:rsidRDefault="00263018" w:rsidP="00263018">
            <w:pPr>
              <w:pStyle w:val="Tablehead0"/>
              <w:rPr>
                <w:szCs w:val="22"/>
                <w:lang w:eastAsia="en-GB"/>
              </w:rPr>
            </w:pPr>
            <w:r w:rsidRPr="000E0BFD">
              <w:rPr>
                <w:szCs w:val="22"/>
                <w:bdr w:val="none" w:sz="0" w:space="0" w:color="auto" w:frame="1"/>
                <w:lang w:eastAsia="en-GB"/>
              </w:rPr>
              <w:t>Número</w:t>
            </w:r>
          </w:p>
        </w:tc>
        <w:tc>
          <w:tcPr>
            <w:tcW w:w="2654" w:type="pct"/>
            <w:shd w:val="clear" w:color="auto" w:fill="auto"/>
            <w:tcMar>
              <w:top w:w="105" w:type="dxa"/>
              <w:left w:w="75" w:type="dxa"/>
              <w:bottom w:w="90" w:type="dxa"/>
              <w:right w:w="75" w:type="dxa"/>
            </w:tcMar>
            <w:hideMark/>
          </w:tcPr>
          <w:p w14:paraId="1A010D5C" w14:textId="77777777" w:rsidR="00263018" w:rsidRPr="000E0BFD" w:rsidRDefault="00263018" w:rsidP="00263018">
            <w:pPr>
              <w:pStyle w:val="Tablehead0"/>
              <w:rPr>
                <w:szCs w:val="22"/>
                <w:lang w:eastAsia="en-GB"/>
              </w:rPr>
            </w:pPr>
            <w:r w:rsidRPr="000E0BFD">
              <w:rPr>
                <w:szCs w:val="22"/>
                <w:bdr w:val="none" w:sz="0" w:space="0" w:color="auto" w:frame="1"/>
                <w:lang w:eastAsia="en-GB"/>
              </w:rPr>
              <w:t>Título</w:t>
            </w:r>
          </w:p>
        </w:tc>
        <w:tc>
          <w:tcPr>
            <w:tcW w:w="1373" w:type="pct"/>
            <w:shd w:val="clear" w:color="auto" w:fill="auto"/>
            <w:tcMar>
              <w:top w:w="105" w:type="dxa"/>
              <w:left w:w="75" w:type="dxa"/>
              <w:bottom w:w="90" w:type="dxa"/>
              <w:right w:w="75" w:type="dxa"/>
            </w:tcMar>
            <w:hideMark/>
          </w:tcPr>
          <w:p w14:paraId="356A37C6" w14:textId="77777777" w:rsidR="00263018" w:rsidRPr="000E0BFD" w:rsidRDefault="00263018" w:rsidP="00263018">
            <w:pPr>
              <w:pStyle w:val="Tablehead0"/>
              <w:rPr>
                <w:szCs w:val="22"/>
                <w:lang w:eastAsia="en-GB"/>
              </w:rPr>
            </w:pPr>
            <w:r w:rsidRPr="000E0BFD">
              <w:rPr>
                <w:szCs w:val="22"/>
                <w:lang w:eastAsia="en-GB"/>
              </w:rPr>
              <w:t>Decisión</w:t>
            </w:r>
          </w:p>
        </w:tc>
      </w:tr>
      <w:tr w:rsidR="00263018" w:rsidRPr="000E0BFD" w14:paraId="6A954B98" w14:textId="77777777" w:rsidTr="00F8049D">
        <w:tc>
          <w:tcPr>
            <w:tcW w:w="973" w:type="pct"/>
            <w:shd w:val="clear" w:color="auto" w:fill="auto"/>
            <w:tcMar>
              <w:top w:w="105" w:type="dxa"/>
              <w:left w:w="75" w:type="dxa"/>
              <w:bottom w:w="90" w:type="dxa"/>
              <w:right w:w="75" w:type="dxa"/>
            </w:tcMar>
            <w:vAlign w:val="center"/>
          </w:tcPr>
          <w:p w14:paraId="297E03BA" w14:textId="3D7EE3E1" w:rsidR="00263018" w:rsidRPr="000E0BFD" w:rsidRDefault="00263018" w:rsidP="00263018">
            <w:pPr>
              <w:pStyle w:val="Tabletext0"/>
              <w:jc w:val="center"/>
              <w:rPr>
                <w:szCs w:val="22"/>
                <w:lang w:val="fr-FR"/>
              </w:rPr>
            </w:pPr>
            <w:r w:rsidRPr="000E0BFD">
              <w:rPr>
                <w:szCs w:val="22"/>
                <w:lang w:val="fr-CH"/>
              </w:rPr>
              <w:t xml:space="preserve">UIT-T F.748.39 (ex </w:t>
            </w:r>
            <w:proofErr w:type="gramStart"/>
            <w:r w:rsidRPr="000E0BFD">
              <w:rPr>
                <w:szCs w:val="22"/>
                <w:lang w:val="fr-CH"/>
              </w:rPr>
              <w:t>F.AICP</w:t>
            </w:r>
            <w:proofErr w:type="gramEnd"/>
            <w:r w:rsidRPr="000E0BFD">
              <w:rPr>
                <w:szCs w:val="22"/>
                <w:lang w:val="fr-CH"/>
              </w:rPr>
              <w:t>-FRRC)</w:t>
            </w:r>
          </w:p>
        </w:tc>
        <w:tc>
          <w:tcPr>
            <w:tcW w:w="2654" w:type="pct"/>
            <w:shd w:val="clear" w:color="auto" w:fill="auto"/>
            <w:tcMar>
              <w:top w:w="105" w:type="dxa"/>
              <w:left w:w="75" w:type="dxa"/>
              <w:bottom w:w="90" w:type="dxa"/>
              <w:right w:w="75" w:type="dxa"/>
            </w:tcMar>
          </w:tcPr>
          <w:p w14:paraId="6261CE29" w14:textId="53562352" w:rsidR="00263018" w:rsidRPr="000E0BFD" w:rsidRDefault="00263018" w:rsidP="00263018">
            <w:pPr>
              <w:pStyle w:val="Tabletext0"/>
              <w:jc w:val="center"/>
              <w:rPr>
                <w:szCs w:val="22"/>
                <w:lang w:val="es-ES" w:eastAsia="ko-KR"/>
              </w:rPr>
            </w:pPr>
            <w:r w:rsidRPr="000E0BFD">
              <w:rPr>
                <w:szCs w:val="22"/>
                <w:lang w:val="es-ES" w:eastAsia="ko-KR"/>
              </w:rPr>
              <w:t>Requisitos funcionales y arquitectura de referencia de la plataforma de inteligencia artificial en la nube para el funcionamiento y el mantenimiento de redes eléctricas inteligentes</w:t>
            </w:r>
          </w:p>
        </w:tc>
        <w:tc>
          <w:tcPr>
            <w:tcW w:w="1373" w:type="pct"/>
            <w:shd w:val="clear" w:color="auto" w:fill="auto"/>
            <w:tcMar>
              <w:top w:w="105" w:type="dxa"/>
              <w:left w:w="75" w:type="dxa"/>
              <w:bottom w:w="90" w:type="dxa"/>
              <w:right w:w="75" w:type="dxa"/>
            </w:tcMar>
          </w:tcPr>
          <w:p w14:paraId="5D2EE1B2" w14:textId="77777777" w:rsidR="00263018" w:rsidRPr="000E0BFD" w:rsidRDefault="00263018" w:rsidP="00263018">
            <w:pPr>
              <w:pStyle w:val="Tabletext0"/>
              <w:jc w:val="center"/>
              <w:rPr>
                <w:szCs w:val="22"/>
              </w:rPr>
            </w:pPr>
            <w:r w:rsidRPr="000E0BFD">
              <w:rPr>
                <w:szCs w:val="22"/>
              </w:rPr>
              <w:t>Estudios adicionales necesarios</w:t>
            </w:r>
          </w:p>
        </w:tc>
      </w:tr>
    </w:tbl>
    <w:p w14:paraId="7C81EF91" w14:textId="77777777" w:rsidR="00263018" w:rsidRPr="000E0BFD" w:rsidRDefault="00263018" w:rsidP="000E0BFD">
      <w:pPr>
        <w:spacing w:after="120"/>
        <w:rPr>
          <w:sz w:val="22"/>
          <w:szCs w:val="22"/>
          <w:lang w:val="es-ES"/>
        </w:rPr>
      </w:pPr>
      <w:r w:rsidRPr="000E0BFD">
        <w:rPr>
          <w:sz w:val="22"/>
          <w:szCs w:val="22"/>
          <w:lang w:val="es-ES"/>
        </w:rPr>
        <w:t xml:space="preserve">La Recomendación no fue aprobada durante la reunión. </w:t>
      </w:r>
    </w:p>
    <w:p w14:paraId="1FD0765A" w14:textId="3EA95C20" w:rsidR="00263018" w:rsidRPr="000E0BFD" w:rsidRDefault="00263018" w:rsidP="00263018">
      <w:pPr>
        <w:rPr>
          <w:sz w:val="22"/>
          <w:szCs w:val="22"/>
          <w:lang w:val="es-ES"/>
        </w:rPr>
      </w:pPr>
      <w:r w:rsidRPr="000E0BFD">
        <w:rPr>
          <w:sz w:val="22"/>
          <w:szCs w:val="22"/>
          <w:lang w:val="es-ES"/>
        </w:rPr>
        <w:t xml:space="preserve">La CE21 decidió seguir estudiando este tema en futuras reuniones como consecuencia de las respuestas recibidas de los Estados Miembros durante la consulta sobre el proyecto de Recomendación UIT-T F.748.39 (ex </w:t>
      </w:r>
      <w:proofErr w:type="gramStart"/>
      <w:r w:rsidRPr="000E0BFD">
        <w:rPr>
          <w:sz w:val="22"/>
          <w:szCs w:val="22"/>
          <w:lang w:val="es-ES"/>
        </w:rPr>
        <w:t>F.AICP</w:t>
      </w:r>
      <w:proofErr w:type="gramEnd"/>
      <w:r w:rsidRPr="000E0BFD">
        <w:rPr>
          <w:sz w:val="22"/>
          <w:szCs w:val="22"/>
          <w:lang w:val="es-ES"/>
        </w:rPr>
        <w:t xml:space="preserve">-FRRC) determinado, disponibles en </w:t>
      </w:r>
      <w:hyperlink r:id="rId14" w:history="1">
        <w:r w:rsidRPr="000E0BFD">
          <w:rPr>
            <w:rStyle w:val="Hyperlink"/>
            <w:sz w:val="22"/>
            <w:szCs w:val="22"/>
            <w:lang w:val="es-ES"/>
          </w:rPr>
          <w:t>SG21-TD20/PLEN</w:t>
        </w:r>
      </w:hyperlink>
      <w:r w:rsidRPr="000E0BFD">
        <w:rPr>
          <w:sz w:val="22"/>
          <w:szCs w:val="22"/>
          <w:lang w:val="es-ES"/>
        </w:rPr>
        <w:t xml:space="preserve">. </w:t>
      </w:r>
    </w:p>
    <w:p w14:paraId="7CE35948" w14:textId="7456E2CF" w:rsidR="000E0BFD" w:rsidRDefault="00263018" w:rsidP="000E0BFD">
      <w:pPr>
        <w:rPr>
          <w:sz w:val="22"/>
          <w:szCs w:val="22"/>
          <w:lang w:val="es-ES"/>
        </w:rPr>
      </w:pPr>
      <w:r w:rsidRPr="000E0BFD">
        <w:rPr>
          <w:sz w:val="22"/>
          <w:szCs w:val="22"/>
          <w:lang w:val="es-ES"/>
        </w:rPr>
        <w:t xml:space="preserve">Por consiguiente, de llegarse a un consenso sobre el texto revisado, la Recomendación se volverá a presentar para su determinación en futuras reuniones. El proyecto actualizado examinado en la última reunión de la CE21 puede encontrarse en </w:t>
      </w:r>
      <w:hyperlink r:id="rId15" w:history="1">
        <w:r w:rsidRPr="000E0BFD">
          <w:rPr>
            <w:rStyle w:val="Hyperlink"/>
            <w:sz w:val="22"/>
            <w:szCs w:val="22"/>
            <w:lang w:val="es-ES"/>
          </w:rPr>
          <w:t>SG21-TD69/WP3</w:t>
        </w:r>
      </w:hyperlink>
      <w:r w:rsidRPr="000E0BFD">
        <w:rPr>
          <w:sz w:val="22"/>
          <w:szCs w:val="22"/>
          <w:lang w:val="es-ES"/>
        </w:rPr>
        <w:t>.</w:t>
      </w:r>
    </w:p>
    <w:p w14:paraId="3832EEE3" w14:textId="38CDF3B3" w:rsidR="007B6316" w:rsidRPr="000E0BFD" w:rsidRDefault="007B6316" w:rsidP="000E0BFD">
      <w:pPr>
        <w:rPr>
          <w:sz w:val="22"/>
          <w:szCs w:val="22"/>
          <w:lang w:val="es-ES"/>
        </w:rPr>
      </w:pPr>
      <w:r w:rsidRPr="000E0BFD">
        <w:rPr>
          <w:sz w:val="22"/>
          <w:szCs w:val="22"/>
        </w:rPr>
        <w:t>Atentamente,</w:t>
      </w:r>
    </w:p>
    <w:p w14:paraId="3850ADD7" w14:textId="500ADFEF" w:rsidR="007B6316" w:rsidRPr="000E0BFD" w:rsidRDefault="001C78E6" w:rsidP="000E0BFD">
      <w:pPr>
        <w:keepNext/>
        <w:keepLines/>
        <w:spacing w:before="720"/>
        <w:rPr>
          <w:sz w:val="22"/>
          <w:szCs w:val="22"/>
        </w:rPr>
      </w:pPr>
      <w:r>
        <w:rPr>
          <w:noProof/>
          <w:sz w:val="22"/>
          <w:szCs w:val="22"/>
        </w:rPr>
        <w:drawing>
          <wp:anchor distT="0" distB="0" distL="114300" distR="114300" simplePos="0" relativeHeight="251658240" behindDoc="1" locked="0" layoutInCell="1" allowOverlap="1" wp14:anchorId="2266CF46" wp14:editId="219A06C8">
            <wp:simplePos x="0" y="0"/>
            <wp:positionH relativeFrom="margin">
              <wp:align>left</wp:align>
            </wp:positionH>
            <wp:positionV relativeFrom="paragraph">
              <wp:posOffset>102869</wp:posOffset>
            </wp:positionV>
            <wp:extent cx="706438" cy="282575"/>
            <wp:effectExtent l="0" t="0" r="0" b="3175"/>
            <wp:wrapNone/>
            <wp:docPr id="210742569"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2569" name="Picture 2" descr="A black text on a white background&#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706438" cy="282575"/>
                    </a:xfrm>
                    <a:prstGeom prst="rect">
                      <a:avLst/>
                    </a:prstGeom>
                  </pic:spPr>
                </pic:pic>
              </a:graphicData>
            </a:graphic>
            <wp14:sizeRelH relativeFrom="margin">
              <wp14:pctWidth>0</wp14:pctWidth>
            </wp14:sizeRelH>
            <wp14:sizeRelV relativeFrom="margin">
              <wp14:pctHeight>0</wp14:pctHeight>
            </wp14:sizeRelV>
          </wp:anchor>
        </w:drawing>
      </w:r>
      <w:r w:rsidR="001350B9" w:rsidRPr="000E0BFD">
        <w:rPr>
          <w:rFonts w:cstheme="minorHAnsi"/>
          <w:sz w:val="22"/>
          <w:szCs w:val="22"/>
          <w:lang w:val="es-ES"/>
        </w:rPr>
        <w:t>Seizo Onoe</w:t>
      </w:r>
      <w:r w:rsidR="007B6316" w:rsidRPr="000E0BFD">
        <w:rPr>
          <w:sz w:val="22"/>
          <w:szCs w:val="22"/>
        </w:rPr>
        <w:br/>
      </w:r>
      <w:proofErr w:type="gramStart"/>
      <w:r w:rsidR="007B6316" w:rsidRPr="000E0BFD">
        <w:rPr>
          <w:sz w:val="22"/>
          <w:szCs w:val="22"/>
        </w:rPr>
        <w:t>Director</w:t>
      </w:r>
      <w:proofErr w:type="gramEnd"/>
      <w:r w:rsidR="007B6316" w:rsidRPr="000E0BFD">
        <w:rPr>
          <w:sz w:val="22"/>
          <w:szCs w:val="22"/>
        </w:rPr>
        <w:t xml:space="preserve"> de la Oficina de </w:t>
      </w:r>
      <w:r w:rsidR="007B6316" w:rsidRPr="000E0BFD">
        <w:rPr>
          <w:sz w:val="22"/>
          <w:szCs w:val="22"/>
        </w:rPr>
        <w:br/>
        <w:t>Normalización de las Telecomunicaciones</w:t>
      </w:r>
    </w:p>
    <w:sectPr w:rsidR="007B6316" w:rsidRPr="000E0BFD" w:rsidSect="00B87E9E">
      <w:head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280F1" w14:textId="77777777" w:rsidR="00B77164" w:rsidRDefault="00B77164">
      <w:r>
        <w:separator/>
      </w:r>
    </w:p>
  </w:endnote>
  <w:endnote w:type="continuationSeparator" w:id="0">
    <w:p w14:paraId="699FDBAE" w14:textId="77777777" w:rsidR="00B77164" w:rsidRDefault="00B7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1E7F"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E1D7C" w14:textId="77777777" w:rsidR="00B77164" w:rsidRDefault="00B77164">
      <w:r>
        <w:t>____________________</w:t>
      </w:r>
    </w:p>
  </w:footnote>
  <w:footnote w:type="continuationSeparator" w:id="0">
    <w:p w14:paraId="7E34CC68" w14:textId="77777777" w:rsidR="00B77164" w:rsidRDefault="00B7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2847"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64"/>
    <w:rsid w:val="00002529"/>
    <w:rsid w:val="00085662"/>
    <w:rsid w:val="000A5386"/>
    <w:rsid w:val="000C2ED6"/>
    <w:rsid w:val="000C382F"/>
    <w:rsid w:val="000E0BFD"/>
    <w:rsid w:val="001173CC"/>
    <w:rsid w:val="001350B9"/>
    <w:rsid w:val="0014464D"/>
    <w:rsid w:val="001A54CC"/>
    <w:rsid w:val="001C78E6"/>
    <w:rsid w:val="00257FB4"/>
    <w:rsid w:val="00263018"/>
    <w:rsid w:val="002E496E"/>
    <w:rsid w:val="002E7E3C"/>
    <w:rsid w:val="00303D62"/>
    <w:rsid w:val="00335367"/>
    <w:rsid w:val="00370C2D"/>
    <w:rsid w:val="003B2537"/>
    <w:rsid w:val="003D1E8D"/>
    <w:rsid w:val="003D673B"/>
    <w:rsid w:val="003F2855"/>
    <w:rsid w:val="00401C20"/>
    <w:rsid w:val="004A7957"/>
    <w:rsid w:val="004C4144"/>
    <w:rsid w:val="0055719E"/>
    <w:rsid w:val="006636A8"/>
    <w:rsid w:val="00675A63"/>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9E2957"/>
    <w:rsid w:val="00A54E47"/>
    <w:rsid w:val="00AB6E3A"/>
    <w:rsid w:val="00AE7093"/>
    <w:rsid w:val="00B422BC"/>
    <w:rsid w:val="00B43F77"/>
    <w:rsid w:val="00B55A3E"/>
    <w:rsid w:val="00B77164"/>
    <w:rsid w:val="00B87E9E"/>
    <w:rsid w:val="00B95F0A"/>
    <w:rsid w:val="00B96180"/>
    <w:rsid w:val="00BC09F0"/>
    <w:rsid w:val="00C116FE"/>
    <w:rsid w:val="00C17AC0"/>
    <w:rsid w:val="00C34772"/>
    <w:rsid w:val="00C5465A"/>
    <w:rsid w:val="00D54642"/>
    <w:rsid w:val="00D834E7"/>
    <w:rsid w:val="00DD77C9"/>
    <w:rsid w:val="00DF3538"/>
    <w:rsid w:val="00E13439"/>
    <w:rsid w:val="00E839B0"/>
    <w:rsid w:val="00E92C09"/>
    <w:rsid w:val="00F14380"/>
    <w:rsid w:val="00F6461F"/>
    <w:rsid w:val="00F8049D"/>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694A5"/>
  <w15:docId w15:val="{B1B90216-826E-4BA2-B3D4-E85089FE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link w:val="TabletextChar"/>
    <w:qFormat/>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TabletextChar">
    <w:name w:val="Table_text Char"/>
    <w:link w:val="Tabletext0"/>
    <w:qFormat/>
    <w:locked/>
    <w:rsid w:val="00B77164"/>
    <w:rPr>
      <w:rFonts w:asciiTheme="minorHAnsi" w:hAnsiTheme="minorHAnsi"/>
      <w:sz w:val="22"/>
      <w:lang w:val="es-ES_tradnl" w:eastAsia="en-US"/>
    </w:rPr>
  </w:style>
  <w:style w:type="character" w:styleId="UnresolvedMention">
    <w:name w:val="Unresolved Mention"/>
    <w:basedOn w:val="DefaultParagraphFont"/>
    <w:uiPriority w:val="99"/>
    <w:semiHidden/>
    <w:unhideWhenUsed/>
    <w:rsid w:val="00B77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B-CIR-0207/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sg21@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25-SG21-250113-TD-WP3-0069/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5-SG21-250113-TD-PLEN-0020/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ée un document." ma:contentTypeScope="" ma:versionID="c405d8c1bf82a9ca5078239b3a4000e6">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c84c66d25a2c6bcab693d2260f4bc015"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customXml/itemProps2.xml><?xml version="1.0" encoding="utf-8"?>
<ds:datastoreItem xmlns:ds="http://schemas.openxmlformats.org/officeDocument/2006/customXml" ds:itemID="{F3A1E206-ACB1-4E6B-9C5D-A1EFE6B20CC6}">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3.xml><?xml version="1.0" encoding="utf-8"?>
<ds:datastoreItem xmlns:ds="http://schemas.openxmlformats.org/officeDocument/2006/customXml" ds:itemID="{DC312BED-C855-402B-A6E2-5A50E964356D}">
  <ds:schemaRefs>
    <ds:schemaRef ds:uri="http://schemas.microsoft.com/sharepoint/v3/contenttype/forms"/>
  </ds:schemaRefs>
</ds:datastoreItem>
</file>

<file path=customXml/itemProps4.xml><?xml version="1.0" encoding="utf-8"?>
<ds:datastoreItem xmlns:ds="http://schemas.openxmlformats.org/officeDocument/2006/customXml" ds:itemID="{750A871B-78E3-4879-BDF9-486C2AEDF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33</TotalTime>
  <Pages>1</Pages>
  <Words>337</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2412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11</cp:revision>
  <cp:lastPrinted>2025-02-13T14:25:00Z</cp:lastPrinted>
  <dcterms:created xsi:type="dcterms:W3CDTF">2025-02-10T09:45:00Z</dcterms:created>
  <dcterms:modified xsi:type="dcterms:W3CDTF">2025-02-13T14:26:00Z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y fmtid="{D5CDD505-2E9C-101B-9397-08002B2CF9AE}" pid="3" name="MediaServiceImageTags">
    <vt:lpwstr/>
  </property>
</Properties>
</file>