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FA46A0" w:rsidRPr="00813DA0" w14:paraId="0A38A024" w14:textId="77777777" w:rsidTr="00722D8C">
        <w:trPr>
          <w:trHeight w:val="1282"/>
        </w:trPr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25149" w14:textId="77777777" w:rsidR="00FA46A0" w:rsidRPr="00813DA0" w:rsidRDefault="009747C5">
            <w:pPr>
              <w:pStyle w:val="Tabletext"/>
              <w:jc w:val="center"/>
            </w:pPr>
            <w:r w:rsidRPr="00813DA0">
              <w:rPr>
                <w:noProof/>
                <w:lang w:val="en-US" w:eastAsia="zh-CN"/>
              </w:rPr>
              <w:drawing>
                <wp:inline distT="0" distB="0" distL="0" distR="0" wp14:anchorId="4F7FD8A9" wp14:editId="76A7BBC9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26952587" w14:textId="77777777" w:rsidR="00FA46A0" w:rsidRPr="00813D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813DA0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2CD74E0" w14:textId="77777777" w:rsidR="00FA46A0" w:rsidRPr="00813D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813DA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97E21" w14:textId="77777777" w:rsidR="00FA46A0" w:rsidRPr="00813D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813DA0" w14:paraId="52E18B78" w14:textId="77777777" w:rsidTr="00B3723D">
        <w:trPr>
          <w:cantSplit/>
          <w:trHeight w:val="897"/>
        </w:trPr>
        <w:tc>
          <w:tcPr>
            <w:tcW w:w="4820" w:type="dxa"/>
            <w:gridSpan w:val="2"/>
            <w:vAlign w:val="center"/>
          </w:tcPr>
          <w:p w14:paraId="39644AFD" w14:textId="77777777" w:rsidR="00FA46A0" w:rsidRPr="00813DA0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79D9171" w14:textId="2364E399" w:rsidR="00FA46A0" w:rsidRPr="00813DA0" w:rsidRDefault="00B61012" w:rsidP="00722D8C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3723D">
              <w:rPr>
                <w:rFonts w:asciiTheme="minorHAnsi" w:hAnsiTheme="minorHAnsi" w:cstheme="minorHAnsi"/>
                <w:sz w:val="22"/>
                <w:szCs w:val="22"/>
              </w:rPr>
              <w:t>Geneva,</w:t>
            </w:r>
            <w:r w:rsidR="00595F30" w:rsidRPr="00B37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23D" w:rsidRPr="00B3723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3602E" w:rsidRPr="00B37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6FFA" w:rsidRPr="00B3723D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93602E" w:rsidRPr="00B3723D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</w:tc>
      </w:tr>
      <w:tr w:rsidR="00FA46A0" w:rsidRPr="00813DA0" w14:paraId="4A14CE97" w14:textId="77777777" w:rsidTr="0049682E">
        <w:trPr>
          <w:cantSplit/>
          <w:trHeight w:val="746"/>
        </w:trPr>
        <w:tc>
          <w:tcPr>
            <w:tcW w:w="1276" w:type="dxa"/>
          </w:tcPr>
          <w:p w14:paraId="31B05841" w14:textId="77777777" w:rsidR="00FA46A0" w:rsidRPr="00813DA0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</w:tcPr>
          <w:p w14:paraId="7D7C0B16" w14:textId="680D0BC4" w:rsidR="00FA46A0" w:rsidRPr="00104B13" w:rsidRDefault="00B61012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104B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 w:rsidR="005361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20</w:t>
            </w:r>
          </w:p>
          <w:p w14:paraId="55369166" w14:textId="4623849E" w:rsidR="00595F30" w:rsidRPr="00104B13" w:rsidRDefault="00595F30" w:rsidP="00FC1C19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04B13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SG</w:t>
            </w:r>
            <w:r w:rsidR="00104B13" w:rsidRPr="00104B13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21</w:t>
            </w:r>
            <w:r w:rsidRPr="00104B13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/</w:t>
            </w:r>
            <w:r w:rsidR="00104B13" w:rsidRPr="00104B13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SP</w:t>
            </w:r>
          </w:p>
        </w:tc>
        <w:tc>
          <w:tcPr>
            <w:tcW w:w="5103" w:type="dxa"/>
            <w:gridSpan w:val="2"/>
            <w:vMerge w:val="restart"/>
          </w:tcPr>
          <w:p w14:paraId="2974E374" w14:textId="77777777" w:rsidR="00FF5729" w:rsidRPr="00813DA0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001288E4" w14:textId="77777777" w:rsidR="00FA46A0" w:rsidRPr="00813DA0" w:rsidRDefault="00FF5729" w:rsidP="00595F30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Administrations of Member States of the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  <w:r w:rsidR="00A72C30" w:rsidRPr="00813DA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6808C16" w14:textId="77777777" w:rsidR="009A3D71" w:rsidRPr="00813DA0" w:rsidRDefault="009A3D71" w:rsidP="00B3723D">
            <w:pPr>
              <w:pStyle w:val="Tabletext"/>
              <w:spacing w:after="6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C8AFA31" w14:textId="77777777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spacing w:before="0"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Sector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1AACE73F" w14:textId="07C9BF1B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Associates of ITU-T Study Group </w:t>
            </w:r>
            <w:proofErr w:type="gramStart"/>
            <w:r w:rsidR="00AD6FF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300D43" w14:textId="77777777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Academia;</w:t>
            </w:r>
            <w:proofErr w:type="gramEnd"/>
          </w:p>
          <w:p w14:paraId="2C79B814" w14:textId="7BDB013D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9360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 of ITU-T Study Group </w:t>
            </w:r>
            <w:proofErr w:type="gramStart"/>
            <w:r w:rsidR="00AD6FF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497B11B" w14:textId="77777777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2172BEF7" w14:textId="1BCB717B" w:rsidR="009A3D71" w:rsidRPr="00813DA0" w:rsidRDefault="009A3D71" w:rsidP="00B3723D">
            <w:pPr>
              <w:pStyle w:val="Tabletext"/>
              <w:tabs>
                <w:tab w:val="clear" w:pos="284"/>
                <w:tab w:val="left" w:pos="15"/>
              </w:tabs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FA46A0" w:rsidRPr="00813DA0" w14:paraId="2E464793" w14:textId="77777777" w:rsidTr="0049682E">
        <w:trPr>
          <w:cantSplit/>
          <w:trHeight w:val="221"/>
        </w:trPr>
        <w:tc>
          <w:tcPr>
            <w:tcW w:w="1276" w:type="dxa"/>
          </w:tcPr>
          <w:p w14:paraId="1B464DED" w14:textId="77777777" w:rsidR="00FA46A0" w:rsidRPr="00813DA0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7328331E" w14:textId="43668F6D" w:rsidR="00FA46A0" w:rsidRPr="00813DA0" w:rsidRDefault="001F2950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2950">
              <w:rPr>
                <w:sz w:val="22"/>
                <w:szCs w:val="22"/>
              </w:rPr>
              <w:t>+41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5858</w:t>
            </w:r>
          </w:p>
        </w:tc>
        <w:tc>
          <w:tcPr>
            <w:tcW w:w="5103" w:type="dxa"/>
            <w:gridSpan w:val="2"/>
            <w:vMerge/>
          </w:tcPr>
          <w:p w14:paraId="683E04AD" w14:textId="77777777" w:rsidR="00FA46A0" w:rsidRPr="00813DA0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813DA0" w14:paraId="4B57BBDA" w14:textId="77777777" w:rsidTr="00B3723D">
        <w:trPr>
          <w:cantSplit/>
          <w:trHeight w:val="2112"/>
        </w:trPr>
        <w:tc>
          <w:tcPr>
            <w:tcW w:w="1276" w:type="dxa"/>
          </w:tcPr>
          <w:p w14:paraId="4F34BF00" w14:textId="77777777" w:rsidR="00FA46A0" w:rsidRPr="00813DA0" w:rsidRDefault="00B61012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  <w:p w14:paraId="5934AD5D" w14:textId="35904408" w:rsidR="009A3D71" w:rsidRPr="00813DA0" w:rsidRDefault="009A3D71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6653ACF4" w14:textId="77777777" w:rsidR="00FA46A0" w:rsidRPr="00813DA0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4EBB641" w14:textId="431D55F9" w:rsidR="009A3D71" w:rsidRPr="00813DA0" w:rsidRDefault="003A07DE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6503E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tsbsg21@itu.int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71BBC3E9" w14:textId="77777777" w:rsidR="00FA46A0" w:rsidRPr="00813DA0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813DA0" w14:paraId="426A1DAC" w14:textId="77777777" w:rsidTr="00B3723D">
        <w:trPr>
          <w:cantSplit/>
          <w:trHeight w:val="717"/>
        </w:trPr>
        <w:tc>
          <w:tcPr>
            <w:tcW w:w="1276" w:type="dxa"/>
          </w:tcPr>
          <w:p w14:paraId="461028CE" w14:textId="77777777" w:rsidR="00FA46A0" w:rsidRPr="00813DA0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3"/>
          </w:tcPr>
          <w:p w14:paraId="74FA53B4" w14:textId="237132FA" w:rsidR="00FA46A0" w:rsidRPr="00813DA0" w:rsidRDefault="00595F30" w:rsidP="00616AF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Status of Recommendation</w:t>
            </w:r>
            <w:r w:rsidR="00A07FA9"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6AF8" w:rsidRPr="00616A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ITU-T F.748.39 (ex </w:t>
            </w:r>
            <w:proofErr w:type="gramStart"/>
            <w:r w:rsidR="00616AF8" w:rsidRPr="00616AF8">
              <w:rPr>
                <w:rFonts w:asciiTheme="minorHAnsi" w:hAnsiTheme="minorHAnsi" w:cstheme="minorHAnsi"/>
                <w:b/>
                <w:sz w:val="22"/>
                <w:szCs w:val="22"/>
              </w:rPr>
              <w:t>F.AICP</w:t>
            </w:r>
            <w:proofErr w:type="gramEnd"/>
            <w:r w:rsidR="00616AF8" w:rsidRPr="00616A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-FRRC) 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after the ITU-T Study Group 2</w:t>
            </w:r>
            <w:r w:rsidR="00AD6FF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meeting</w:t>
            </w:r>
            <w:r w:rsidR="00AD6F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8503FD"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Geneva, </w:t>
            </w:r>
            <w:r w:rsidR="00AD6FFA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="0093602E">
              <w:rPr>
                <w:rFonts w:asciiTheme="minorHAnsi" w:hAnsiTheme="minorHAnsi" w:cstheme="minorHAnsi"/>
                <w:b/>
                <w:sz w:val="22"/>
                <w:szCs w:val="22"/>
              </w:rPr>
              <w:t>-24 January 2025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289B0325" w14:textId="7964A6E4" w:rsidR="00FA46A0" w:rsidRPr="00813DA0" w:rsidRDefault="00B61012" w:rsidP="009A3D7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813DA0">
        <w:rPr>
          <w:rFonts w:asciiTheme="minorHAnsi" w:hAnsiTheme="minorHAnsi" w:cstheme="minorHAnsi"/>
          <w:sz w:val="22"/>
          <w:szCs w:val="22"/>
        </w:rPr>
        <w:t>Dear Sir/Madam,</w:t>
      </w:r>
    </w:p>
    <w:p w14:paraId="6225C2AB" w14:textId="0EFECB93" w:rsidR="00595F30" w:rsidRPr="00813DA0" w:rsidRDefault="00595F30" w:rsidP="002D02D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13DA0">
        <w:rPr>
          <w:rFonts w:asciiTheme="minorHAnsi" w:hAnsiTheme="minorHAnsi" w:cstheme="minorHAnsi"/>
          <w:bCs/>
          <w:sz w:val="22"/>
          <w:szCs w:val="22"/>
        </w:rPr>
        <w:t>1</w:t>
      </w:r>
      <w:r w:rsidRPr="00813DA0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hyperlink r:id="rId12" w:history="1">
        <w:r w:rsidR="008503FD" w:rsidRPr="00D0414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TSB Circular </w:t>
        </w:r>
        <w:r w:rsidR="005C197A" w:rsidRPr="00D0414F">
          <w:rPr>
            <w:rStyle w:val="Hyperlink"/>
            <w:rFonts w:asciiTheme="minorHAnsi" w:hAnsiTheme="minorHAnsi" w:cstheme="minorHAnsi"/>
            <w:sz w:val="22"/>
            <w:szCs w:val="22"/>
          </w:rPr>
          <w:t>207</w:t>
        </w:r>
      </w:hyperlink>
      <w:r w:rsidR="00D0414F">
        <w:rPr>
          <w:rFonts w:asciiTheme="minorHAnsi" w:hAnsiTheme="minorHAnsi" w:cstheme="minorHAnsi"/>
          <w:sz w:val="22"/>
          <w:szCs w:val="22"/>
        </w:rPr>
        <w:t xml:space="preserve"> </w:t>
      </w:r>
      <w:r w:rsidR="00813DA0" w:rsidRPr="00813DA0">
        <w:rPr>
          <w:rFonts w:asciiTheme="minorHAnsi" w:hAnsiTheme="minorHAnsi" w:cstheme="minorHAnsi"/>
          <w:sz w:val="22"/>
          <w:szCs w:val="22"/>
        </w:rPr>
        <w:t xml:space="preserve">of </w:t>
      </w:r>
      <w:r w:rsidR="00D0414F">
        <w:rPr>
          <w:sz w:val="22"/>
          <w:szCs w:val="22"/>
        </w:rPr>
        <w:t>11</w:t>
      </w:r>
      <w:r w:rsidR="00813DA0" w:rsidRPr="00813DA0">
        <w:rPr>
          <w:sz w:val="22"/>
          <w:szCs w:val="22"/>
        </w:rPr>
        <w:t xml:space="preserve"> </w:t>
      </w:r>
      <w:r w:rsidR="00D0414F">
        <w:rPr>
          <w:sz w:val="22"/>
          <w:szCs w:val="22"/>
        </w:rPr>
        <w:t>June</w:t>
      </w:r>
      <w:r w:rsidR="00813DA0" w:rsidRPr="00813DA0">
        <w:rPr>
          <w:sz w:val="22"/>
          <w:szCs w:val="22"/>
        </w:rPr>
        <w:t xml:space="preserve"> 202</w:t>
      </w:r>
      <w:r w:rsidR="0093602E">
        <w:rPr>
          <w:sz w:val="22"/>
          <w:szCs w:val="22"/>
        </w:rPr>
        <w:t>4</w:t>
      </w:r>
      <w:r w:rsidR="00946648">
        <w:rPr>
          <w:sz w:val="22"/>
          <w:szCs w:val="22"/>
        </w:rPr>
        <w:t xml:space="preserve"> </w:t>
      </w:r>
      <w:r w:rsidR="00946648">
        <w:rPr>
          <w:rFonts w:asciiTheme="minorHAnsi" w:hAnsiTheme="minorHAnsi" w:cstheme="minorHAnsi"/>
          <w:sz w:val="22"/>
          <w:szCs w:val="22"/>
        </w:rPr>
        <w:t>(and its revision on 23 September 2024)</w:t>
      </w:r>
      <w:r w:rsidRPr="00813DA0">
        <w:rPr>
          <w:rFonts w:asciiTheme="minorHAnsi" w:hAnsiTheme="minorHAnsi" w:cstheme="minorHAnsi"/>
          <w:sz w:val="22"/>
          <w:szCs w:val="22"/>
        </w:rPr>
        <w:t xml:space="preserve">, and pursuant to </w:t>
      </w:r>
      <w:r w:rsidR="001F2950">
        <w:rPr>
          <w:rFonts w:asciiTheme="minorHAnsi" w:hAnsiTheme="minorHAnsi" w:cstheme="minorHAnsi"/>
          <w:sz w:val="22"/>
          <w:szCs w:val="22"/>
        </w:rPr>
        <w:t xml:space="preserve">clause </w:t>
      </w:r>
      <w:r w:rsidR="00763E17">
        <w:rPr>
          <w:rFonts w:asciiTheme="minorHAnsi" w:hAnsiTheme="minorHAnsi" w:cstheme="minorHAnsi"/>
          <w:sz w:val="22"/>
          <w:szCs w:val="22"/>
        </w:rPr>
        <w:t>9.5-</w:t>
      </w:r>
      <w:r w:rsidRPr="00813DA0">
        <w:rPr>
          <w:rFonts w:asciiTheme="minorHAnsi" w:hAnsiTheme="minorHAnsi" w:cstheme="minorHAnsi"/>
          <w:sz w:val="22"/>
          <w:szCs w:val="22"/>
        </w:rPr>
        <w:t>9.</w:t>
      </w:r>
      <w:r w:rsidR="00763E17">
        <w:rPr>
          <w:rFonts w:asciiTheme="minorHAnsi" w:hAnsiTheme="minorHAnsi" w:cstheme="minorHAnsi"/>
          <w:sz w:val="22"/>
          <w:szCs w:val="22"/>
        </w:rPr>
        <w:t>6</w:t>
      </w:r>
      <w:r w:rsidRPr="00813DA0">
        <w:rPr>
          <w:rFonts w:asciiTheme="minorHAnsi" w:hAnsiTheme="minorHAnsi" w:cstheme="minorHAnsi"/>
          <w:sz w:val="22"/>
          <w:szCs w:val="22"/>
        </w:rPr>
        <w:t xml:space="preserve"> of Resolution 1 (</w:t>
      </w:r>
      <w:r w:rsidR="0010671D" w:rsidRPr="00813DA0">
        <w:rPr>
          <w:rFonts w:asciiTheme="minorHAnsi" w:hAnsiTheme="minorHAnsi" w:cstheme="minorHAnsi"/>
          <w:sz w:val="22"/>
          <w:szCs w:val="22"/>
        </w:rPr>
        <w:t>Rev. Geneva, 2022</w:t>
      </w:r>
      <w:r w:rsidRPr="00813DA0">
        <w:rPr>
          <w:rFonts w:asciiTheme="minorHAnsi" w:hAnsiTheme="minorHAnsi" w:cstheme="minorHAnsi"/>
          <w:sz w:val="22"/>
          <w:szCs w:val="22"/>
        </w:rPr>
        <w:t xml:space="preserve">), I hereby inform you that Study Group </w:t>
      </w:r>
      <w:r w:rsidR="001F2950">
        <w:rPr>
          <w:rFonts w:asciiTheme="minorHAnsi" w:hAnsiTheme="minorHAnsi" w:cstheme="minorHAnsi"/>
          <w:sz w:val="22"/>
          <w:szCs w:val="22"/>
        </w:rPr>
        <w:t>21</w:t>
      </w:r>
      <w:r w:rsidRPr="00813DA0">
        <w:rPr>
          <w:rFonts w:asciiTheme="minorHAnsi" w:hAnsiTheme="minorHAnsi" w:cstheme="minorHAnsi"/>
          <w:sz w:val="22"/>
          <w:szCs w:val="22"/>
        </w:rPr>
        <w:t xml:space="preserve"> reached the following decision during its Plenary session held </w:t>
      </w:r>
      <w:r w:rsidRPr="00763E17">
        <w:rPr>
          <w:rFonts w:asciiTheme="minorHAnsi" w:hAnsiTheme="minorHAnsi" w:cstheme="minorHAnsi"/>
          <w:sz w:val="22"/>
          <w:szCs w:val="22"/>
        </w:rPr>
        <w:t xml:space="preserve">on </w:t>
      </w:r>
      <w:r w:rsidR="000E2850">
        <w:rPr>
          <w:rFonts w:asciiTheme="minorHAnsi" w:hAnsiTheme="minorHAnsi" w:cstheme="minorHAnsi"/>
          <w:sz w:val="22"/>
          <w:szCs w:val="22"/>
        </w:rPr>
        <w:t>2</w:t>
      </w:r>
      <w:r w:rsidR="000E2850" w:rsidRPr="000E2850">
        <w:rPr>
          <w:rFonts w:asciiTheme="minorHAnsi" w:hAnsiTheme="minorHAnsi" w:cstheme="minorHAnsi"/>
          <w:sz w:val="22"/>
          <w:szCs w:val="22"/>
        </w:rPr>
        <w:t xml:space="preserve">4 </w:t>
      </w:r>
      <w:r w:rsidR="0093602E" w:rsidRPr="000E2850">
        <w:rPr>
          <w:rFonts w:asciiTheme="minorHAnsi" w:hAnsiTheme="minorHAnsi" w:cstheme="minorHAnsi"/>
          <w:sz w:val="22"/>
          <w:szCs w:val="22"/>
        </w:rPr>
        <w:t>January 2025</w:t>
      </w:r>
      <w:r w:rsidR="0093602E" w:rsidRPr="00763E17">
        <w:rPr>
          <w:rFonts w:asciiTheme="minorHAnsi" w:hAnsiTheme="minorHAnsi" w:cstheme="minorHAnsi"/>
          <w:sz w:val="22"/>
          <w:szCs w:val="22"/>
        </w:rPr>
        <w:t xml:space="preserve"> </w:t>
      </w:r>
      <w:r w:rsidR="0010671D" w:rsidRPr="00763E17">
        <w:rPr>
          <w:rFonts w:asciiTheme="minorHAnsi" w:hAnsiTheme="minorHAnsi" w:cstheme="minorHAnsi"/>
          <w:sz w:val="22"/>
          <w:szCs w:val="22"/>
        </w:rPr>
        <w:t xml:space="preserve">in </w:t>
      </w:r>
      <w:r w:rsidR="008503FD" w:rsidRPr="00763E17">
        <w:rPr>
          <w:rFonts w:asciiTheme="minorHAnsi" w:hAnsiTheme="minorHAnsi" w:cstheme="minorHAnsi"/>
          <w:sz w:val="22"/>
          <w:szCs w:val="22"/>
        </w:rPr>
        <w:t>Geneva</w:t>
      </w:r>
      <w:r w:rsidR="0010671D" w:rsidRPr="00813DA0">
        <w:rPr>
          <w:rFonts w:asciiTheme="minorHAnsi" w:hAnsiTheme="minorHAnsi" w:cstheme="minorHAnsi"/>
          <w:sz w:val="22"/>
          <w:szCs w:val="22"/>
        </w:rPr>
        <w:t xml:space="preserve">, </w:t>
      </w:r>
      <w:r w:rsidRPr="00813DA0">
        <w:rPr>
          <w:rFonts w:asciiTheme="minorHAnsi" w:hAnsiTheme="minorHAnsi" w:cstheme="minorHAnsi"/>
          <w:sz w:val="22"/>
          <w:szCs w:val="22"/>
        </w:rPr>
        <w:t>concerning the following draft ITU-T texts: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5387"/>
        <w:gridCol w:w="2348"/>
      </w:tblGrid>
      <w:tr w:rsidR="00595F30" w:rsidRPr="00E3471B" w14:paraId="148706F7" w14:textId="77777777" w:rsidTr="006E21FA">
        <w:tc>
          <w:tcPr>
            <w:tcW w:w="1017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A087D" w14:textId="0C3EE425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774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4929A" w14:textId="77777777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209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90D11" w14:textId="77777777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813DA0" w:rsidRPr="00763E17" w14:paraId="0DD4DB41" w14:textId="77777777" w:rsidTr="008E05E0">
        <w:tc>
          <w:tcPr>
            <w:tcW w:w="1017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8E04886" w14:textId="77777777" w:rsidR="009D6338" w:rsidRPr="009D6338" w:rsidRDefault="009D6338" w:rsidP="009D6338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9D63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F.748.39</w:t>
            </w:r>
          </w:p>
          <w:p w14:paraId="4172F402" w14:textId="0663FD82" w:rsidR="00813DA0" w:rsidRPr="00763E17" w:rsidRDefault="009D6338" w:rsidP="009D6338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D63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(</w:t>
            </w:r>
            <w:proofErr w:type="gramStart"/>
            <w:r w:rsidRPr="009D63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ex</w:t>
            </w:r>
            <w:proofErr w:type="gramEnd"/>
            <w:r w:rsidRPr="009D63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F.AICP-FRRC)</w:t>
            </w:r>
          </w:p>
        </w:tc>
        <w:tc>
          <w:tcPr>
            <w:tcW w:w="2774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207C984" w14:textId="1A362C84" w:rsidR="00813DA0" w:rsidRPr="00763E17" w:rsidRDefault="00E6170D" w:rsidP="00813DA0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E6170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Functional requirements and reference architecture of artificial intelligence cloud platform for smart grid operation and maintenance</w:t>
            </w:r>
          </w:p>
        </w:tc>
        <w:tc>
          <w:tcPr>
            <w:tcW w:w="1209" w:type="pct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FCAB029" w14:textId="10086885" w:rsidR="00BF6676" w:rsidRPr="00763E17" w:rsidRDefault="00F674E4" w:rsidP="00813DA0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Further study </w:t>
            </w:r>
            <w:r w:rsidR="000E285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</w:tbl>
    <w:p w14:paraId="33588AE2" w14:textId="3BDA516B" w:rsidR="000E2850" w:rsidRDefault="00B47955" w:rsidP="00B47955">
      <w:pPr>
        <w:rPr>
          <w:sz w:val="22"/>
          <w:szCs w:val="22"/>
        </w:rPr>
      </w:pPr>
      <w:r w:rsidRPr="00B47955">
        <w:rPr>
          <w:sz w:val="22"/>
          <w:szCs w:val="22"/>
        </w:rPr>
        <w:t xml:space="preserve">The Recommendation was not approved during this meeting. </w:t>
      </w:r>
    </w:p>
    <w:p w14:paraId="518F2CE6" w14:textId="71960EA7" w:rsidR="000E2850" w:rsidRDefault="00B47955" w:rsidP="00B47955">
      <w:pPr>
        <w:rPr>
          <w:sz w:val="22"/>
          <w:szCs w:val="22"/>
        </w:rPr>
      </w:pPr>
      <w:r w:rsidRPr="00B47955">
        <w:rPr>
          <w:sz w:val="22"/>
          <w:szCs w:val="22"/>
        </w:rPr>
        <w:t xml:space="preserve">SG21 decided to </w:t>
      </w:r>
      <w:r w:rsidR="000E2850">
        <w:rPr>
          <w:sz w:val="22"/>
          <w:szCs w:val="22"/>
        </w:rPr>
        <w:t xml:space="preserve">continue studying </w:t>
      </w:r>
      <w:r w:rsidRPr="00B47955">
        <w:rPr>
          <w:sz w:val="22"/>
          <w:szCs w:val="22"/>
        </w:rPr>
        <w:t>th</w:t>
      </w:r>
      <w:r w:rsidR="000E2850">
        <w:rPr>
          <w:sz w:val="22"/>
          <w:szCs w:val="22"/>
        </w:rPr>
        <w:t>is</w:t>
      </w:r>
      <w:r w:rsidRPr="00B47955">
        <w:rPr>
          <w:sz w:val="22"/>
          <w:szCs w:val="22"/>
        </w:rPr>
        <w:t xml:space="preserve"> work item</w:t>
      </w:r>
      <w:r w:rsidR="000E2850">
        <w:rPr>
          <w:sz w:val="22"/>
          <w:szCs w:val="22"/>
        </w:rPr>
        <w:t xml:space="preserve"> at future meetings</w:t>
      </w:r>
      <w:r w:rsidRPr="00B47955">
        <w:rPr>
          <w:sz w:val="22"/>
          <w:szCs w:val="22"/>
        </w:rPr>
        <w:t>, in response to the feedback from the Member State</w:t>
      </w:r>
      <w:r w:rsidR="000E2850">
        <w:rPr>
          <w:sz w:val="22"/>
          <w:szCs w:val="22"/>
        </w:rPr>
        <w:t>s</w:t>
      </w:r>
      <w:r w:rsidRPr="00B47955">
        <w:rPr>
          <w:sz w:val="22"/>
          <w:szCs w:val="22"/>
        </w:rPr>
        <w:t xml:space="preserve"> consultation on the determined draft Recommendation ITU-T F.748.39 (</w:t>
      </w:r>
      <w:r>
        <w:rPr>
          <w:sz w:val="22"/>
          <w:szCs w:val="22"/>
        </w:rPr>
        <w:t>ex</w:t>
      </w:r>
      <w:r w:rsidRPr="00B47955">
        <w:rPr>
          <w:sz w:val="22"/>
          <w:szCs w:val="22"/>
        </w:rPr>
        <w:t xml:space="preserve"> F.AICP-FRRC) available in </w:t>
      </w:r>
      <w:hyperlink r:id="rId13" w:history="1">
        <w:r w:rsidRPr="00B47955">
          <w:rPr>
            <w:rStyle w:val="Hyperlink"/>
            <w:sz w:val="22"/>
            <w:szCs w:val="22"/>
          </w:rPr>
          <w:t>SG21-TD20/PLEN</w:t>
        </w:r>
      </w:hyperlink>
      <w:r w:rsidRPr="00B47955">
        <w:rPr>
          <w:sz w:val="22"/>
          <w:szCs w:val="22"/>
        </w:rPr>
        <w:t xml:space="preserve">. </w:t>
      </w:r>
    </w:p>
    <w:p w14:paraId="25E7523A" w14:textId="5B7BEF90" w:rsidR="00B47955" w:rsidRPr="00B01239" w:rsidRDefault="00B47955" w:rsidP="00B47955">
      <w:pPr>
        <w:rPr>
          <w:sz w:val="22"/>
          <w:szCs w:val="22"/>
        </w:rPr>
      </w:pPr>
      <w:r w:rsidRPr="00B47955">
        <w:rPr>
          <w:sz w:val="22"/>
          <w:szCs w:val="22"/>
        </w:rPr>
        <w:t>Therefore,</w:t>
      </w:r>
      <w:r w:rsidR="000E2850">
        <w:rPr>
          <w:sz w:val="22"/>
          <w:szCs w:val="22"/>
        </w:rPr>
        <w:t xml:space="preserve"> should consensus be achieved on the revised text,</w:t>
      </w:r>
      <w:r w:rsidRPr="00B47955">
        <w:rPr>
          <w:sz w:val="22"/>
          <w:szCs w:val="22"/>
        </w:rPr>
        <w:t xml:space="preserve"> the Recommendation will be subject to further determination at future meetings</w:t>
      </w:r>
      <w:r w:rsidR="000E2850">
        <w:rPr>
          <w:sz w:val="22"/>
          <w:szCs w:val="22"/>
        </w:rPr>
        <w:t xml:space="preserve">. The updated draft discussed at the recent SG21 meeting is available as </w:t>
      </w:r>
      <w:hyperlink r:id="rId14" w:history="1">
        <w:r w:rsidR="000E2850" w:rsidRPr="000E2850">
          <w:rPr>
            <w:rStyle w:val="Hyperlink"/>
            <w:sz w:val="22"/>
            <w:szCs w:val="22"/>
          </w:rPr>
          <w:t>SG21-TD69/WP3</w:t>
        </w:r>
      </w:hyperlink>
      <w:r w:rsidRPr="00B47955">
        <w:rPr>
          <w:sz w:val="22"/>
          <w:szCs w:val="22"/>
        </w:rPr>
        <w:t>.</w:t>
      </w:r>
    </w:p>
    <w:p w14:paraId="4A171111" w14:textId="5C999DF3" w:rsidR="00595F30" w:rsidRDefault="00B61012" w:rsidP="00722D8C">
      <w:pPr>
        <w:rPr>
          <w:rFonts w:asciiTheme="minorHAnsi" w:hAnsiTheme="minorHAnsi" w:cstheme="minorHAnsi"/>
          <w:sz w:val="22"/>
          <w:szCs w:val="22"/>
        </w:rPr>
      </w:pPr>
      <w:r w:rsidRPr="00813DA0">
        <w:rPr>
          <w:rFonts w:asciiTheme="minorHAnsi" w:hAnsiTheme="minorHAnsi" w:cstheme="minorHAnsi"/>
          <w:sz w:val="22"/>
          <w:szCs w:val="22"/>
        </w:rPr>
        <w:t>Yours faithfully,</w:t>
      </w:r>
    </w:p>
    <w:p w14:paraId="55C707B7" w14:textId="11378B17" w:rsidR="00D62702" w:rsidRPr="00AB7921" w:rsidRDefault="0093375A" w:rsidP="00722D8C">
      <w:pPr>
        <w:spacing w:before="8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656C50E" wp14:editId="1ADFBDDC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711237" cy="368319"/>
            <wp:effectExtent l="0" t="0" r="0" b="0"/>
            <wp:wrapNone/>
            <wp:docPr id="1235274497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74497" name="Picture 2" descr="A black text on a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659" w:rsidRPr="00813DA0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824659" w:rsidRPr="00813DA0">
        <w:rPr>
          <w:rFonts w:asciiTheme="minorHAnsi" w:hAnsiTheme="minorHAnsi" w:cstheme="minorHAnsi"/>
          <w:sz w:val="22"/>
          <w:szCs w:val="22"/>
        </w:rPr>
        <w:t xml:space="preserve"> </w:t>
      </w:r>
      <w:r w:rsidR="00B61012" w:rsidRPr="00813DA0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813DA0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D62702" w:rsidRPr="00AB7921" w:rsidSect="00FA46A0">
      <w:headerReference w:type="default" r:id="rId16"/>
      <w:footerReference w:type="first" r:id="rId17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DF5B" w14:textId="77777777" w:rsidR="00782F50" w:rsidRDefault="00782F50">
      <w:r>
        <w:separator/>
      </w:r>
    </w:p>
  </w:endnote>
  <w:endnote w:type="continuationSeparator" w:id="0">
    <w:p w14:paraId="1A111D8B" w14:textId="77777777" w:rsidR="00782F50" w:rsidRDefault="0078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F99" w14:textId="3903CB3D" w:rsidR="00FA46A0" w:rsidRPr="009A3D71" w:rsidRDefault="009A3D71" w:rsidP="009A3D71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="0056662A">
        <w:rPr>
          <w:rFonts w:cs="Calibri"/>
          <w:noProof/>
          <w:color w:val="0070C0"/>
          <w:sz w:val="18"/>
          <w:szCs w:val="18"/>
          <w:u w:val="single"/>
          <w:lang w:val="fr-CH"/>
        </w:rPr>
        <w:t>tsb</w:t>
      </w:r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40DB" w14:textId="77777777" w:rsidR="00782F50" w:rsidRDefault="00782F50">
      <w:r>
        <w:t>____________________</w:t>
      </w:r>
    </w:p>
  </w:footnote>
  <w:footnote w:type="continuationSeparator" w:id="0">
    <w:p w14:paraId="6D849185" w14:textId="77777777" w:rsidR="00782F50" w:rsidRDefault="0078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8A" w14:textId="4AAC9442" w:rsidR="00FA46A0" w:rsidRDefault="00B61012">
    <w:pPr>
      <w:pStyle w:val="Header"/>
    </w:pPr>
    <w:r w:rsidRPr="00235A62">
      <w:t xml:space="preserve">- </w:t>
    </w:r>
    <w:r w:rsidR="00FA46A0" w:rsidRPr="00235A62">
      <w:fldChar w:fldCharType="begin"/>
    </w:r>
    <w:r w:rsidRPr="00235A62">
      <w:instrText xml:space="preserve"> PAGE   \* MERGEFORMAT </w:instrText>
    </w:r>
    <w:r w:rsidR="00FA46A0" w:rsidRPr="00235A62">
      <w:fldChar w:fldCharType="separate"/>
    </w:r>
    <w:r w:rsidR="00D62702" w:rsidRPr="00235A62">
      <w:rPr>
        <w:noProof/>
      </w:rPr>
      <w:t>2</w:t>
    </w:r>
    <w:r w:rsidR="00FA46A0" w:rsidRPr="00235A62">
      <w:rPr>
        <w:noProof/>
      </w:rPr>
      <w:fldChar w:fldCharType="end"/>
    </w:r>
    <w:r w:rsidRPr="00235A62">
      <w:rPr>
        <w:noProof/>
      </w:rPr>
      <w:t xml:space="preserve"> -</w:t>
    </w:r>
    <w:r w:rsidR="00503ADB" w:rsidRPr="00235A62">
      <w:rPr>
        <w:noProof/>
      </w:rPr>
      <w:br/>
      <w:t xml:space="preserve">TSB Circular </w:t>
    </w:r>
    <w:r w:rsidR="0093602E">
      <w:rPr>
        <w:noProof/>
      </w:rPr>
      <w:t>15</w:t>
    </w:r>
  </w:p>
  <w:p w14:paraId="09EDD3D0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112">
    <w:abstractNumId w:val="9"/>
  </w:num>
  <w:num w:numId="2" w16cid:durableId="459958743">
    <w:abstractNumId w:val="7"/>
  </w:num>
  <w:num w:numId="3" w16cid:durableId="1720396161">
    <w:abstractNumId w:val="6"/>
  </w:num>
  <w:num w:numId="4" w16cid:durableId="1338925039">
    <w:abstractNumId w:val="5"/>
  </w:num>
  <w:num w:numId="5" w16cid:durableId="1081484887">
    <w:abstractNumId w:val="4"/>
  </w:num>
  <w:num w:numId="6" w16cid:durableId="982125971">
    <w:abstractNumId w:val="8"/>
  </w:num>
  <w:num w:numId="7" w16cid:durableId="599065328">
    <w:abstractNumId w:val="3"/>
  </w:num>
  <w:num w:numId="8" w16cid:durableId="333605334">
    <w:abstractNumId w:val="2"/>
  </w:num>
  <w:num w:numId="9" w16cid:durableId="148715609">
    <w:abstractNumId w:val="1"/>
  </w:num>
  <w:num w:numId="10" w16cid:durableId="1032269460">
    <w:abstractNumId w:val="0"/>
  </w:num>
  <w:num w:numId="11" w16cid:durableId="27159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0"/>
    <w:rsid w:val="00006209"/>
    <w:rsid w:val="00022E6B"/>
    <w:rsid w:val="000535A7"/>
    <w:rsid w:val="00085E0C"/>
    <w:rsid w:val="000B15C8"/>
    <w:rsid w:val="000D44E3"/>
    <w:rsid w:val="000E2850"/>
    <w:rsid w:val="001018E1"/>
    <w:rsid w:val="00104B13"/>
    <w:rsid w:val="0010671D"/>
    <w:rsid w:val="00112F37"/>
    <w:rsid w:val="001172EC"/>
    <w:rsid w:val="001A34EC"/>
    <w:rsid w:val="001A3CC2"/>
    <w:rsid w:val="001E6D8C"/>
    <w:rsid w:val="001F2950"/>
    <w:rsid w:val="002352C8"/>
    <w:rsid w:val="00235A62"/>
    <w:rsid w:val="00264817"/>
    <w:rsid w:val="002C04F9"/>
    <w:rsid w:val="002C587E"/>
    <w:rsid w:val="002D02DC"/>
    <w:rsid w:val="002D49BB"/>
    <w:rsid w:val="002F70DF"/>
    <w:rsid w:val="00334618"/>
    <w:rsid w:val="00356B73"/>
    <w:rsid w:val="003746A5"/>
    <w:rsid w:val="003A07DE"/>
    <w:rsid w:val="003A72CE"/>
    <w:rsid w:val="003B01DA"/>
    <w:rsid w:val="003B47A2"/>
    <w:rsid w:val="003D4690"/>
    <w:rsid w:val="003F2670"/>
    <w:rsid w:val="00412732"/>
    <w:rsid w:val="00422D37"/>
    <w:rsid w:val="00453CEA"/>
    <w:rsid w:val="0047760D"/>
    <w:rsid w:val="00487330"/>
    <w:rsid w:val="0049682E"/>
    <w:rsid w:val="004C27CF"/>
    <w:rsid w:val="004D5669"/>
    <w:rsid w:val="00503ADB"/>
    <w:rsid w:val="00503F59"/>
    <w:rsid w:val="005158C6"/>
    <w:rsid w:val="00536101"/>
    <w:rsid w:val="0056662A"/>
    <w:rsid w:val="005943FB"/>
    <w:rsid w:val="00595F30"/>
    <w:rsid w:val="005C197A"/>
    <w:rsid w:val="005E003C"/>
    <w:rsid w:val="00616AF8"/>
    <w:rsid w:val="00620AC9"/>
    <w:rsid w:val="00641DFD"/>
    <w:rsid w:val="006673CD"/>
    <w:rsid w:val="006737F1"/>
    <w:rsid w:val="00685CD4"/>
    <w:rsid w:val="006C300D"/>
    <w:rsid w:val="006D6A93"/>
    <w:rsid w:val="006F6E9C"/>
    <w:rsid w:val="00722D8C"/>
    <w:rsid w:val="00730A58"/>
    <w:rsid w:val="007403BD"/>
    <w:rsid w:val="00761A7D"/>
    <w:rsid w:val="00763E17"/>
    <w:rsid w:val="00782F50"/>
    <w:rsid w:val="0079763E"/>
    <w:rsid w:val="007A65E8"/>
    <w:rsid w:val="007C60C9"/>
    <w:rsid w:val="007D2A7E"/>
    <w:rsid w:val="007F4DA5"/>
    <w:rsid w:val="00813DA0"/>
    <w:rsid w:val="00824659"/>
    <w:rsid w:val="00834900"/>
    <w:rsid w:val="008402C6"/>
    <w:rsid w:val="008503FD"/>
    <w:rsid w:val="008E2635"/>
    <w:rsid w:val="00912280"/>
    <w:rsid w:val="0093375A"/>
    <w:rsid w:val="0093602E"/>
    <w:rsid w:val="00943564"/>
    <w:rsid w:val="00946648"/>
    <w:rsid w:val="00946F21"/>
    <w:rsid w:val="009523D7"/>
    <w:rsid w:val="00963900"/>
    <w:rsid w:val="009747C5"/>
    <w:rsid w:val="0098134B"/>
    <w:rsid w:val="009A3D71"/>
    <w:rsid w:val="009B2EB5"/>
    <w:rsid w:val="009D6338"/>
    <w:rsid w:val="00A009A4"/>
    <w:rsid w:val="00A07FA9"/>
    <w:rsid w:val="00A21CAD"/>
    <w:rsid w:val="00A24168"/>
    <w:rsid w:val="00A35662"/>
    <w:rsid w:val="00A72C30"/>
    <w:rsid w:val="00AB7921"/>
    <w:rsid w:val="00AD1AF0"/>
    <w:rsid w:val="00AD6FFA"/>
    <w:rsid w:val="00B01239"/>
    <w:rsid w:val="00B1089B"/>
    <w:rsid w:val="00B2488F"/>
    <w:rsid w:val="00B3723D"/>
    <w:rsid w:val="00B4669D"/>
    <w:rsid w:val="00B47955"/>
    <w:rsid w:val="00B47A08"/>
    <w:rsid w:val="00B61012"/>
    <w:rsid w:val="00BF6676"/>
    <w:rsid w:val="00C21918"/>
    <w:rsid w:val="00C422C1"/>
    <w:rsid w:val="00C82F6E"/>
    <w:rsid w:val="00C95BF6"/>
    <w:rsid w:val="00C97095"/>
    <w:rsid w:val="00D0414F"/>
    <w:rsid w:val="00D23038"/>
    <w:rsid w:val="00D50E71"/>
    <w:rsid w:val="00D62702"/>
    <w:rsid w:val="00DD4162"/>
    <w:rsid w:val="00E2699F"/>
    <w:rsid w:val="00E3471B"/>
    <w:rsid w:val="00E5620D"/>
    <w:rsid w:val="00E6170D"/>
    <w:rsid w:val="00E63987"/>
    <w:rsid w:val="00EA2114"/>
    <w:rsid w:val="00EC15F4"/>
    <w:rsid w:val="00ED0942"/>
    <w:rsid w:val="00F22314"/>
    <w:rsid w:val="00F674E4"/>
    <w:rsid w:val="00FA46A0"/>
    <w:rsid w:val="00FC1C19"/>
    <w:rsid w:val="00FF2452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7621"/>
  <w15:docId w15:val="{8E2D9D6C-3C3D-4B81-B966-024DE38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F30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595F30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59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SG21-250113-TD-PLEN-0020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2-TSB-CIR-0207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1@itu.in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SG21-250113-TD-WP3-0069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ée un document." ma:contentTypeScope="" ma:versionID="c405d8c1bf82a9ca5078239b3a4000e6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c84c66d25a2c6bcab693d2260f4bc015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DE8BC-B42E-4ED0-871B-ED7C77EF2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B579F-9BDA-4CB0-A630-A0B3A1C498F0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13474588-D607-431B-8B21-2F0154C46771}"/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Braud, Olivia</cp:lastModifiedBy>
  <cp:revision>29</cp:revision>
  <cp:lastPrinted>2025-02-07T14:23:00Z</cp:lastPrinted>
  <dcterms:created xsi:type="dcterms:W3CDTF">2025-02-06T15:37:00Z</dcterms:created>
  <dcterms:modified xsi:type="dcterms:W3CDTF">2025-02-07T14:24:00Z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