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6038C5" w14:paraId="5AAB112C" w14:textId="77777777" w:rsidTr="00D517B2">
        <w:trPr>
          <w:cantSplit/>
          <w:trHeight w:val="1134"/>
        </w:trPr>
        <w:tc>
          <w:tcPr>
            <w:tcW w:w="798" w:type="pct"/>
          </w:tcPr>
          <w:p w14:paraId="2CCCD199" w14:textId="77777777" w:rsidR="00D517B2" w:rsidRPr="006038C5" w:rsidRDefault="00D517B2" w:rsidP="00D517B2">
            <w:pPr>
              <w:spacing w:before="0" w:line="240" w:lineRule="auto"/>
              <w:rPr>
                <w:b/>
                <w:bCs/>
                <w:rtl/>
                <w:lang w:bidi="ar-EG"/>
              </w:rPr>
            </w:pPr>
            <w:r w:rsidRPr="006038C5">
              <w:rPr>
                <w:noProof/>
              </w:rPr>
              <w:drawing>
                <wp:inline distT="0" distB="0" distL="0" distR="0" wp14:anchorId="5575535A" wp14:editId="110B86D4">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8919AB8" w14:textId="77777777" w:rsidR="00D517B2" w:rsidRPr="006038C5" w:rsidRDefault="00D517B2" w:rsidP="00D517B2">
            <w:pPr>
              <w:spacing w:before="200"/>
              <w:rPr>
                <w:b/>
                <w:bCs/>
                <w:sz w:val="36"/>
                <w:szCs w:val="36"/>
                <w:rtl/>
              </w:rPr>
            </w:pPr>
            <w:r w:rsidRPr="006038C5">
              <w:rPr>
                <w:rFonts w:hint="cs"/>
                <w:b/>
                <w:bCs/>
                <w:sz w:val="36"/>
                <w:szCs w:val="36"/>
                <w:rtl/>
              </w:rPr>
              <w:t>الاتحـاد الدولـي للاتصـالات</w:t>
            </w:r>
          </w:p>
          <w:p w14:paraId="14E97145" w14:textId="77777777" w:rsidR="00D517B2" w:rsidRPr="006038C5" w:rsidRDefault="00D517B2" w:rsidP="00D517B2">
            <w:pPr>
              <w:spacing w:before="60"/>
              <w:rPr>
                <w:b/>
                <w:bCs/>
                <w:sz w:val="28"/>
                <w:szCs w:val="28"/>
                <w:rtl/>
                <w:lang w:bidi="ar-EG"/>
              </w:rPr>
            </w:pPr>
            <w:r w:rsidRPr="006038C5">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825"/>
        <w:gridCol w:w="4253"/>
      </w:tblGrid>
      <w:tr w:rsidR="00D517B2" w:rsidRPr="006038C5" w14:paraId="07F3F1D2" w14:textId="77777777" w:rsidTr="001E2788">
        <w:trPr>
          <w:cantSplit/>
          <w:jc w:val="center"/>
        </w:trPr>
        <w:tc>
          <w:tcPr>
            <w:tcW w:w="810" w:type="pct"/>
          </w:tcPr>
          <w:p w14:paraId="6FBEAC28" w14:textId="77777777" w:rsidR="00D517B2" w:rsidRPr="006038C5" w:rsidRDefault="00D517B2" w:rsidP="00BB0F08">
            <w:pPr>
              <w:spacing w:line="300" w:lineRule="exact"/>
              <w:jc w:val="left"/>
              <w:rPr>
                <w:position w:val="2"/>
              </w:rPr>
            </w:pPr>
          </w:p>
        </w:tc>
        <w:tc>
          <w:tcPr>
            <w:tcW w:w="1984" w:type="pct"/>
          </w:tcPr>
          <w:p w14:paraId="00DF7F4F" w14:textId="77777777" w:rsidR="00D517B2" w:rsidRPr="006038C5" w:rsidRDefault="00D517B2" w:rsidP="00BB0F08">
            <w:pPr>
              <w:spacing w:line="300" w:lineRule="exact"/>
              <w:jc w:val="left"/>
              <w:rPr>
                <w:position w:val="2"/>
              </w:rPr>
            </w:pPr>
          </w:p>
        </w:tc>
        <w:tc>
          <w:tcPr>
            <w:tcW w:w="2206" w:type="pct"/>
          </w:tcPr>
          <w:p w14:paraId="1923A815" w14:textId="77777777" w:rsidR="00D517B2" w:rsidRPr="006038C5" w:rsidRDefault="00D517B2" w:rsidP="00BB0F08">
            <w:pPr>
              <w:spacing w:line="300" w:lineRule="exact"/>
              <w:jc w:val="left"/>
              <w:rPr>
                <w:position w:val="2"/>
                <w:lang w:bidi="ar-EG"/>
              </w:rPr>
            </w:pPr>
          </w:p>
        </w:tc>
      </w:tr>
      <w:tr w:rsidR="00D517B2" w:rsidRPr="006038C5" w14:paraId="773EA526" w14:textId="77777777" w:rsidTr="001E2788">
        <w:trPr>
          <w:cantSplit/>
          <w:jc w:val="center"/>
        </w:trPr>
        <w:tc>
          <w:tcPr>
            <w:tcW w:w="810" w:type="pct"/>
          </w:tcPr>
          <w:p w14:paraId="3490A925" w14:textId="77777777" w:rsidR="00D517B2" w:rsidRPr="006038C5" w:rsidRDefault="00D517B2" w:rsidP="006019C6">
            <w:pPr>
              <w:spacing w:before="80" w:after="120" w:line="300" w:lineRule="exact"/>
              <w:jc w:val="left"/>
              <w:rPr>
                <w:position w:val="2"/>
              </w:rPr>
            </w:pPr>
          </w:p>
        </w:tc>
        <w:tc>
          <w:tcPr>
            <w:tcW w:w="1984" w:type="pct"/>
          </w:tcPr>
          <w:p w14:paraId="2CB5B3D7" w14:textId="77777777" w:rsidR="00D517B2" w:rsidRPr="006038C5" w:rsidRDefault="00D517B2" w:rsidP="006019C6">
            <w:pPr>
              <w:spacing w:before="80" w:after="120" w:line="300" w:lineRule="exact"/>
              <w:jc w:val="left"/>
              <w:rPr>
                <w:position w:val="2"/>
                <w:lang w:bidi="ar-EG"/>
              </w:rPr>
            </w:pPr>
          </w:p>
        </w:tc>
        <w:tc>
          <w:tcPr>
            <w:tcW w:w="2206" w:type="pct"/>
          </w:tcPr>
          <w:p w14:paraId="51C1148F" w14:textId="46D34208" w:rsidR="00D517B2" w:rsidRPr="006038C5" w:rsidRDefault="006038C5" w:rsidP="006019C6">
            <w:pPr>
              <w:spacing w:before="80" w:after="120" w:line="300" w:lineRule="exact"/>
              <w:jc w:val="left"/>
              <w:rPr>
                <w:position w:val="2"/>
                <w:rtl/>
                <w:lang w:bidi="ar-EG"/>
              </w:rPr>
            </w:pPr>
            <w:r w:rsidRPr="006038C5">
              <w:rPr>
                <w:rtl/>
              </w:rPr>
              <w:t>جنيف، 7 فبراير 2025</w:t>
            </w:r>
          </w:p>
        </w:tc>
      </w:tr>
      <w:tr w:rsidR="006038C5" w:rsidRPr="006038C5" w14:paraId="0904A2E1" w14:textId="77777777" w:rsidTr="001E2788">
        <w:trPr>
          <w:cantSplit/>
          <w:jc w:val="center"/>
        </w:trPr>
        <w:tc>
          <w:tcPr>
            <w:tcW w:w="810" w:type="pct"/>
          </w:tcPr>
          <w:p w14:paraId="39529A3E" w14:textId="77777777" w:rsidR="006038C5" w:rsidRPr="006038C5" w:rsidRDefault="006038C5" w:rsidP="00D517B2">
            <w:pPr>
              <w:spacing w:before="80" w:after="60" w:line="300" w:lineRule="exact"/>
              <w:jc w:val="left"/>
              <w:rPr>
                <w:b/>
                <w:bCs/>
                <w:position w:val="2"/>
              </w:rPr>
            </w:pPr>
            <w:r w:rsidRPr="006038C5">
              <w:rPr>
                <w:rFonts w:hint="cs"/>
                <w:b/>
                <w:bCs/>
                <w:position w:val="2"/>
                <w:rtl/>
              </w:rPr>
              <w:t>المرجع:</w:t>
            </w:r>
          </w:p>
        </w:tc>
        <w:tc>
          <w:tcPr>
            <w:tcW w:w="1984" w:type="pct"/>
          </w:tcPr>
          <w:p w14:paraId="30F404AE" w14:textId="04774A80" w:rsidR="006038C5" w:rsidRPr="006038C5" w:rsidRDefault="006038C5" w:rsidP="00D517B2">
            <w:pPr>
              <w:spacing w:before="80" w:after="60" w:line="300" w:lineRule="exact"/>
              <w:jc w:val="left"/>
              <w:rPr>
                <w:b/>
                <w:position w:val="2"/>
              </w:rPr>
            </w:pPr>
            <w:r w:rsidRPr="006038C5">
              <w:rPr>
                <w:b/>
                <w:position w:val="2"/>
              </w:rPr>
              <w:t>TSB Circular 20</w:t>
            </w:r>
            <w:r w:rsidRPr="006038C5">
              <w:rPr>
                <w:b/>
                <w:position w:val="2"/>
              </w:rPr>
              <w:br/>
            </w:r>
            <w:r w:rsidRPr="006038C5">
              <w:rPr>
                <w:rtl/>
              </w:rPr>
              <w:t xml:space="preserve"> SG21/SP</w:t>
            </w:r>
          </w:p>
        </w:tc>
        <w:tc>
          <w:tcPr>
            <w:tcW w:w="2206" w:type="pct"/>
            <w:vMerge w:val="restart"/>
          </w:tcPr>
          <w:p w14:paraId="1C645DFB" w14:textId="77777777" w:rsidR="006038C5" w:rsidRPr="006038C5" w:rsidRDefault="006038C5" w:rsidP="001E2788">
            <w:pPr>
              <w:tabs>
                <w:tab w:val="clear" w:pos="794"/>
                <w:tab w:val="left" w:pos="284"/>
              </w:tabs>
              <w:spacing w:before="80" w:after="60" w:line="300" w:lineRule="exact"/>
              <w:jc w:val="left"/>
              <w:rPr>
                <w:b/>
                <w:bCs/>
                <w:position w:val="2"/>
                <w:rtl/>
                <w:lang w:bidi="ar-EG"/>
              </w:rPr>
            </w:pPr>
            <w:r w:rsidRPr="006038C5">
              <w:rPr>
                <w:rFonts w:hint="cs"/>
                <w:b/>
                <w:bCs/>
                <w:position w:val="2"/>
                <w:rtl/>
              </w:rPr>
              <w:t>إلى:</w:t>
            </w:r>
          </w:p>
          <w:p w14:paraId="4AB7F111" w14:textId="77777777" w:rsidR="006038C5" w:rsidRPr="006038C5" w:rsidRDefault="006038C5" w:rsidP="006038C5">
            <w:pPr>
              <w:tabs>
                <w:tab w:val="clear" w:pos="794"/>
                <w:tab w:val="left" w:pos="284"/>
              </w:tabs>
              <w:spacing w:before="80" w:after="60" w:line="300" w:lineRule="exact"/>
              <w:ind w:left="284" w:hanging="284"/>
              <w:jc w:val="left"/>
              <w:rPr>
                <w:position w:val="2"/>
                <w:rtl/>
              </w:rPr>
            </w:pPr>
            <w:r w:rsidRPr="006038C5">
              <w:rPr>
                <w:rFonts w:hint="cs"/>
                <w:position w:val="2"/>
                <w:rtl/>
              </w:rPr>
              <w:t>-</w:t>
            </w:r>
            <w:r w:rsidRPr="006038C5">
              <w:rPr>
                <w:position w:val="2"/>
                <w:rtl/>
              </w:rPr>
              <w:tab/>
            </w:r>
            <w:r w:rsidRPr="006038C5">
              <w:rPr>
                <w:rFonts w:hint="cs"/>
                <w:position w:val="2"/>
                <w:rtl/>
              </w:rPr>
              <w:t>إدارات الدول الأعضاء في الاتحاد</w:t>
            </w:r>
          </w:p>
          <w:p w14:paraId="0DA8036D" w14:textId="77777777" w:rsidR="006038C5" w:rsidRPr="006038C5" w:rsidRDefault="006038C5" w:rsidP="00CE1C08">
            <w:pPr>
              <w:tabs>
                <w:tab w:val="clear" w:pos="794"/>
                <w:tab w:val="left" w:pos="284"/>
              </w:tabs>
              <w:spacing w:before="80" w:after="60" w:line="300" w:lineRule="exact"/>
              <w:ind w:left="284" w:hanging="284"/>
              <w:jc w:val="left"/>
              <w:rPr>
                <w:b/>
                <w:bCs/>
                <w:position w:val="2"/>
                <w:rtl/>
              </w:rPr>
            </w:pPr>
            <w:r w:rsidRPr="006038C5">
              <w:rPr>
                <w:rFonts w:hint="cs"/>
                <w:b/>
                <w:bCs/>
                <w:position w:val="2"/>
                <w:rtl/>
              </w:rPr>
              <w:t>نسخة إلى:</w:t>
            </w:r>
          </w:p>
          <w:p w14:paraId="019835CF" w14:textId="77777777" w:rsidR="006038C5" w:rsidRPr="006038C5" w:rsidRDefault="006038C5" w:rsidP="006038C5">
            <w:pPr>
              <w:pStyle w:val="Tabletext"/>
              <w:tabs>
                <w:tab w:val="clear" w:pos="284"/>
                <w:tab w:val="left" w:pos="15"/>
              </w:tabs>
              <w:bidi/>
              <w:spacing w:before="0" w:after="0"/>
              <w:ind w:left="283" w:hanging="283"/>
              <w:rPr>
                <w:rFonts w:ascii="Dubai" w:hAnsi="Dubai" w:cs="Dubai"/>
                <w:sz w:val="22"/>
                <w:szCs w:val="22"/>
                <w:lang w:val="ar-SA" w:eastAsia="zh-TW" w:bidi="en-GB"/>
              </w:rPr>
            </w:pPr>
            <w:r w:rsidRPr="006038C5">
              <w:rPr>
                <w:rFonts w:ascii="Dubai" w:hAnsi="Dubai" w:cs="Dubai"/>
                <w:sz w:val="22"/>
                <w:szCs w:val="22"/>
              </w:rPr>
              <w:t>-</w:t>
            </w:r>
            <w:r w:rsidRPr="006038C5">
              <w:rPr>
                <w:rFonts w:ascii="Dubai" w:hAnsi="Dubai" w:cs="Dubai"/>
                <w:sz w:val="22"/>
                <w:szCs w:val="22"/>
              </w:rPr>
              <w:tab/>
            </w:r>
            <w:r w:rsidRPr="006038C5">
              <w:rPr>
                <w:rFonts w:ascii="Dubai" w:hAnsi="Dubai" w:cs="Dubai"/>
                <w:sz w:val="22"/>
                <w:szCs w:val="22"/>
                <w:rtl/>
              </w:rPr>
              <w:t xml:space="preserve">أعضاء قطاع تقييس الاتصالات </w:t>
            </w:r>
            <w:proofErr w:type="gramStart"/>
            <w:r w:rsidRPr="006038C5">
              <w:rPr>
                <w:rFonts w:ascii="Dubai" w:hAnsi="Dubai" w:cs="Dubai"/>
                <w:sz w:val="22"/>
                <w:szCs w:val="22"/>
                <w:rtl/>
              </w:rPr>
              <w:t>بالاتحاد؛</w:t>
            </w:r>
            <w:proofErr w:type="gramEnd"/>
          </w:p>
          <w:p w14:paraId="4754E512" w14:textId="77777777" w:rsidR="006038C5" w:rsidRPr="006038C5" w:rsidRDefault="006038C5" w:rsidP="006038C5">
            <w:pPr>
              <w:pStyle w:val="Tabletext"/>
              <w:tabs>
                <w:tab w:val="clear" w:pos="284"/>
                <w:tab w:val="left" w:pos="15"/>
              </w:tabs>
              <w:bidi/>
              <w:spacing w:after="0"/>
              <w:ind w:left="283" w:hanging="283"/>
              <w:rPr>
                <w:rFonts w:ascii="Dubai" w:hAnsi="Dubai" w:cs="Dubai"/>
                <w:sz w:val="22"/>
                <w:szCs w:val="22"/>
                <w:lang w:val="ar-SA" w:eastAsia="zh-TW" w:bidi="en-GB"/>
              </w:rPr>
            </w:pPr>
            <w:r w:rsidRPr="006038C5">
              <w:rPr>
                <w:rFonts w:ascii="Dubai" w:hAnsi="Dubai" w:cs="Dubai"/>
                <w:sz w:val="22"/>
                <w:szCs w:val="22"/>
              </w:rPr>
              <w:t>-</w:t>
            </w:r>
            <w:r w:rsidRPr="006038C5">
              <w:rPr>
                <w:rFonts w:ascii="Dubai" w:hAnsi="Dubai" w:cs="Dubai"/>
                <w:sz w:val="22"/>
                <w:szCs w:val="22"/>
              </w:rPr>
              <w:tab/>
            </w:r>
            <w:r w:rsidRPr="006038C5">
              <w:rPr>
                <w:rFonts w:ascii="Dubai" w:hAnsi="Dubai" w:cs="Dubai"/>
                <w:sz w:val="22"/>
                <w:szCs w:val="22"/>
                <w:rtl/>
              </w:rPr>
              <w:t xml:space="preserve">المنتسبين إلى قطاع تقييس الاتصالات المشاركين في أعمال لجنة الدراسات </w:t>
            </w:r>
            <w:proofErr w:type="gramStart"/>
            <w:r w:rsidRPr="006038C5">
              <w:rPr>
                <w:rFonts w:ascii="Dubai" w:hAnsi="Dubai" w:cs="Dubai"/>
                <w:sz w:val="22"/>
                <w:szCs w:val="22"/>
                <w:rtl/>
              </w:rPr>
              <w:t>21؛</w:t>
            </w:r>
            <w:proofErr w:type="gramEnd"/>
            <w:r w:rsidRPr="006038C5">
              <w:rPr>
                <w:rFonts w:ascii="Dubai" w:hAnsi="Dubai" w:cs="Dubai"/>
                <w:sz w:val="22"/>
                <w:szCs w:val="22"/>
                <w:rtl/>
              </w:rPr>
              <w:t xml:space="preserve"> </w:t>
            </w:r>
          </w:p>
          <w:p w14:paraId="1EE4B716" w14:textId="77777777" w:rsidR="006038C5" w:rsidRPr="006038C5" w:rsidRDefault="006038C5" w:rsidP="006038C5">
            <w:pPr>
              <w:pStyle w:val="Tabletext"/>
              <w:tabs>
                <w:tab w:val="clear" w:pos="284"/>
                <w:tab w:val="left" w:pos="15"/>
              </w:tabs>
              <w:bidi/>
              <w:spacing w:after="0"/>
              <w:ind w:left="283" w:hanging="283"/>
              <w:rPr>
                <w:rFonts w:ascii="Dubai" w:hAnsi="Dubai" w:cs="Dubai"/>
                <w:sz w:val="22"/>
                <w:szCs w:val="22"/>
                <w:lang w:val="ar-SA" w:eastAsia="zh-TW" w:bidi="en-GB"/>
              </w:rPr>
            </w:pPr>
            <w:r w:rsidRPr="006038C5">
              <w:rPr>
                <w:rFonts w:ascii="Dubai" w:hAnsi="Dubai" w:cs="Dubai"/>
                <w:sz w:val="22"/>
                <w:szCs w:val="22"/>
              </w:rPr>
              <w:t>-</w:t>
            </w:r>
            <w:r w:rsidRPr="006038C5">
              <w:rPr>
                <w:rFonts w:ascii="Dubai" w:hAnsi="Dubai" w:cs="Dubai"/>
                <w:sz w:val="22"/>
                <w:szCs w:val="22"/>
              </w:rPr>
              <w:tab/>
            </w:r>
            <w:r w:rsidRPr="006038C5">
              <w:rPr>
                <w:rFonts w:ascii="Dubai" w:hAnsi="Dubai" w:cs="Dubai"/>
                <w:sz w:val="22"/>
                <w:szCs w:val="22"/>
                <w:rtl/>
              </w:rPr>
              <w:t xml:space="preserve">الهيئات الأكاديمية المنضمة إلى </w:t>
            </w:r>
            <w:proofErr w:type="gramStart"/>
            <w:r w:rsidRPr="006038C5">
              <w:rPr>
                <w:rFonts w:ascii="Dubai" w:hAnsi="Dubai" w:cs="Dubai"/>
                <w:sz w:val="22"/>
                <w:szCs w:val="22"/>
                <w:rtl/>
              </w:rPr>
              <w:t>الاتحاد؛</w:t>
            </w:r>
            <w:proofErr w:type="gramEnd"/>
          </w:p>
          <w:p w14:paraId="47509A3D" w14:textId="1D0A5EEB" w:rsidR="006038C5" w:rsidRPr="006038C5" w:rsidRDefault="006038C5" w:rsidP="006038C5">
            <w:pPr>
              <w:pStyle w:val="Tabletext"/>
              <w:tabs>
                <w:tab w:val="clear" w:pos="284"/>
                <w:tab w:val="left" w:pos="15"/>
              </w:tabs>
              <w:bidi/>
              <w:spacing w:after="0"/>
              <w:ind w:left="283" w:hanging="283"/>
              <w:rPr>
                <w:rFonts w:ascii="Dubai" w:hAnsi="Dubai" w:cs="Dubai"/>
                <w:sz w:val="22"/>
                <w:szCs w:val="22"/>
                <w:lang w:val="ar-SA" w:eastAsia="zh-TW" w:bidi="en-GB"/>
              </w:rPr>
            </w:pPr>
            <w:r w:rsidRPr="006038C5">
              <w:rPr>
                <w:rFonts w:ascii="Dubai" w:hAnsi="Dubai" w:cs="Dubai"/>
                <w:sz w:val="22"/>
                <w:szCs w:val="22"/>
              </w:rPr>
              <w:t>-</w:t>
            </w:r>
            <w:r w:rsidRPr="006038C5">
              <w:rPr>
                <w:rFonts w:ascii="Dubai" w:hAnsi="Dubai" w:cs="Dubai"/>
                <w:sz w:val="22"/>
                <w:szCs w:val="22"/>
              </w:rPr>
              <w:tab/>
            </w:r>
            <w:r w:rsidRPr="006038C5">
              <w:rPr>
                <w:rFonts w:ascii="Dubai" w:hAnsi="Dubai" w:cs="Dubai"/>
                <w:sz w:val="22"/>
                <w:szCs w:val="22"/>
                <w:rtl/>
              </w:rPr>
              <w:t>رئيس لجنة الدراسات 21 لقطاع تقييس الاتصالات</w:t>
            </w:r>
            <w:r w:rsidR="002A14A4">
              <w:rPr>
                <w:rFonts w:ascii="Dubai" w:hAnsi="Dubai" w:cs="Dubai" w:hint="cs"/>
                <w:sz w:val="22"/>
                <w:szCs w:val="22"/>
                <w:rtl/>
              </w:rPr>
              <w:t> </w:t>
            </w:r>
            <w:proofErr w:type="gramStart"/>
            <w:r w:rsidRPr="006038C5">
              <w:rPr>
                <w:rFonts w:ascii="Dubai" w:hAnsi="Dubai" w:cs="Dubai"/>
                <w:sz w:val="22"/>
                <w:szCs w:val="22"/>
                <w:rtl/>
              </w:rPr>
              <w:t>ونوابه؛</w:t>
            </w:r>
            <w:proofErr w:type="gramEnd"/>
          </w:p>
          <w:p w14:paraId="7A39E86E" w14:textId="77777777" w:rsidR="006038C5" w:rsidRPr="006038C5" w:rsidRDefault="006038C5" w:rsidP="006038C5">
            <w:pPr>
              <w:pStyle w:val="Tabletext"/>
              <w:tabs>
                <w:tab w:val="clear" w:pos="284"/>
                <w:tab w:val="left" w:pos="15"/>
              </w:tabs>
              <w:bidi/>
              <w:spacing w:after="0"/>
              <w:ind w:left="283" w:hanging="283"/>
              <w:rPr>
                <w:rFonts w:ascii="Dubai" w:hAnsi="Dubai" w:cs="Dubai"/>
                <w:sz w:val="22"/>
                <w:szCs w:val="22"/>
                <w:lang w:val="ar-SA" w:eastAsia="zh-TW" w:bidi="en-GB"/>
              </w:rPr>
            </w:pPr>
            <w:r w:rsidRPr="006038C5">
              <w:rPr>
                <w:rFonts w:ascii="Dubai" w:hAnsi="Dubai" w:cs="Dubai"/>
                <w:sz w:val="22"/>
                <w:szCs w:val="22"/>
              </w:rPr>
              <w:t>-</w:t>
            </w:r>
            <w:r w:rsidRPr="006038C5">
              <w:rPr>
                <w:rFonts w:ascii="Dubai" w:hAnsi="Dubai" w:cs="Dubai"/>
                <w:sz w:val="22"/>
                <w:szCs w:val="22"/>
              </w:rPr>
              <w:tab/>
            </w:r>
            <w:r w:rsidRPr="006038C5">
              <w:rPr>
                <w:rFonts w:ascii="Dubai" w:hAnsi="Dubai" w:cs="Dubai"/>
                <w:sz w:val="22"/>
                <w:szCs w:val="22"/>
                <w:rtl/>
              </w:rPr>
              <w:t xml:space="preserve">مدير مكتب تنمية </w:t>
            </w:r>
            <w:proofErr w:type="gramStart"/>
            <w:r w:rsidRPr="006038C5">
              <w:rPr>
                <w:rFonts w:ascii="Dubai" w:hAnsi="Dubai" w:cs="Dubai"/>
                <w:sz w:val="22"/>
                <w:szCs w:val="22"/>
                <w:rtl/>
              </w:rPr>
              <w:t>الاتصالات؛</w:t>
            </w:r>
            <w:proofErr w:type="gramEnd"/>
          </w:p>
          <w:p w14:paraId="01B14730" w14:textId="1A96AEBD" w:rsidR="006038C5" w:rsidRPr="006038C5" w:rsidRDefault="006038C5" w:rsidP="00DB2D96">
            <w:pPr>
              <w:tabs>
                <w:tab w:val="left" w:pos="284"/>
                <w:tab w:val="left" w:pos="4111"/>
              </w:tabs>
              <w:spacing w:before="0" w:line="340" w:lineRule="exact"/>
              <w:ind w:left="284" w:hanging="284"/>
              <w:rPr>
                <w:position w:val="2"/>
                <w:rtl/>
              </w:rPr>
            </w:pPr>
            <w:r w:rsidRPr="006038C5">
              <w:t>-</w:t>
            </w:r>
            <w:r w:rsidRPr="006038C5">
              <w:tab/>
            </w:r>
            <w:r w:rsidRPr="006038C5">
              <w:rPr>
                <w:rtl/>
              </w:rPr>
              <w:t>مدير مكتب الاتصالات الراديوية</w:t>
            </w:r>
          </w:p>
        </w:tc>
      </w:tr>
      <w:tr w:rsidR="006038C5" w:rsidRPr="006038C5" w14:paraId="5C2343BC" w14:textId="77777777" w:rsidTr="001E2788">
        <w:trPr>
          <w:cantSplit/>
          <w:jc w:val="center"/>
        </w:trPr>
        <w:tc>
          <w:tcPr>
            <w:tcW w:w="810" w:type="pct"/>
          </w:tcPr>
          <w:p w14:paraId="1F4F3072" w14:textId="77777777" w:rsidR="006038C5" w:rsidRPr="006038C5" w:rsidRDefault="006038C5" w:rsidP="001E2788">
            <w:pPr>
              <w:spacing w:before="80" w:after="60" w:line="300" w:lineRule="exact"/>
              <w:jc w:val="left"/>
              <w:rPr>
                <w:b/>
                <w:bCs/>
                <w:position w:val="2"/>
                <w:rtl/>
                <w:lang w:bidi="ar-EG"/>
              </w:rPr>
            </w:pPr>
            <w:r w:rsidRPr="006038C5">
              <w:rPr>
                <w:rFonts w:hint="cs"/>
                <w:b/>
                <w:bCs/>
                <w:position w:val="2"/>
                <w:rtl/>
                <w:lang w:bidi="ar-EG"/>
              </w:rPr>
              <w:t>ال</w:t>
            </w:r>
            <w:r w:rsidRPr="006038C5">
              <w:rPr>
                <w:rFonts w:hint="cs"/>
                <w:b/>
                <w:bCs/>
                <w:position w:val="2"/>
                <w:rtl/>
                <w:lang w:bidi="ar-SY"/>
              </w:rPr>
              <w:t>هاتف</w:t>
            </w:r>
            <w:r w:rsidRPr="006038C5">
              <w:rPr>
                <w:rFonts w:hint="cs"/>
                <w:b/>
                <w:bCs/>
                <w:position w:val="2"/>
                <w:rtl/>
              </w:rPr>
              <w:t>:</w:t>
            </w:r>
          </w:p>
        </w:tc>
        <w:tc>
          <w:tcPr>
            <w:tcW w:w="1984" w:type="pct"/>
          </w:tcPr>
          <w:p w14:paraId="3C023BBD" w14:textId="21CEC335" w:rsidR="006038C5" w:rsidRPr="006038C5" w:rsidRDefault="006038C5" w:rsidP="001E2788">
            <w:pPr>
              <w:spacing w:before="80" w:after="60" w:line="300" w:lineRule="exact"/>
              <w:jc w:val="left"/>
              <w:rPr>
                <w:bCs/>
                <w:position w:val="2"/>
                <w:lang w:bidi="ar-EG"/>
              </w:rPr>
            </w:pPr>
            <w:r w:rsidRPr="006038C5">
              <w:rPr>
                <w:bCs/>
              </w:rPr>
              <w:t>+41 22 730 5858</w:t>
            </w:r>
          </w:p>
        </w:tc>
        <w:tc>
          <w:tcPr>
            <w:tcW w:w="2206" w:type="pct"/>
            <w:vMerge/>
          </w:tcPr>
          <w:p w14:paraId="3CBA8F96" w14:textId="1780FEB4" w:rsidR="006038C5" w:rsidRPr="006038C5" w:rsidRDefault="006038C5" w:rsidP="00DB2D96">
            <w:pPr>
              <w:tabs>
                <w:tab w:val="left" w:pos="284"/>
                <w:tab w:val="left" w:pos="4111"/>
              </w:tabs>
              <w:spacing w:before="0" w:line="340" w:lineRule="exact"/>
              <w:ind w:left="284" w:hanging="284"/>
              <w:rPr>
                <w:bCs/>
                <w:position w:val="2"/>
              </w:rPr>
            </w:pPr>
          </w:p>
        </w:tc>
      </w:tr>
      <w:tr w:rsidR="006038C5" w:rsidRPr="006038C5" w14:paraId="59CC5C61" w14:textId="77777777" w:rsidTr="001E2788">
        <w:trPr>
          <w:cantSplit/>
          <w:jc w:val="center"/>
        </w:trPr>
        <w:tc>
          <w:tcPr>
            <w:tcW w:w="810" w:type="pct"/>
          </w:tcPr>
          <w:p w14:paraId="4FEA5FC2" w14:textId="77777777" w:rsidR="006038C5" w:rsidRPr="006038C5" w:rsidRDefault="006038C5" w:rsidP="001E2788">
            <w:pPr>
              <w:spacing w:before="80" w:after="60" w:line="300" w:lineRule="exact"/>
              <w:jc w:val="left"/>
              <w:rPr>
                <w:b/>
                <w:bCs/>
                <w:position w:val="2"/>
                <w:rtl/>
              </w:rPr>
            </w:pPr>
            <w:r w:rsidRPr="006038C5">
              <w:rPr>
                <w:rFonts w:hint="cs"/>
                <w:b/>
                <w:bCs/>
                <w:position w:val="2"/>
                <w:rtl/>
              </w:rPr>
              <w:t>الفاكس:</w:t>
            </w:r>
          </w:p>
        </w:tc>
        <w:tc>
          <w:tcPr>
            <w:tcW w:w="1984" w:type="pct"/>
          </w:tcPr>
          <w:p w14:paraId="6D6874DC" w14:textId="59F26C42" w:rsidR="006038C5" w:rsidRPr="006038C5" w:rsidRDefault="006038C5" w:rsidP="00D517B2">
            <w:pPr>
              <w:spacing w:before="80" w:after="60" w:line="300" w:lineRule="exact"/>
              <w:jc w:val="left"/>
              <w:rPr>
                <w:position w:val="2"/>
              </w:rPr>
            </w:pPr>
            <w:r w:rsidRPr="006038C5">
              <w:t>+41 22 730 5853</w:t>
            </w:r>
          </w:p>
        </w:tc>
        <w:tc>
          <w:tcPr>
            <w:tcW w:w="2206" w:type="pct"/>
            <w:vMerge/>
          </w:tcPr>
          <w:p w14:paraId="5B57FE87" w14:textId="7D3EE1AF" w:rsidR="006038C5" w:rsidRPr="006038C5" w:rsidRDefault="006038C5" w:rsidP="00DB2D96">
            <w:pPr>
              <w:tabs>
                <w:tab w:val="left" w:pos="284"/>
                <w:tab w:val="left" w:pos="4111"/>
              </w:tabs>
              <w:spacing w:before="0" w:line="340" w:lineRule="exact"/>
              <w:ind w:left="284" w:hanging="284"/>
              <w:rPr>
                <w:position w:val="2"/>
              </w:rPr>
            </w:pPr>
          </w:p>
        </w:tc>
      </w:tr>
      <w:tr w:rsidR="006038C5" w:rsidRPr="006038C5" w14:paraId="4A20C993" w14:textId="77777777" w:rsidTr="00F53921">
        <w:trPr>
          <w:cantSplit/>
          <w:trHeight w:val="2775"/>
          <w:jc w:val="center"/>
        </w:trPr>
        <w:tc>
          <w:tcPr>
            <w:tcW w:w="810" w:type="pct"/>
          </w:tcPr>
          <w:p w14:paraId="1000DF31" w14:textId="14F6267D" w:rsidR="006038C5" w:rsidRPr="006038C5" w:rsidRDefault="006038C5" w:rsidP="00CE1C08">
            <w:pPr>
              <w:spacing w:before="80" w:after="60" w:line="300" w:lineRule="exact"/>
              <w:jc w:val="left"/>
              <w:rPr>
                <w:b/>
                <w:bCs/>
                <w:position w:val="2"/>
                <w:rtl/>
              </w:rPr>
            </w:pPr>
            <w:r w:rsidRPr="006038C5">
              <w:rPr>
                <w:rFonts w:hint="cs"/>
                <w:b/>
                <w:bCs/>
                <w:position w:val="2"/>
                <w:rtl/>
              </w:rPr>
              <w:t>البريد الإلكتروني:</w:t>
            </w:r>
          </w:p>
        </w:tc>
        <w:tc>
          <w:tcPr>
            <w:tcW w:w="1984" w:type="pct"/>
          </w:tcPr>
          <w:p w14:paraId="0C7F0823" w14:textId="3DB1A941" w:rsidR="006038C5" w:rsidRPr="006038C5" w:rsidRDefault="006038C5" w:rsidP="00CE1C08">
            <w:pPr>
              <w:spacing w:before="80" w:after="60" w:line="300" w:lineRule="exact"/>
              <w:jc w:val="left"/>
              <w:rPr>
                <w:rStyle w:val="Hyperlink"/>
                <w:rtl/>
              </w:rPr>
            </w:pPr>
            <w:hyperlink r:id="rId12" w:history="1">
              <w:r w:rsidRPr="006038C5">
                <w:rPr>
                  <w:rStyle w:val="Hyperlink"/>
                  <w:rtl/>
                </w:rPr>
                <w:t>tsbsg21@itu.int</w:t>
              </w:r>
            </w:hyperlink>
          </w:p>
        </w:tc>
        <w:tc>
          <w:tcPr>
            <w:tcW w:w="2206" w:type="pct"/>
            <w:vMerge/>
          </w:tcPr>
          <w:p w14:paraId="67A899CA" w14:textId="74801191" w:rsidR="006038C5" w:rsidRPr="006038C5" w:rsidRDefault="006038C5" w:rsidP="006038C5">
            <w:pPr>
              <w:tabs>
                <w:tab w:val="left" w:pos="284"/>
                <w:tab w:val="left" w:pos="4111"/>
              </w:tabs>
              <w:spacing w:before="0" w:line="340" w:lineRule="exact"/>
              <w:ind w:left="284" w:hanging="284"/>
              <w:rPr>
                <w:position w:val="2"/>
                <w:rtl/>
              </w:rPr>
            </w:pPr>
          </w:p>
        </w:tc>
      </w:tr>
      <w:tr w:rsidR="00CE1C08" w:rsidRPr="006038C5" w14:paraId="5430102A" w14:textId="77777777" w:rsidTr="001E2788">
        <w:trPr>
          <w:cantSplit/>
          <w:jc w:val="center"/>
        </w:trPr>
        <w:tc>
          <w:tcPr>
            <w:tcW w:w="810" w:type="pct"/>
          </w:tcPr>
          <w:p w14:paraId="1393261D" w14:textId="247EC62D" w:rsidR="00CE1C08" w:rsidRPr="006038C5" w:rsidRDefault="00CE1C08" w:rsidP="00CE1C08">
            <w:pPr>
              <w:spacing w:before="80" w:after="60" w:line="300" w:lineRule="exact"/>
              <w:jc w:val="left"/>
              <w:rPr>
                <w:b/>
                <w:bCs/>
                <w:position w:val="2"/>
                <w:rtl/>
                <w:lang w:bidi="ar-SY"/>
              </w:rPr>
            </w:pPr>
            <w:r w:rsidRPr="006038C5">
              <w:rPr>
                <w:rFonts w:hint="cs"/>
                <w:b/>
                <w:bCs/>
                <w:position w:val="2"/>
                <w:rtl/>
              </w:rPr>
              <w:t>الموضوع:</w:t>
            </w:r>
          </w:p>
        </w:tc>
        <w:tc>
          <w:tcPr>
            <w:tcW w:w="4190" w:type="pct"/>
            <w:gridSpan w:val="2"/>
          </w:tcPr>
          <w:p w14:paraId="0F29DDD6" w14:textId="55EF5FE2" w:rsidR="00CE1C08" w:rsidRPr="006038C5" w:rsidRDefault="006038C5" w:rsidP="00CE1C08">
            <w:pPr>
              <w:spacing w:before="80" w:after="60" w:line="300" w:lineRule="exact"/>
              <w:jc w:val="left"/>
              <w:rPr>
                <w:position w:val="2"/>
                <w:rtl/>
              </w:rPr>
            </w:pPr>
            <w:r w:rsidRPr="006038C5">
              <w:rPr>
                <w:b/>
                <w:bCs/>
                <w:rtl/>
              </w:rPr>
              <w:t>حالة التوصية ITU-T F.748.39 (F.AICP-FRRC سابقاً) بعد اجتماع لجنة الدراسات 21 لقطاع تقييس الاتصالات (جنيف، 13-24 يناير 2025)</w:t>
            </w:r>
          </w:p>
        </w:tc>
      </w:tr>
    </w:tbl>
    <w:p w14:paraId="52E908A7" w14:textId="77777777" w:rsidR="00D517B2" w:rsidRPr="006038C5" w:rsidRDefault="00D517B2" w:rsidP="00F53921">
      <w:pPr>
        <w:rPr>
          <w:lang w:bidi="ar-SY"/>
        </w:rPr>
      </w:pPr>
      <w:r w:rsidRPr="006038C5">
        <w:rPr>
          <w:rFonts w:hint="cs"/>
          <w:rtl/>
          <w:lang w:bidi="ar-SY"/>
        </w:rPr>
        <w:t>حضرات السادة والسيدات،</w:t>
      </w:r>
    </w:p>
    <w:p w14:paraId="50FDD000" w14:textId="478B1AD9" w:rsidR="00D517B2" w:rsidRPr="006038C5" w:rsidRDefault="00D517B2" w:rsidP="00D517B2">
      <w:pPr>
        <w:rPr>
          <w:rtl/>
          <w:lang w:bidi="ar-EG"/>
        </w:rPr>
      </w:pPr>
      <w:r w:rsidRPr="006038C5">
        <w:rPr>
          <w:rFonts w:hint="cs"/>
          <w:rtl/>
        </w:rPr>
        <w:t>تحية طيبة وبعد،</w:t>
      </w:r>
    </w:p>
    <w:p w14:paraId="6CE26C3D" w14:textId="504B625B" w:rsidR="006038C5" w:rsidRPr="006038C5" w:rsidRDefault="006038C5" w:rsidP="006038C5">
      <w:pPr>
        <w:spacing w:after="120"/>
        <w:textDirection w:val="tbRlV"/>
        <w:rPr>
          <w:lang w:val="ar-SA" w:eastAsia="zh-TW" w:bidi="en-GB"/>
        </w:rPr>
      </w:pPr>
      <w:r w:rsidRPr="006038C5">
        <w:rPr>
          <w:rtl/>
        </w:rPr>
        <w:t>1</w:t>
      </w:r>
      <w:r w:rsidRPr="006038C5">
        <w:rPr>
          <w:rtl/>
        </w:rPr>
        <w:tab/>
        <w:t xml:space="preserve">إلحاقاً </w:t>
      </w:r>
      <w:hyperlink r:id="rId13" w:history="1">
        <w:r w:rsidRPr="006038C5">
          <w:rPr>
            <w:rStyle w:val="Hyperlink"/>
            <w:rtl/>
          </w:rPr>
          <w:t>بالرسالة المعممة 207</w:t>
        </w:r>
      </w:hyperlink>
      <w:r w:rsidRPr="006038C5">
        <w:rPr>
          <w:rtl/>
        </w:rPr>
        <w:t xml:space="preserve"> لمكتب تقييس الاتصالات المؤرخة 11 يونيو 2024 (ومراجعتها في 23 سبتمبر 2024)، وعملاً بالفقرتين 5.9-6.9 من القرار 1 (المراجع في جنيف، 2022)، أود إفادتكم بأن لجنة الدراسات 21 توصلت إلى القرار التالي خلال جلستها العامة المنعقدة في 24 يناير 2025 في جنيف، بشأن مشروع نص قطاع تقييس الاتصالات التالي:</w:t>
      </w:r>
    </w:p>
    <w:tbl>
      <w:tblPr>
        <w:bidiVisu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55"/>
        <w:gridCol w:w="5244"/>
        <w:gridCol w:w="2120"/>
      </w:tblGrid>
      <w:tr w:rsidR="006038C5" w:rsidRPr="006038C5" w14:paraId="401AC0F6" w14:textId="77777777" w:rsidTr="00524FFA">
        <w:tc>
          <w:tcPr>
            <w:tcW w:w="1172" w:type="pct"/>
            <w:shd w:val="clear" w:color="auto" w:fill="auto"/>
            <w:tcMar>
              <w:top w:w="105" w:type="dxa"/>
              <w:left w:w="75" w:type="dxa"/>
              <w:bottom w:w="90" w:type="dxa"/>
              <w:right w:w="75" w:type="dxa"/>
            </w:tcMar>
            <w:hideMark/>
          </w:tcPr>
          <w:p w14:paraId="455F459D" w14:textId="77777777" w:rsidR="006038C5" w:rsidRPr="006038C5" w:rsidRDefault="006038C5" w:rsidP="006038C5">
            <w:pPr>
              <w:pStyle w:val="TableHead"/>
              <w:rPr>
                <w:lang w:val="ar-SA" w:eastAsia="zh-TW" w:bidi="en-GB"/>
              </w:rPr>
            </w:pPr>
            <w:r w:rsidRPr="006038C5">
              <w:rPr>
                <w:rtl/>
              </w:rPr>
              <w:t>الرقم</w:t>
            </w:r>
          </w:p>
        </w:tc>
        <w:tc>
          <w:tcPr>
            <w:tcW w:w="2726" w:type="pct"/>
            <w:shd w:val="clear" w:color="auto" w:fill="auto"/>
            <w:tcMar>
              <w:top w:w="105" w:type="dxa"/>
              <w:left w:w="75" w:type="dxa"/>
              <w:bottom w:w="90" w:type="dxa"/>
              <w:right w:w="75" w:type="dxa"/>
            </w:tcMar>
            <w:hideMark/>
          </w:tcPr>
          <w:p w14:paraId="72FE6FC6" w14:textId="77777777" w:rsidR="006038C5" w:rsidRPr="006038C5" w:rsidRDefault="006038C5" w:rsidP="006038C5">
            <w:pPr>
              <w:pStyle w:val="TableHead"/>
              <w:rPr>
                <w:lang w:val="ar-SA" w:eastAsia="zh-TW" w:bidi="en-GB"/>
              </w:rPr>
            </w:pPr>
            <w:r w:rsidRPr="006038C5">
              <w:rPr>
                <w:rtl/>
              </w:rPr>
              <w:t>العنوان</w:t>
            </w:r>
          </w:p>
        </w:tc>
        <w:tc>
          <w:tcPr>
            <w:tcW w:w="1102" w:type="pct"/>
            <w:shd w:val="clear" w:color="auto" w:fill="auto"/>
            <w:tcMar>
              <w:top w:w="105" w:type="dxa"/>
              <w:left w:w="75" w:type="dxa"/>
              <w:bottom w:w="90" w:type="dxa"/>
              <w:right w:w="75" w:type="dxa"/>
            </w:tcMar>
            <w:hideMark/>
          </w:tcPr>
          <w:p w14:paraId="2612F3AB" w14:textId="77777777" w:rsidR="006038C5" w:rsidRPr="006038C5" w:rsidRDefault="006038C5" w:rsidP="006038C5">
            <w:pPr>
              <w:pStyle w:val="TableHead"/>
              <w:rPr>
                <w:lang w:val="ar-SA" w:eastAsia="zh-TW" w:bidi="en-GB"/>
              </w:rPr>
            </w:pPr>
            <w:r w:rsidRPr="006038C5">
              <w:rPr>
                <w:rtl/>
              </w:rPr>
              <w:t>القرار</w:t>
            </w:r>
          </w:p>
        </w:tc>
      </w:tr>
      <w:tr w:rsidR="006038C5" w:rsidRPr="006038C5" w14:paraId="638ED188" w14:textId="77777777" w:rsidTr="00524FFA">
        <w:tc>
          <w:tcPr>
            <w:tcW w:w="1172" w:type="pct"/>
            <w:shd w:val="clear" w:color="auto" w:fill="auto"/>
            <w:tcMar>
              <w:top w:w="105" w:type="dxa"/>
              <w:left w:w="75" w:type="dxa"/>
              <w:bottom w:w="90" w:type="dxa"/>
              <w:right w:w="75" w:type="dxa"/>
            </w:tcMar>
            <w:vAlign w:val="center"/>
          </w:tcPr>
          <w:p w14:paraId="5D696F0A" w14:textId="51A3BA08" w:rsidR="006038C5" w:rsidRPr="006038C5" w:rsidRDefault="006038C5" w:rsidP="006038C5">
            <w:pPr>
              <w:keepNext/>
              <w:keepLines/>
              <w:spacing w:before="60" w:after="60" w:line="260" w:lineRule="exact"/>
              <w:jc w:val="center"/>
              <w:textDirection w:val="tbRlV"/>
              <w:rPr>
                <w:lang w:val="ar-SA" w:eastAsia="zh-TW" w:bidi="en-GB"/>
              </w:rPr>
            </w:pPr>
            <w:r w:rsidRPr="006038C5">
              <w:rPr>
                <w:rtl/>
              </w:rPr>
              <w:t>التوصية F.748.39</w:t>
            </w:r>
            <w:r w:rsidR="00524FFA">
              <w:t xml:space="preserve">ITU-T </w:t>
            </w:r>
            <w:r w:rsidR="00524FFA">
              <w:br/>
            </w:r>
            <w:r w:rsidRPr="006038C5">
              <w:t> </w:t>
            </w:r>
            <w:r w:rsidRPr="006038C5">
              <w:rPr>
                <w:rFonts w:hint="cs"/>
                <w:rtl/>
              </w:rPr>
              <w:t>(</w:t>
            </w:r>
            <w:r w:rsidRPr="006038C5">
              <w:rPr>
                <w:rtl/>
              </w:rPr>
              <w:t>F.AICP-FRRC سابقاً</w:t>
            </w:r>
            <w:r w:rsidRPr="006038C5">
              <w:rPr>
                <w:rFonts w:hint="cs"/>
                <w:rtl/>
              </w:rPr>
              <w:t>)</w:t>
            </w:r>
          </w:p>
        </w:tc>
        <w:tc>
          <w:tcPr>
            <w:tcW w:w="2726" w:type="pct"/>
            <w:shd w:val="clear" w:color="auto" w:fill="auto"/>
            <w:tcMar>
              <w:top w:w="105" w:type="dxa"/>
              <w:left w:w="75" w:type="dxa"/>
              <w:bottom w:w="90" w:type="dxa"/>
              <w:right w:w="75" w:type="dxa"/>
            </w:tcMar>
          </w:tcPr>
          <w:p w14:paraId="30D5AC06" w14:textId="77777777" w:rsidR="006038C5" w:rsidRPr="006038C5" w:rsidRDefault="006038C5" w:rsidP="006038C5">
            <w:pPr>
              <w:pStyle w:val="Tabletext"/>
              <w:keepNext/>
              <w:keepLines/>
              <w:overflowPunct/>
              <w:autoSpaceDE/>
              <w:autoSpaceDN/>
              <w:bidi/>
              <w:adjustRightInd/>
              <w:spacing w:before="60" w:after="60" w:line="260" w:lineRule="exact"/>
              <w:jc w:val="center"/>
              <w:textDirection w:val="tbRlV"/>
              <w:textAlignment w:val="auto"/>
              <w:rPr>
                <w:rFonts w:ascii="Dubai" w:hAnsi="Dubai" w:cs="Dubai"/>
                <w:sz w:val="22"/>
                <w:szCs w:val="22"/>
                <w:lang w:val="ar-SA" w:eastAsia="zh-TW" w:bidi="en-GB"/>
              </w:rPr>
            </w:pPr>
            <w:r w:rsidRPr="006038C5">
              <w:rPr>
                <w:rFonts w:ascii="Dubai" w:hAnsi="Dubai" w:cs="Dubai"/>
                <w:sz w:val="22"/>
                <w:szCs w:val="22"/>
                <w:rtl/>
              </w:rPr>
              <w:t>المتطلبات الوظيفية والمعمارية المرجعية لمنصة سحابية للذكاء الاصطناعي من أجل تشغيل شبكة قدرة كهربائية ذكية وصيانتها</w:t>
            </w:r>
          </w:p>
        </w:tc>
        <w:tc>
          <w:tcPr>
            <w:tcW w:w="1102" w:type="pct"/>
            <w:shd w:val="clear" w:color="auto" w:fill="auto"/>
            <w:tcMar>
              <w:top w:w="105" w:type="dxa"/>
              <w:left w:w="75" w:type="dxa"/>
              <w:bottom w:w="90" w:type="dxa"/>
              <w:right w:w="75" w:type="dxa"/>
            </w:tcMar>
          </w:tcPr>
          <w:p w14:paraId="10353068" w14:textId="18744B0E" w:rsidR="006038C5" w:rsidRPr="006038C5" w:rsidRDefault="006038C5" w:rsidP="006038C5">
            <w:pPr>
              <w:keepNext/>
              <w:keepLines/>
              <w:spacing w:before="60" w:after="60" w:line="260" w:lineRule="exact"/>
              <w:jc w:val="center"/>
              <w:textDirection w:val="tbRlV"/>
              <w:rPr>
                <w:lang w:val="ar-SA" w:eastAsia="zh-TW" w:bidi="en-GB"/>
              </w:rPr>
            </w:pPr>
            <w:r w:rsidRPr="006038C5">
              <w:rPr>
                <w:rtl/>
              </w:rPr>
              <w:t>هناك حاجة إلى مزيد من الدراسة في هذا الصدد</w:t>
            </w:r>
          </w:p>
        </w:tc>
      </w:tr>
    </w:tbl>
    <w:p w14:paraId="790940BE" w14:textId="77777777" w:rsidR="006038C5" w:rsidRPr="006038C5" w:rsidRDefault="006038C5" w:rsidP="00524FFA">
      <w:pPr>
        <w:spacing w:before="240"/>
        <w:textDirection w:val="tbRlV"/>
        <w:rPr>
          <w:lang w:val="ar-SA" w:eastAsia="zh-TW" w:bidi="en-GB"/>
        </w:rPr>
      </w:pPr>
      <w:r w:rsidRPr="006038C5">
        <w:rPr>
          <w:rtl/>
        </w:rPr>
        <w:t xml:space="preserve">ولم يُوافَق على التوصية خلال هذا الاجتماع. </w:t>
      </w:r>
    </w:p>
    <w:p w14:paraId="0580ABA0" w14:textId="2659FAEF" w:rsidR="00F53921" w:rsidRDefault="006038C5" w:rsidP="00F53921">
      <w:pPr>
        <w:textDirection w:val="tbRlV"/>
        <w:rPr>
          <w:lang w:val="fr-CH" w:eastAsia="zh-TW" w:bidi="en-GB"/>
        </w:rPr>
      </w:pPr>
      <w:r w:rsidRPr="006038C5">
        <w:rPr>
          <w:rtl/>
        </w:rPr>
        <w:t xml:space="preserve">وقررت لجنة الدراسات 21 مواصلة دراسة بند العمل هذا في الاجتماعات المقبلة، استجابة للتعليقات الواردة من مشاورة الدول الأعضاء بشأن المشروع المحدد للتوصية ITU-T F.748.39 (F.AICP-FRRC سابقاً) المتاح في الوثيقة </w:t>
      </w:r>
      <w:hyperlink r:id="rId14" w:history="1">
        <w:r w:rsidRPr="006038C5">
          <w:rPr>
            <w:rStyle w:val="Hyperlink"/>
            <w:rtl/>
          </w:rPr>
          <w:t>SG21-TD20/PLEN</w:t>
        </w:r>
      </w:hyperlink>
      <w:r w:rsidRPr="006038C5">
        <w:rPr>
          <w:rtl/>
        </w:rPr>
        <w:t xml:space="preserve">. </w:t>
      </w:r>
    </w:p>
    <w:p w14:paraId="3EADEBA9" w14:textId="6C5D731E" w:rsidR="006038C5" w:rsidRPr="006038C5" w:rsidRDefault="006038C5" w:rsidP="00F53921">
      <w:pPr>
        <w:textDirection w:val="tbRlV"/>
        <w:rPr>
          <w:lang w:val="ar-SA" w:eastAsia="zh-TW" w:bidi="en-GB"/>
        </w:rPr>
      </w:pPr>
      <w:r w:rsidRPr="006038C5">
        <w:rPr>
          <w:rtl/>
        </w:rPr>
        <w:t xml:space="preserve">ولذلك، إذا تم التوصل إلى توافق في الآراء بشأن النص المراجَع، ستخضع التوصية لمزيد من التحديد في الاجتماعات المقبلة. والمشروع المحدث الذي نوقش في الاجتماع الأخير للجنة الدراسات 21 متاح في الوثيقة </w:t>
      </w:r>
      <w:hyperlink r:id="rId15" w:history="1">
        <w:r w:rsidRPr="006038C5">
          <w:rPr>
            <w:rStyle w:val="Hyperlink"/>
            <w:rtl/>
          </w:rPr>
          <w:t>SG21-TD69/WP3</w:t>
        </w:r>
      </w:hyperlink>
      <w:r w:rsidRPr="006038C5">
        <w:rPr>
          <w:rtl/>
        </w:rPr>
        <w:t>.</w:t>
      </w:r>
    </w:p>
    <w:p w14:paraId="009E5204" w14:textId="7EB43E87" w:rsidR="00E84438" w:rsidRPr="006038C5" w:rsidRDefault="00E84438" w:rsidP="00F53921">
      <w:pPr>
        <w:pStyle w:val="enumlev2"/>
        <w:ind w:hanging="1579"/>
        <w:rPr>
          <w:rtl/>
          <w:lang w:bidi="ar-EG"/>
        </w:rPr>
      </w:pPr>
      <w:r w:rsidRPr="006038C5">
        <w:rPr>
          <w:rFonts w:hint="cs"/>
          <w:rtl/>
          <w:lang w:bidi="ar-EG"/>
        </w:rPr>
        <w:t>وتفضلوا بقبول فائق التقدير والاحترام.</w:t>
      </w:r>
    </w:p>
    <w:p w14:paraId="73456FBB" w14:textId="422F449B" w:rsidR="00E84438" w:rsidRPr="00D517B2" w:rsidRDefault="006C1CE7" w:rsidP="00F53921">
      <w:pPr>
        <w:spacing w:before="720"/>
        <w:jc w:val="left"/>
        <w:rPr>
          <w:rtl/>
        </w:rPr>
      </w:pPr>
      <w:r>
        <w:rPr>
          <w:rFonts w:hint="cs"/>
          <w:noProof/>
          <w:rtl/>
          <w:lang w:val="ar-SY" w:bidi="ar-SY"/>
        </w:rPr>
        <w:drawing>
          <wp:anchor distT="0" distB="0" distL="114300" distR="114300" simplePos="0" relativeHeight="251658240" behindDoc="1" locked="0" layoutInCell="1" allowOverlap="1" wp14:anchorId="5EDD970E" wp14:editId="28BF7A27">
            <wp:simplePos x="0" y="0"/>
            <wp:positionH relativeFrom="column">
              <wp:posOffset>5276215</wp:posOffset>
            </wp:positionH>
            <wp:positionV relativeFrom="paragraph">
              <wp:posOffset>71755</wp:posOffset>
            </wp:positionV>
            <wp:extent cx="768350" cy="368300"/>
            <wp:effectExtent l="0" t="0" r="0" b="0"/>
            <wp:wrapNone/>
            <wp:docPr id="726129767"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29767" name="Picture 1" descr="A black and white text&#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768350" cy="368300"/>
                    </a:xfrm>
                    <a:prstGeom prst="rect">
                      <a:avLst/>
                    </a:prstGeom>
                  </pic:spPr>
                </pic:pic>
              </a:graphicData>
            </a:graphic>
            <wp14:sizeRelH relativeFrom="margin">
              <wp14:pctWidth>0</wp14:pctWidth>
            </wp14:sizeRelH>
            <wp14:sizeRelV relativeFrom="margin">
              <wp14:pctHeight>0</wp14:pctHeight>
            </wp14:sizeRelV>
          </wp:anchor>
        </w:drawing>
      </w:r>
      <w:r w:rsidR="00807031" w:rsidRPr="006038C5">
        <w:rPr>
          <w:rFonts w:hint="cs"/>
          <w:rtl/>
          <w:lang w:bidi="ar-SY"/>
        </w:rPr>
        <w:t>سيزو أونوي</w:t>
      </w:r>
      <w:r w:rsidR="00E84438" w:rsidRPr="006038C5">
        <w:rPr>
          <w:rtl/>
          <w:lang w:bidi="ar-SY"/>
        </w:rPr>
        <w:br/>
      </w:r>
      <w:r w:rsidR="00E84438" w:rsidRPr="006038C5">
        <w:rPr>
          <w:rFonts w:hint="cs"/>
          <w:rtl/>
          <w:lang w:bidi="ar-SY"/>
        </w:rPr>
        <w:t>مدير</w:t>
      </w:r>
      <w:r w:rsidR="00E84438" w:rsidRPr="006038C5">
        <w:rPr>
          <w:rtl/>
          <w:lang w:bidi="ar-SY"/>
        </w:rPr>
        <w:t xml:space="preserve"> </w:t>
      </w:r>
      <w:r w:rsidR="00E84438" w:rsidRPr="006038C5">
        <w:rPr>
          <w:rFonts w:hint="cs"/>
          <w:rtl/>
          <w:lang w:bidi="ar-SY"/>
        </w:rPr>
        <w:t>مكتب</w:t>
      </w:r>
      <w:r w:rsidR="00E84438" w:rsidRPr="006038C5">
        <w:rPr>
          <w:rtl/>
          <w:lang w:bidi="ar-SY"/>
        </w:rPr>
        <w:t xml:space="preserve"> </w:t>
      </w:r>
      <w:r w:rsidR="00E84438" w:rsidRPr="006038C5">
        <w:rPr>
          <w:rFonts w:hint="cs"/>
          <w:rtl/>
          <w:lang w:bidi="ar-SY"/>
        </w:rPr>
        <w:t>تقييس</w:t>
      </w:r>
      <w:r w:rsidR="00E84438" w:rsidRPr="006038C5">
        <w:rPr>
          <w:rtl/>
          <w:lang w:bidi="ar-SY"/>
        </w:rPr>
        <w:t xml:space="preserve"> </w:t>
      </w:r>
      <w:r w:rsidR="00E84438" w:rsidRPr="006038C5">
        <w:rPr>
          <w:rFonts w:hint="cs"/>
          <w:rtl/>
          <w:lang w:bidi="ar-SY"/>
        </w:rPr>
        <w:t>الاتصالات</w:t>
      </w:r>
    </w:p>
    <w:sectPr w:rsidR="00E84438" w:rsidRPr="00D517B2" w:rsidSect="006C3242">
      <w:head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B8967" w14:textId="77777777" w:rsidR="006038C5" w:rsidRDefault="006038C5" w:rsidP="006C3242">
      <w:pPr>
        <w:spacing w:before="0" w:line="240" w:lineRule="auto"/>
      </w:pPr>
      <w:r>
        <w:separator/>
      </w:r>
    </w:p>
  </w:endnote>
  <w:endnote w:type="continuationSeparator" w:id="0">
    <w:p w14:paraId="5487018F" w14:textId="77777777" w:rsidR="006038C5" w:rsidRDefault="006038C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D02CF"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03269" w14:textId="77777777" w:rsidR="006038C5" w:rsidRDefault="006038C5" w:rsidP="006C3242">
      <w:pPr>
        <w:spacing w:before="0" w:line="240" w:lineRule="auto"/>
      </w:pPr>
      <w:r>
        <w:separator/>
      </w:r>
    </w:p>
  </w:footnote>
  <w:footnote w:type="continuationSeparator" w:id="0">
    <w:p w14:paraId="225B906C" w14:textId="77777777" w:rsidR="006038C5" w:rsidRDefault="006038C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82B4" w14:textId="34A50B93"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7139D8">
      <w:rPr>
        <w:sz w:val="20"/>
        <w:szCs w:val="20"/>
        <w:lang w:bidi="ar-EG"/>
      </w:rPr>
      <w:t xml:space="preserve">TSB Circular </w:t>
    </w:r>
    <w:r w:rsidR="006038C5">
      <w:rPr>
        <w:sz w:val="20"/>
        <w:szCs w:val="20"/>
        <w:lang w:bidi="ar-EG"/>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4745182">
    <w:abstractNumId w:val="9"/>
  </w:num>
  <w:num w:numId="2" w16cid:durableId="655107028">
    <w:abstractNumId w:val="7"/>
  </w:num>
  <w:num w:numId="3" w16cid:durableId="1508793143">
    <w:abstractNumId w:val="6"/>
  </w:num>
  <w:num w:numId="4" w16cid:durableId="1773357887">
    <w:abstractNumId w:val="5"/>
  </w:num>
  <w:num w:numId="5" w16cid:durableId="678434156">
    <w:abstractNumId w:val="4"/>
  </w:num>
  <w:num w:numId="6" w16cid:durableId="25105427">
    <w:abstractNumId w:val="8"/>
  </w:num>
  <w:num w:numId="7" w16cid:durableId="262346517">
    <w:abstractNumId w:val="3"/>
  </w:num>
  <w:num w:numId="8" w16cid:durableId="1291134112">
    <w:abstractNumId w:val="2"/>
  </w:num>
  <w:num w:numId="9" w16cid:durableId="1254585270">
    <w:abstractNumId w:val="1"/>
  </w:num>
  <w:num w:numId="10" w16cid:durableId="51540699">
    <w:abstractNumId w:val="0"/>
  </w:num>
  <w:num w:numId="11" w16cid:durableId="485629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C5"/>
    <w:rsid w:val="00002A63"/>
    <w:rsid w:val="0006468A"/>
    <w:rsid w:val="00090574"/>
    <w:rsid w:val="000C1C0E"/>
    <w:rsid w:val="000C548A"/>
    <w:rsid w:val="000E327F"/>
    <w:rsid w:val="00146FE2"/>
    <w:rsid w:val="001C0169"/>
    <w:rsid w:val="001D1D50"/>
    <w:rsid w:val="001D6745"/>
    <w:rsid w:val="001E2788"/>
    <w:rsid w:val="001E446E"/>
    <w:rsid w:val="002154EE"/>
    <w:rsid w:val="002276D2"/>
    <w:rsid w:val="0023283D"/>
    <w:rsid w:val="0026373E"/>
    <w:rsid w:val="00271C43"/>
    <w:rsid w:val="00290728"/>
    <w:rsid w:val="00290B6A"/>
    <w:rsid w:val="002978F4"/>
    <w:rsid w:val="002A14A4"/>
    <w:rsid w:val="002B028D"/>
    <w:rsid w:val="002E196B"/>
    <w:rsid w:val="002E6541"/>
    <w:rsid w:val="00334924"/>
    <w:rsid w:val="003409BC"/>
    <w:rsid w:val="00357185"/>
    <w:rsid w:val="00383829"/>
    <w:rsid w:val="003A3046"/>
    <w:rsid w:val="003C7EDF"/>
    <w:rsid w:val="003F4B29"/>
    <w:rsid w:val="00400EC6"/>
    <w:rsid w:val="0042686F"/>
    <w:rsid w:val="004317D8"/>
    <w:rsid w:val="00434183"/>
    <w:rsid w:val="00443869"/>
    <w:rsid w:val="00447F32"/>
    <w:rsid w:val="004E11DC"/>
    <w:rsid w:val="00524FFA"/>
    <w:rsid w:val="00525DDD"/>
    <w:rsid w:val="005409AC"/>
    <w:rsid w:val="0055516A"/>
    <w:rsid w:val="005731DD"/>
    <w:rsid w:val="0058491B"/>
    <w:rsid w:val="00592EA5"/>
    <w:rsid w:val="00595B52"/>
    <w:rsid w:val="00596808"/>
    <w:rsid w:val="005A3170"/>
    <w:rsid w:val="006019C6"/>
    <w:rsid w:val="006038C5"/>
    <w:rsid w:val="006635B2"/>
    <w:rsid w:val="00677396"/>
    <w:rsid w:val="0069200F"/>
    <w:rsid w:val="006A65CB"/>
    <w:rsid w:val="006C1530"/>
    <w:rsid w:val="006C1CE7"/>
    <w:rsid w:val="006C3242"/>
    <w:rsid w:val="006C7CC0"/>
    <w:rsid w:val="006E1BAD"/>
    <w:rsid w:val="006E6264"/>
    <w:rsid w:val="006F63F7"/>
    <w:rsid w:val="007025C7"/>
    <w:rsid w:val="00706D7A"/>
    <w:rsid w:val="007139D8"/>
    <w:rsid w:val="00722F0D"/>
    <w:rsid w:val="0074420E"/>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91703"/>
    <w:rsid w:val="008A7F84"/>
    <w:rsid w:val="009151D5"/>
    <w:rsid w:val="0091702E"/>
    <w:rsid w:val="00923B0C"/>
    <w:rsid w:val="00926F44"/>
    <w:rsid w:val="0094021C"/>
    <w:rsid w:val="0094432F"/>
    <w:rsid w:val="00952F86"/>
    <w:rsid w:val="00982B28"/>
    <w:rsid w:val="009D313F"/>
    <w:rsid w:val="00A47A5A"/>
    <w:rsid w:val="00A6683B"/>
    <w:rsid w:val="00A66DC8"/>
    <w:rsid w:val="00A77C90"/>
    <w:rsid w:val="00A9156F"/>
    <w:rsid w:val="00A97F94"/>
    <w:rsid w:val="00AA7EA2"/>
    <w:rsid w:val="00AB0BC9"/>
    <w:rsid w:val="00AF6B5C"/>
    <w:rsid w:val="00B03099"/>
    <w:rsid w:val="00B05BC8"/>
    <w:rsid w:val="00B64B47"/>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5392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C1C80F"/>
  <w15:chartTrackingRefBased/>
  <w15:docId w15:val="{2FEF18EE-BBAF-4418-A16B-F1044A3C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link w:val="TabletextChar"/>
    <w:qFormat/>
    <w:rsid w:val="006038C5"/>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CG Times" w:cs="Simplified Arabic"/>
      <w:sz w:val="24"/>
      <w:szCs w:val="30"/>
    </w:rPr>
  </w:style>
  <w:style w:type="character" w:customStyle="1" w:styleId="TabletextChar">
    <w:name w:val="Table_text Char"/>
    <w:link w:val="Tabletext"/>
    <w:qFormat/>
    <w:locked/>
    <w:rsid w:val="006038C5"/>
    <w:rPr>
      <w:rFonts w:ascii="Times New Roman" w:eastAsia="Times New Roman" w:hAnsi="CG Times" w:cs="Simplified Arabic"/>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B-CIR-0207/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sg21@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5-SG21-250113-TD-WP3-0069/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5-SG21-250113-TD-PLEN-002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customXml/itemProps2.xml><?xml version="1.0" encoding="utf-8"?>
<ds:datastoreItem xmlns:ds="http://schemas.openxmlformats.org/officeDocument/2006/customXml" ds:itemID="{8CCCACC2-6042-40D9-A71B-6D8AF3988B12}">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3.xml><?xml version="1.0" encoding="utf-8"?>
<ds:datastoreItem xmlns:ds="http://schemas.openxmlformats.org/officeDocument/2006/customXml" ds:itemID="{CB6D1F3A-9835-4D22-AD06-DBF67C99C550}">
  <ds:schemaRefs>
    <ds:schemaRef ds:uri="http://schemas.microsoft.com/sharepoint/v3/contenttype/forms"/>
  </ds:schemaRefs>
</ds:datastoreItem>
</file>

<file path=customXml/itemProps4.xml><?xml version="1.0" encoding="utf-8"?>
<ds:datastoreItem xmlns:ds="http://schemas.openxmlformats.org/officeDocument/2006/customXml" ds:itemID="{8A40CCF5-19CA-44A4-AB64-78482790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PA_TSB Circ.dotx</Template>
  <TotalTime>20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Mohamed</dc:creator>
  <cp:keywords/>
  <dc:description/>
  <cp:lastModifiedBy>Braud, Olivia</cp:lastModifiedBy>
  <cp:revision>5</cp:revision>
  <cp:lastPrinted>2025-02-13T14:30:00Z</cp:lastPrinted>
  <dcterms:created xsi:type="dcterms:W3CDTF">2025-02-11T09:16:00Z</dcterms:created>
  <dcterms:modified xsi:type="dcterms:W3CDTF">2025-02-13T14:30:00Z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MediaServiceImageTags">
    <vt:lpwstr/>
  </property>
</Properties>
</file>