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09"/>
        <w:gridCol w:w="3443"/>
        <w:gridCol w:w="5354"/>
      </w:tblGrid>
      <w:tr w:rsidR="007B6316" w14:paraId="57C19FE3" w14:textId="77777777" w:rsidTr="00AE2E65">
        <w:trPr>
          <w:cantSplit/>
          <w:trHeight w:val="340"/>
        </w:trPr>
        <w:tc>
          <w:tcPr>
            <w:tcW w:w="1409" w:type="dxa"/>
          </w:tcPr>
          <w:p w14:paraId="4073FDE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227EFE" w14:paraId="29942F58" w14:textId="77777777" w:rsidTr="00227EFE">
        <w:trPr>
          <w:cantSplit/>
          <w:trHeight w:val="340"/>
        </w:trPr>
        <w:tc>
          <w:tcPr>
            <w:tcW w:w="1409" w:type="dxa"/>
          </w:tcPr>
          <w:p w14:paraId="3A1FB203" w14:textId="77777777" w:rsidR="007B6316" w:rsidRPr="00227EFE" w:rsidRDefault="007B6316" w:rsidP="0010154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</w:tcPr>
          <w:p w14:paraId="6CFD022A" w14:textId="77777777" w:rsidR="007B6316" w:rsidRPr="00227EFE" w:rsidRDefault="007B6316" w:rsidP="001015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54" w:type="dxa"/>
          </w:tcPr>
          <w:p w14:paraId="414906BC" w14:textId="535694FD" w:rsidR="007B6316" w:rsidRPr="00227EFE" w:rsidRDefault="007B6316" w:rsidP="00AE2E65">
            <w:pPr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Ginebra,</w:t>
            </w:r>
            <w:r w:rsidR="00BA6F31" w:rsidRPr="00227EFE">
              <w:rPr>
                <w:rFonts w:cstheme="minorHAnsi"/>
                <w:sz w:val="22"/>
                <w:szCs w:val="22"/>
              </w:rPr>
              <w:t xml:space="preserve"> 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7 de febrero de 2025</w:t>
            </w:r>
          </w:p>
        </w:tc>
      </w:tr>
      <w:tr w:rsidR="001350B9" w:rsidRPr="00227EFE" w14:paraId="2099D7D1" w14:textId="77777777" w:rsidTr="00227EFE">
        <w:trPr>
          <w:cantSplit/>
          <w:trHeight w:val="340"/>
        </w:trPr>
        <w:tc>
          <w:tcPr>
            <w:tcW w:w="1409" w:type="dxa"/>
          </w:tcPr>
          <w:p w14:paraId="6931DA5A" w14:textId="1C97CDAF" w:rsidR="001350B9" w:rsidRPr="00227EFE" w:rsidRDefault="001350B9" w:rsidP="00227EFE">
            <w:pPr>
              <w:spacing w:before="40" w:after="40"/>
              <w:ind w:left="-12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227EFE">
              <w:rPr>
                <w:rFonts w:cstheme="minorHAnsi"/>
                <w:sz w:val="22"/>
                <w:szCs w:val="22"/>
              </w:rPr>
              <w:t>.:</w:t>
            </w:r>
          </w:p>
        </w:tc>
        <w:tc>
          <w:tcPr>
            <w:tcW w:w="3443" w:type="dxa"/>
          </w:tcPr>
          <w:p w14:paraId="38928B4F" w14:textId="1801D634" w:rsidR="001350B9" w:rsidRPr="00227EFE" w:rsidRDefault="001350B9" w:rsidP="00101541">
            <w:pPr>
              <w:spacing w:before="40"/>
              <w:rPr>
                <w:rFonts w:cstheme="minorHAnsi"/>
                <w:b/>
                <w:bCs/>
                <w:sz w:val="22"/>
                <w:szCs w:val="22"/>
              </w:rPr>
            </w:pPr>
            <w:r w:rsidRPr="00227EFE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AE2E65" w:rsidRPr="00227EFE">
              <w:rPr>
                <w:rFonts w:cstheme="minorHAnsi"/>
                <w:b/>
                <w:bCs/>
                <w:sz w:val="22"/>
                <w:szCs w:val="22"/>
              </w:rPr>
              <w:t>19</w:t>
            </w:r>
          </w:p>
          <w:p w14:paraId="6B133364" w14:textId="7B273E06" w:rsidR="001350B9" w:rsidRPr="00227EFE" w:rsidRDefault="00AE2E65" w:rsidP="00101541">
            <w:pPr>
              <w:spacing w:before="0" w:after="4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SG21/SP</w:t>
            </w:r>
          </w:p>
        </w:tc>
        <w:tc>
          <w:tcPr>
            <w:tcW w:w="5354" w:type="dxa"/>
            <w:vMerge w:val="restart"/>
          </w:tcPr>
          <w:p w14:paraId="43F6A64B" w14:textId="77777777" w:rsidR="00101541" w:rsidRPr="00227EFE" w:rsidRDefault="00101541" w:rsidP="0010154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227EFE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5AA785C7" w14:textId="63C8935A" w:rsidR="001350B9" w:rsidRPr="00227EF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  <w:t xml:space="preserve">las </w:t>
            </w:r>
            <w:r w:rsidR="00AE2E65" w:rsidRPr="00227EFE">
              <w:rPr>
                <w:rFonts w:cstheme="minorHAnsi"/>
                <w:sz w:val="22"/>
                <w:szCs w:val="22"/>
              </w:rPr>
              <w:t>Administraciones de los Estados Miembros de la Unión</w:t>
            </w:r>
          </w:p>
          <w:p w14:paraId="3F2BD51D" w14:textId="5241B64F" w:rsidR="00AE2E65" w:rsidRPr="00227EFE" w:rsidRDefault="00AE2E65" w:rsidP="00AE2E65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227EFE">
              <w:rPr>
                <w:rFonts w:cstheme="minorHAnsi"/>
                <w:b/>
                <w:bCs/>
                <w:sz w:val="22"/>
                <w:szCs w:val="22"/>
              </w:rPr>
              <w:t>Copia a:</w:t>
            </w:r>
          </w:p>
          <w:p w14:paraId="6631833E" w14:textId="75B4E0D1" w:rsidR="001350B9" w:rsidRPr="00227EF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  <w:t xml:space="preserve">los </w:t>
            </w:r>
            <w:r w:rsidR="00AE2E65" w:rsidRPr="00227EFE">
              <w:rPr>
                <w:rFonts w:cstheme="minorHAnsi"/>
                <w:sz w:val="22"/>
                <w:szCs w:val="22"/>
              </w:rPr>
              <w:t>Miembros del Sector UIT</w:t>
            </w:r>
            <w:r w:rsidR="00606207" w:rsidRPr="00227EFE">
              <w:rPr>
                <w:rFonts w:cstheme="minorHAnsi"/>
                <w:sz w:val="22"/>
                <w:szCs w:val="22"/>
              </w:rPr>
              <w:noBreakHyphen/>
            </w:r>
            <w:r w:rsidR="00AE2E65" w:rsidRPr="00227EFE">
              <w:rPr>
                <w:rFonts w:cstheme="minorHAnsi"/>
                <w:sz w:val="22"/>
                <w:szCs w:val="22"/>
              </w:rPr>
              <w:t>T</w:t>
            </w:r>
            <w:r w:rsidR="001350B9" w:rsidRPr="00227EFE">
              <w:rPr>
                <w:rFonts w:cstheme="minorHAnsi"/>
                <w:sz w:val="22"/>
                <w:szCs w:val="22"/>
              </w:rPr>
              <w:t>;</w:t>
            </w:r>
          </w:p>
          <w:p w14:paraId="1484DD3C" w14:textId="7862FC9B" w:rsidR="001350B9" w:rsidRPr="00227EFE" w:rsidRDefault="00101541" w:rsidP="00AE2E6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  <w:t xml:space="preserve">los 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Asociados de la Comisión de Estudio</w:t>
            </w:r>
            <w:r w:rsidR="00606207" w:rsidRPr="00227EFE">
              <w:rPr>
                <w:rFonts w:cstheme="minorHAnsi"/>
                <w:sz w:val="22"/>
                <w:szCs w:val="22"/>
                <w:lang w:val="es-ES"/>
              </w:rPr>
              <w:t> 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21 del</w:t>
            </w:r>
            <w:r w:rsidR="00606207" w:rsidRPr="00227EFE">
              <w:rPr>
                <w:rFonts w:cstheme="minorHAnsi"/>
                <w:sz w:val="22"/>
                <w:szCs w:val="22"/>
                <w:lang w:val="es-ES"/>
              </w:rPr>
              <w:t> 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UIT-T</w:t>
            </w:r>
            <w:r w:rsidR="001350B9" w:rsidRPr="00227EFE">
              <w:rPr>
                <w:rFonts w:cstheme="minorHAnsi"/>
                <w:sz w:val="22"/>
                <w:szCs w:val="22"/>
              </w:rPr>
              <w:t>;</w:t>
            </w:r>
          </w:p>
          <w:p w14:paraId="4827F600" w14:textId="1CFE1830" w:rsidR="001350B9" w:rsidRPr="00227EFE" w:rsidRDefault="00101541" w:rsidP="00AE2E65">
            <w:pPr>
              <w:tabs>
                <w:tab w:val="clear" w:pos="794"/>
                <w:tab w:val="left" w:pos="39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  <w:t xml:space="preserve">las 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Instituciones Académicas de la UIT</w:t>
            </w:r>
            <w:r w:rsidR="001350B9" w:rsidRPr="00227EFE">
              <w:rPr>
                <w:rFonts w:cstheme="minorHAnsi"/>
                <w:sz w:val="22"/>
                <w:szCs w:val="22"/>
              </w:rPr>
              <w:t>;</w:t>
            </w:r>
          </w:p>
          <w:p w14:paraId="40154879" w14:textId="4019A70F" w:rsidR="001350B9" w:rsidRPr="00227EFE" w:rsidRDefault="00101541" w:rsidP="00AE2E6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</w:r>
            <w:r w:rsidRPr="00227EFE">
              <w:rPr>
                <w:rFonts w:cstheme="minorHAnsi"/>
                <w:sz w:val="22"/>
                <w:szCs w:val="22"/>
              </w:rPr>
              <w:t>e</w:t>
            </w:r>
            <w:r w:rsidR="001350B9" w:rsidRPr="00227EFE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Presidente</w:t>
            </w:r>
            <w:proofErr w:type="gramEnd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 xml:space="preserve"> y Vicepresidentes de la Comisión de Estudio</w:t>
            </w:r>
            <w:r w:rsidR="00606207" w:rsidRPr="00227EFE">
              <w:rPr>
                <w:rFonts w:cstheme="minorHAnsi"/>
                <w:sz w:val="22"/>
                <w:szCs w:val="22"/>
                <w:lang w:val="es-ES"/>
              </w:rPr>
              <w:t> </w:t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21 del UIT</w:t>
            </w:r>
            <w:r w:rsidR="00606207" w:rsidRPr="00227EFE">
              <w:rPr>
                <w:rFonts w:cstheme="minorHAnsi"/>
                <w:sz w:val="22"/>
                <w:szCs w:val="22"/>
                <w:lang w:val="es-ES"/>
              </w:rPr>
              <w:noBreakHyphen/>
            </w:r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T</w:t>
            </w:r>
            <w:r w:rsidR="001350B9" w:rsidRPr="00227EFE">
              <w:rPr>
                <w:rFonts w:cstheme="minorHAnsi"/>
                <w:sz w:val="22"/>
                <w:szCs w:val="22"/>
              </w:rPr>
              <w:t>;</w:t>
            </w:r>
          </w:p>
          <w:p w14:paraId="0B8A2812" w14:textId="13B50357" w:rsidR="001350B9" w:rsidRPr="00227EFE" w:rsidRDefault="00101541" w:rsidP="00AE2E6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</w:r>
            <w:r w:rsidR="00766C41" w:rsidRPr="00227EFE">
              <w:rPr>
                <w:rFonts w:cstheme="minorHAnsi"/>
                <w:sz w:val="22"/>
                <w:szCs w:val="22"/>
              </w:rPr>
              <w:t>el</w:t>
            </w:r>
            <w:r w:rsidR="001350B9" w:rsidRPr="00227EFE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 xml:space="preserve"> de la Oficina de Desarrollo de las Telecomunicaciones</w:t>
            </w:r>
            <w:r w:rsidR="001350B9" w:rsidRPr="00227EFE">
              <w:rPr>
                <w:rFonts w:cstheme="minorHAnsi"/>
                <w:sz w:val="22"/>
                <w:szCs w:val="22"/>
              </w:rPr>
              <w:t>;</w:t>
            </w:r>
          </w:p>
          <w:p w14:paraId="4E2FF369" w14:textId="20B7A35E" w:rsidR="001350B9" w:rsidRPr="00227EFE" w:rsidRDefault="00101541" w:rsidP="00AE2E6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–</w:t>
            </w:r>
            <w:r w:rsidR="001350B9" w:rsidRPr="00227EFE">
              <w:rPr>
                <w:rFonts w:cstheme="minorHAnsi"/>
                <w:sz w:val="22"/>
                <w:szCs w:val="22"/>
              </w:rPr>
              <w:tab/>
            </w:r>
            <w:r w:rsidRPr="00227EFE">
              <w:rPr>
                <w:rFonts w:cstheme="minorHAnsi"/>
                <w:sz w:val="22"/>
                <w:szCs w:val="22"/>
              </w:rPr>
              <w:t>e</w:t>
            </w:r>
            <w:r w:rsidR="001350B9" w:rsidRPr="00227EFE">
              <w:rPr>
                <w:rFonts w:cstheme="minorHAnsi"/>
                <w:sz w:val="22"/>
                <w:szCs w:val="22"/>
              </w:rPr>
              <w:t xml:space="preserve">l </w:t>
            </w:r>
            <w:proofErr w:type="gramStart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="00AE2E65" w:rsidRPr="00227EFE">
              <w:rPr>
                <w:rFonts w:cstheme="minorHAnsi"/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1350B9" w:rsidRPr="00227EFE" w14:paraId="1A010FF9" w14:textId="77777777" w:rsidTr="00227EFE">
        <w:trPr>
          <w:cantSplit/>
        </w:trPr>
        <w:tc>
          <w:tcPr>
            <w:tcW w:w="1409" w:type="dxa"/>
          </w:tcPr>
          <w:p w14:paraId="48F92A24" w14:textId="77777777" w:rsidR="001350B9" w:rsidRPr="00227EFE" w:rsidRDefault="001350B9" w:rsidP="00227EFE">
            <w:pPr>
              <w:spacing w:before="40" w:after="40"/>
              <w:ind w:left="-12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43" w:type="dxa"/>
          </w:tcPr>
          <w:p w14:paraId="19D29048" w14:textId="3CDD57B3" w:rsidR="001350B9" w:rsidRPr="00227EFE" w:rsidRDefault="00AE2E65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+41 22 730 5858</w:t>
            </w:r>
          </w:p>
        </w:tc>
        <w:tc>
          <w:tcPr>
            <w:tcW w:w="5354" w:type="dxa"/>
            <w:vMerge/>
          </w:tcPr>
          <w:p w14:paraId="3DF5CE88" w14:textId="77777777" w:rsidR="001350B9" w:rsidRPr="00227EF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227EFE" w14:paraId="07D56EDD" w14:textId="77777777" w:rsidTr="00227EFE">
        <w:trPr>
          <w:cantSplit/>
        </w:trPr>
        <w:tc>
          <w:tcPr>
            <w:tcW w:w="1409" w:type="dxa"/>
          </w:tcPr>
          <w:p w14:paraId="35CE91C2" w14:textId="77777777" w:rsidR="001350B9" w:rsidRPr="00227EFE" w:rsidRDefault="001350B9" w:rsidP="00227EFE">
            <w:pPr>
              <w:spacing w:before="40" w:after="40"/>
              <w:ind w:left="-12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443" w:type="dxa"/>
          </w:tcPr>
          <w:p w14:paraId="50BA9232" w14:textId="77777777" w:rsidR="001350B9" w:rsidRPr="00227EFE" w:rsidRDefault="001350B9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54" w:type="dxa"/>
            <w:vMerge/>
          </w:tcPr>
          <w:p w14:paraId="20877663" w14:textId="77777777" w:rsidR="001350B9" w:rsidRPr="00227EF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227EFE" w14:paraId="30FF827C" w14:textId="77777777" w:rsidTr="00227EFE">
        <w:trPr>
          <w:cantSplit/>
        </w:trPr>
        <w:tc>
          <w:tcPr>
            <w:tcW w:w="1409" w:type="dxa"/>
          </w:tcPr>
          <w:p w14:paraId="220ABEEC" w14:textId="77777777" w:rsidR="001350B9" w:rsidRPr="00227EFE" w:rsidRDefault="001350B9" w:rsidP="00227EFE">
            <w:pPr>
              <w:spacing w:before="40" w:after="40"/>
              <w:ind w:left="-12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443" w:type="dxa"/>
          </w:tcPr>
          <w:p w14:paraId="114B24C6" w14:textId="3C36E743" w:rsidR="001350B9" w:rsidRPr="00227EFE" w:rsidRDefault="00AE2E65" w:rsidP="0010154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hyperlink r:id="rId12" w:history="1">
              <w:r w:rsidRPr="00227EFE">
                <w:rPr>
                  <w:rStyle w:val="Hyperlink"/>
                  <w:rFonts w:cstheme="minorHAnsi"/>
                  <w:sz w:val="22"/>
                  <w:szCs w:val="22"/>
                </w:rPr>
                <w:t>tsbsg21@itu.int</w:t>
              </w:r>
            </w:hyperlink>
          </w:p>
        </w:tc>
        <w:tc>
          <w:tcPr>
            <w:tcW w:w="5354" w:type="dxa"/>
            <w:vMerge/>
          </w:tcPr>
          <w:p w14:paraId="0ACE8CE2" w14:textId="77777777" w:rsidR="001350B9" w:rsidRPr="00227EFE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227EFE" w14:paraId="7F4E66DD" w14:textId="77777777" w:rsidTr="00AE2E65">
        <w:trPr>
          <w:cantSplit/>
        </w:trPr>
        <w:tc>
          <w:tcPr>
            <w:tcW w:w="1409" w:type="dxa"/>
          </w:tcPr>
          <w:p w14:paraId="7BBE0879" w14:textId="77777777" w:rsidR="007B6316" w:rsidRPr="00227EFE" w:rsidRDefault="007B6316" w:rsidP="00227EFE">
            <w:pPr>
              <w:ind w:left="-120"/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227EF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97" w:type="dxa"/>
            <w:gridSpan w:val="2"/>
          </w:tcPr>
          <w:p w14:paraId="445801EB" w14:textId="118621CB" w:rsidR="007B6316" w:rsidRPr="00227EFE" w:rsidRDefault="00AE2E65" w:rsidP="00AE2E65">
            <w:pPr>
              <w:rPr>
                <w:rFonts w:cstheme="minorHAnsi"/>
                <w:sz w:val="22"/>
                <w:szCs w:val="22"/>
              </w:rPr>
            </w:pP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Situación de las Recomendaciones UIT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T</w:t>
            </w:r>
            <w:r w:rsidRPr="00227EFE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F.743.27 (ex</w:t>
            </w:r>
            <w:r w:rsidR="00FA1105" w:rsidRPr="00227EFE">
              <w:rPr>
                <w:rFonts w:cstheme="minorHAnsi"/>
                <w:b/>
                <w:sz w:val="22"/>
                <w:szCs w:val="22"/>
                <w:lang w:val="es-ES"/>
              </w:rPr>
              <w:t> </w:t>
            </w:r>
            <w:proofErr w:type="gramStart"/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F.IVSP</w:t>
            </w:r>
            <w:proofErr w:type="gramEnd"/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PGI) y UIT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T F.743.28 (ex F.RIIS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CEC) después de la reunión de la Comisión de Estudio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t> </w:t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21 del UIT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T (Ginebra,</w:t>
            </w:r>
            <w:r w:rsidR="001C6798" w:rsidRPr="00227EFE">
              <w:rPr>
                <w:rFonts w:cstheme="minorHAnsi"/>
                <w:b/>
                <w:sz w:val="22"/>
                <w:szCs w:val="22"/>
                <w:lang w:val="es-ES"/>
              </w:rPr>
              <w:t> </w:t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t>13</w:t>
            </w:r>
            <w:r w:rsidRPr="00227EFE">
              <w:rPr>
                <w:rFonts w:cstheme="minorHAnsi"/>
                <w:b/>
                <w:sz w:val="22"/>
                <w:szCs w:val="22"/>
                <w:lang w:val="es-ES"/>
              </w:rPr>
              <w:noBreakHyphen/>
              <w:t>24 de enero de 2025)</w:t>
            </w:r>
          </w:p>
        </w:tc>
      </w:tr>
    </w:tbl>
    <w:p w14:paraId="7DCD2BF6" w14:textId="22DFF125" w:rsidR="00C34772" w:rsidRPr="00227EFE" w:rsidRDefault="00C34772" w:rsidP="00227EFE">
      <w:pPr>
        <w:pStyle w:val="Normalaftertitle"/>
        <w:spacing w:before="1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227EFE">
        <w:rPr>
          <w:rFonts w:cstheme="minorHAnsi"/>
          <w:sz w:val="22"/>
          <w:szCs w:val="22"/>
        </w:rPr>
        <w:t>Muy Señora mía/Muy Señor mío</w:t>
      </w:r>
      <w:r w:rsidR="00227EFE">
        <w:rPr>
          <w:rFonts w:cstheme="minorHAnsi"/>
          <w:sz w:val="22"/>
          <w:szCs w:val="22"/>
        </w:rPr>
        <w:t>,</w:t>
      </w:r>
    </w:p>
    <w:p w14:paraId="6E57B7E6" w14:textId="0BC7486B" w:rsidR="00AE2E65" w:rsidRPr="00227EFE" w:rsidRDefault="00AE2E65" w:rsidP="00AE2E65">
      <w:pPr>
        <w:spacing w:after="120"/>
        <w:rPr>
          <w:rFonts w:cstheme="minorHAnsi"/>
          <w:sz w:val="22"/>
          <w:szCs w:val="22"/>
          <w:lang w:val="es-ES"/>
        </w:rPr>
      </w:pPr>
      <w:r w:rsidRPr="00227EFE">
        <w:rPr>
          <w:rFonts w:cstheme="minorHAnsi"/>
          <w:bCs/>
          <w:sz w:val="22"/>
          <w:szCs w:val="22"/>
          <w:lang w:val="es-ES"/>
        </w:rPr>
        <w:t>1</w:t>
      </w:r>
      <w:r w:rsidRPr="00227EFE">
        <w:rPr>
          <w:rFonts w:cstheme="minorHAnsi"/>
          <w:sz w:val="22"/>
          <w:szCs w:val="22"/>
          <w:lang w:val="es-ES"/>
        </w:rPr>
        <w:tab/>
      </w:r>
      <w:proofErr w:type="gramStart"/>
      <w:r w:rsidRPr="00227EFE">
        <w:rPr>
          <w:rFonts w:cstheme="minorHAnsi"/>
          <w:sz w:val="22"/>
          <w:szCs w:val="22"/>
          <w:lang w:val="es-ES"/>
        </w:rPr>
        <w:t>A</w:t>
      </w:r>
      <w:proofErr w:type="gramEnd"/>
      <w:r w:rsidRPr="00227EFE">
        <w:rPr>
          <w:rFonts w:cstheme="minorHAnsi"/>
          <w:sz w:val="22"/>
          <w:szCs w:val="22"/>
          <w:lang w:val="es-ES"/>
        </w:rPr>
        <w:t xml:space="preserve"> raíz de la </w:t>
      </w:r>
      <w:hyperlink r:id="rId13" w:history="1">
        <w:r w:rsidRPr="00227EFE">
          <w:rPr>
            <w:rStyle w:val="Hyperlink"/>
            <w:rFonts w:cstheme="minorHAnsi"/>
            <w:sz w:val="22"/>
            <w:szCs w:val="22"/>
            <w:lang w:val="es-ES"/>
          </w:rPr>
          <w:t>Circular TSB</w:t>
        </w:r>
        <w:r w:rsidR="001C6798" w:rsidRPr="00227EFE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227EFE">
          <w:rPr>
            <w:rStyle w:val="Hyperlink"/>
            <w:rFonts w:cstheme="minorHAnsi"/>
            <w:sz w:val="22"/>
            <w:szCs w:val="22"/>
            <w:lang w:val="es-ES"/>
          </w:rPr>
          <w:t>234</w:t>
        </w:r>
      </w:hyperlink>
      <w:r w:rsidRPr="00227EFE">
        <w:rPr>
          <w:rFonts w:cstheme="minorHAnsi"/>
          <w:sz w:val="22"/>
          <w:szCs w:val="22"/>
          <w:lang w:val="es-ES"/>
        </w:rPr>
        <w:t xml:space="preserve"> de 7 de octubre de 2024 y de conformidad con las cláusulas 9.5 y 9.6 de la Resolución 1 (Rev. Ginebra, 2022), por la presente le informo de que la Comisión de Estudio</w:t>
      </w:r>
      <w:r w:rsidR="001C6798" w:rsidRPr="00227EFE">
        <w:rPr>
          <w:rFonts w:cstheme="minorHAnsi"/>
          <w:sz w:val="22"/>
          <w:szCs w:val="22"/>
          <w:lang w:val="es-ES"/>
        </w:rPr>
        <w:t> </w:t>
      </w:r>
      <w:r w:rsidRPr="00227EFE">
        <w:rPr>
          <w:rFonts w:cstheme="minorHAnsi"/>
          <w:sz w:val="22"/>
          <w:szCs w:val="22"/>
          <w:lang w:val="es-ES"/>
        </w:rPr>
        <w:t>21 adoptó en su Sesión Plenaria, celebrada el 24 de enero de 2025 en Ginebra, la siguiente decisión sobre los proyectos de texto del UIT</w:t>
      </w:r>
      <w:r w:rsidR="001C6798" w:rsidRPr="00227EFE">
        <w:rPr>
          <w:rFonts w:cstheme="minorHAnsi"/>
          <w:sz w:val="22"/>
          <w:szCs w:val="22"/>
          <w:lang w:val="es-ES"/>
        </w:rPr>
        <w:noBreakHyphen/>
      </w:r>
      <w:r w:rsidRPr="00227EFE">
        <w:rPr>
          <w:rFonts w:cstheme="minorHAnsi"/>
          <w:sz w:val="22"/>
          <w:szCs w:val="22"/>
          <w:lang w:val="es-ES"/>
        </w:rPr>
        <w:t>T indicados a continuación:</w:t>
      </w:r>
    </w:p>
    <w:tbl>
      <w:tblPr>
        <w:tblStyle w:val="TableGridLight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5348"/>
        <w:gridCol w:w="2331"/>
      </w:tblGrid>
      <w:tr w:rsidR="00AE2E65" w:rsidRPr="00227EFE" w14:paraId="30F8DBB1" w14:textId="77777777" w:rsidTr="00FA1105">
        <w:tc>
          <w:tcPr>
            <w:tcW w:w="1017" w:type="pct"/>
            <w:hideMark/>
          </w:tcPr>
          <w:p w14:paraId="4710D66F" w14:textId="77777777" w:rsidR="00AE2E65" w:rsidRPr="00227EFE" w:rsidRDefault="00AE2E65" w:rsidP="00AE2E6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227EFE">
              <w:rPr>
                <w:rFonts w:cstheme="minorHAnsi"/>
                <w:szCs w:val="22"/>
                <w:lang w:val="es-ES"/>
              </w:rPr>
              <w:t>Número</w:t>
            </w:r>
          </w:p>
        </w:tc>
        <w:tc>
          <w:tcPr>
            <w:tcW w:w="2774" w:type="pct"/>
            <w:hideMark/>
          </w:tcPr>
          <w:p w14:paraId="6BFF34D7" w14:textId="77777777" w:rsidR="00AE2E65" w:rsidRPr="00227EFE" w:rsidRDefault="00AE2E65" w:rsidP="00AE2E6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227EFE">
              <w:rPr>
                <w:rFonts w:cstheme="minorHAnsi"/>
                <w:szCs w:val="22"/>
                <w:lang w:val="es-ES"/>
              </w:rPr>
              <w:t>Título</w:t>
            </w:r>
          </w:p>
        </w:tc>
        <w:tc>
          <w:tcPr>
            <w:tcW w:w="1209" w:type="pct"/>
            <w:hideMark/>
          </w:tcPr>
          <w:p w14:paraId="389B181D" w14:textId="77777777" w:rsidR="00AE2E65" w:rsidRPr="00227EFE" w:rsidRDefault="00AE2E65" w:rsidP="00AE2E6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227EFE">
              <w:rPr>
                <w:rFonts w:cstheme="minorHAnsi"/>
                <w:szCs w:val="22"/>
                <w:lang w:val="es-ES"/>
              </w:rPr>
              <w:t>Decisión</w:t>
            </w:r>
          </w:p>
        </w:tc>
      </w:tr>
      <w:tr w:rsidR="00AE2E65" w:rsidRPr="00227EFE" w14:paraId="2AB362C0" w14:textId="77777777" w:rsidTr="00FA1105">
        <w:tc>
          <w:tcPr>
            <w:tcW w:w="1017" w:type="pct"/>
          </w:tcPr>
          <w:p w14:paraId="5610CFE5" w14:textId="4740314D" w:rsidR="00AE2E65" w:rsidRPr="00227EFE" w:rsidRDefault="00AE2E65" w:rsidP="001C679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227EFE">
              <w:rPr>
                <w:rFonts w:cstheme="minorHAnsi"/>
                <w:szCs w:val="22"/>
                <w:lang w:val="fr-CH"/>
              </w:rPr>
              <w:t>UIT</w:t>
            </w:r>
            <w:r w:rsidR="001C6798" w:rsidRPr="00227EFE">
              <w:rPr>
                <w:rFonts w:cstheme="minorHAnsi"/>
                <w:szCs w:val="22"/>
                <w:lang w:val="fr-CH"/>
              </w:rPr>
              <w:noBreakHyphen/>
            </w:r>
            <w:r w:rsidRPr="00227EFE">
              <w:rPr>
                <w:rFonts w:cstheme="minorHAnsi"/>
                <w:szCs w:val="22"/>
                <w:lang w:val="fr-CH"/>
              </w:rPr>
              <w:t>T F.743.27 (ex </w:t>
            </w:r>
            <w:proofErr w:type="gramStart"/>
            <w:r w:rsidRPr="00227EFE">
              <w:rPr>
                <w:rFonts w:cstheme="minorHAnsi"/>
                <w:szCs w:val="22"/>
                <w:lang w:val="fr-CH"/>
              </w:rPr>
              <w:t>F.IVSP</w:t>
            </w:r>
            <w:proofErr w:type="gramEnd"/>
            <w:r w:rsidR="00FA1105" w:rsidRPr="00227EFE">
              <w:rPr>
                <w:rFonts w:cstheme="minorHAnsi"/>
                <w:szCs w:val="22"/>
                <w:lang w:val="fr-CH"/>
              </w:rPr>
              <w:noBreakHyphen/>
            </w:r>
            <w:r w:rsidRPr="00227EFE">
              <w:rPr>
                <w:rFonts w:cstheme="minorHAnsi"/>
                <w:szCs w:val="22"/>
                <w:lang w:val="fr-CH"/>
              </w:rPr>
              <w:t>PGI)</w:t>
            </w:r>
          </w:p>
        </w:tc>
        <w:tc>
          <w:tcPr>
            <w:tcW w:w="2774" w:type="pct"/>
          </w:tcPr>
          <w:p w14:paraId="5E045FAD" w14:textId="77777777" w:rsidR="00AE2E65" w:rsidRPr="00227EFE" w:rsidRDefault="00AE2E65" w:rsidP="00AE2E6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227EFE">
              <w:rPr>
                <w:rFonts w:cstheme="minorHAnsi"/>
                <w:szCs w:val="22"/>
                <w:lang w:val="es-ES"/>
              </w:rPr>
              <w:t>Requisitos y marco de la plataforma inteligente de videovigilancia para la infraestructura eléctrica de red</w:t>
            </w:r>
          </w:p>
        </w:tc>
        <w:tc>
          <w:tcPr>
            <w:tcW w:w="1209" w:type="pct"/>
          </w:tcPr>
          <w:p w14:paraId="68D767BB" w14:textId="77777777" w:rsidR="00AE2E65" w:rsidRPr="00227EFE" w:rsidRDefault="00AE2E65" w:rsidP="001C6798">
            <w:pPr>
              <w:pStyle w:val="Tabletext0"/>
              <w:jc w:val="center"/>
              <w:rPr>
                <w:rFonts w:cstheme="minorHAnsi"/>
                <w:szCs w:val="22"/>
                <w:lang w:val="en-GB"/>
              </w:rPr>
            </w:pPr>
            <w:r w:rsidRPr="00227EFE">
              <w:rPr>
                <w:rFonts w:cstheme="minorHAnsi"/>
                <w:szCs w:val="22"/>
                <w:lang w:val="en-GB"/>
              </w:rPr>
              <w:t>APROBADA</w:t>
            </w:r>
          </w:p>
        </w:tc>
      </w:tr>
      <w:tr w:rsidR="00AE2E65" w:rsidRPr="00227EFE" w14:paraId="34973A6D" w14:textId="77777777" w:rsidTr="00FA1105">
        <w:tc>
          <w:tcPr>
            <w:tcW w:w="1017" w:type="pct"/>
          </w:tcPr>
          <w:p w14:paraId="3EE03638" w14:textId="789AB2B8" w:rsidR="00AE2E65" w:rsidRPr="00227EFE" w:rsidRDefault="00AE2E65" w:rsidP="001C679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227EFE">
              <w:rPr>
                <w:rFonts w:cstheme="minorHAnsi"/>
                <w:szCs w:val="22"/>
                <w:lang w:val="fr-CH"/>
              </w:rPr>
              <w:t>UIT</w:t>
            </w:r>
            <w:r w:rsidR="001C6798" w:rsidRPr="00227EFE">
              <w:rPr>
                <w:rFonts w:cstheme="minorHAnsi"/>
                <w:szCs w:val="22"/>
                <w:lang w:val="fr-CH"/>
              </w:rPr>
              <w:noBreakHyphen/>
            </w:r>
            <w:r w:rsidRPr="00227EFE">
              <w:rPr>
                <w:rFonts w:cstheme="minorHAnsi"/>
                <w:szCs w:val="22"/>
                <w:lang w:val="fr-CH"/>
              </w:rPr>
              <w:t>T F.743.28 (ex </w:t>
            </w:r>
            <w:proofErr w:type="gramStart"/>
            <w:r w:rsidRPr="00227EFE">
              <w:rPr>
                <w:rFonts w:cstheme="minorHAnsi"/>
                <w:szCs w:val="22"/>
                <w:lang w:val="fr-CH"/>
              </w:rPr>
              <w:t>F.RIIS</w:t>
            </w:r>
            <w:proofErr w:type="gramEnd"/>
            <w:r w:rsidR="00FA1105" w:rsidRPr="00227EFE">
              <w:rPr>
                <w:rFonts w:cstheme="minorHAnsi"/>
                <w:szCs w:val="22"/>
                <w:lang w:val="fr-CH"/>
              </w:rPr>
              <w:noBreakHyphen/>
            </w:r>
            <w:r w:rsidRPr="00227EFE">
              <w:rPr>
                <w:rFonts w:cstheme="minorHAnsi"/>
                <w:szCs w:val="22"/>
                <w:lang w:val="fr-CH"/>
              </w:rPr>
              <w:t>CEC)</w:t>
            </w:r>
          </w:p>
        </w:tc>
        <w:tc>
          <w:tcPr>
            <w:tcW w:w="2774" w:type="pct"/>
          </w:tcPr>
          <w:p w14:paraId="3A8CCD59" w14:textId="77777777" w:rsidR="00AE2E65" w:rsidRPr="00227EFE" w:rsidRDefault="00AE2E65" w:rsidP="00AE2E6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227EFE">
              <w:rPr>
                <w:rFonts w:cstheme="minorHAnsi"/>
                <w:szCs w:val="22"/>
                <w:lang w:val="es-ES"/>
              </w:rPr>
              <w:t>Requisitos y marco funcional para el sistema de inspección inteligente basado en la colaboración entre dispositivos periféricos y la nube en redes inteligentes</w:t>
            </w:r>
          </w:p>
        </w:tc>
        <w:tc>
          <w:tcPr>
            <w:tcW w:w="1209" w:type="pct"/>
          </w:tcPr>
          <w:p w14:paraId="46AEA25A" w14:textId="77777777" w:rsidR="00AE2E65" w:rsidRPr="00227EFE" w:rsidRDefault="00AE2E65" w:rsidP="001C6798">
            <w:pPr>
              <w:pStyle w:val="Tabletext0"/>
              <w:jc w:val="center"/>
              <w:rPr>
                <w:rFonts w:cstheme="minorHAnsi"/>
                <w:szCs w:val="22"/>
                <w:lang w:val="en-GB"/>
              </w:rPr>
            </w:pPr>
            <w:r w:rsidRPr="00227EFE">
              <w:rPr>
                <w:rFonts w:cstheme="minorHAnsi"/>
                <w:szCs w:val="22"/>
                <w:lang w:val="en-GB"/>
              </w:rPr>
              <w:t>APROBADA</w:t>
            </w:r>
          </w:p>
        </w:tc>
      </w:tr>
    </w:tbl>
    <w:p w14:paraId="171C640E" w14:textId="240CEFFB" w:rsidR="00AE2E65" w:rsidRPr="00227EFE" w:rsidRDefault="00AE2E65" w:rsidP="00227EFE">
      <w:pPr>
        <w:pStyle w:val="Normalaftertitle"/>
        <w:spacing w:before="120"/>
        <w:rPr>
          <w:rFonts w:cstheme="minorHAnsi"/>
          <w:sz w:val="22"/>
          <w:szCs w:val="22"/>
          <w:lang w:val="es-ES"/>
        </w:rPr>
      </w:pPr>
      <w:r w:rsidRPr="00227EFE">
        <w:rPr>
          <w:rFonts w:cstheme="minorHAnsi"/>
          <w:sz w:val="22"/>
          <w:szCs w:val="22"/>
          <w:lang w:val="es-ES"/>
        </w:rPr>
        <w:t>Las referencias para estas Recomendaciones aprobadas, actualizadas de acuerdo con las observaciones recibidas de los Estados Miembros durante la consulta, pueden encontrarse en los Documentos </w:t>
      </w:r>
      <w:hyperlink r:id="rId14" w:tooltip="RGM-Q26-DOC8 (2024-08)" w:history="1">
        <w:r w:rsidRPr="00227EFE">
          <w:rPr>
            <w:rStyle w:val="Hyperlink"/>
            <w:rFonts w:cstheme="minorHAnsi"/>
            <w:sz w:val="22"/>
            <w:szCs w:val="22"/>
            <w:lang w:val="es-ES"/>
          </w:rPr>
          <w:t>SG21-TD32R1/PLEN</w:t>
        </w:r>
      </w:hyperlink>
      <w:r w:rsidRPr="00227EFE">
        <w:rPr>
          <w:rFonts w:cstheme="minorHAnsi"/>
          <w:sz w:val="22"/>
          <w:szCs w:val="22"/>
          <w:lang w:val="es-ES"/>
        </w:rPr>
        <w:t xml:space="preserve"> y </w:t>
      </w:r>
      <w:hyperlink r:id="rId15" w:tooltip="RGM-Q26-DOC8 (2024-08)" w:history="1">
        <w:r w:rsidRPr="00227EFE">
          <w:rPr>
            <w:rStyle w:val="Hyperlink"/>
            <w:rFonts w:cstheme="minorHAnsi"/>
            <w:sz w:val="22"/>
            <w:szCs w:val="22"/>
            <w:lang w:val="es-ES"/>
          </w:rPr>
          <w:t>SG21-TD33R1/PLEN</w:t>
        </w:r>
      </w:hyperlink>
      <w:r w:rsidRPr="00227EFE">
        <w:rPr>
          <w:rFonts w:cstheme="minorHAnsi"/>
          <w:sz w:val="22"/>
          <w:szCs w:val="22"/>
          <w:lang w:val="es-ES"/>
        </w:rPr>
        <w:t>.</w:t>
      </w:r>
    </w:p>
    <w:p w14:paraId="37372B47" w14:textId="153A9857" w:rsidR="00AE2E65" w:rsidRPr="00227EFE" w:rsidRDefault="00AE2E65" w:rsidP="00AE2E65">
      <w:pPr>
        <w:rPr>
          <w:rFonts w:cstheme="minorHAnsi"/>
          <w:sz w:val="22"/>
          <w:szCs w:val="22"/>
          <w:lang w:val="es-ES"/>
        </w:rPr>
      </w:pPr>
      <w:r w:rsidRPr="00227EFE">
        <w:rPr>
          <w:rFonts w:cstheme="minorHAnsi"/>
          <w:sz w:val="22"/>
          <w:szCs w:val="22"/>
          <w:lang w:val="es-ES"/>
        </w:rPr>
        <w:t>2</w:t>
      </w:r>
      <w:r w:rsidRPr="00227EFE">
        <w:rPr>
          <w:rFonts w:cstheme="minorHAnsi"/>
          <w:sz w:val="22"/>
          <w:szCs w:val="22"/>
          <w:lang w:val="es-ES"/>
        </w:rPr>
        <w:tab/>
      </w:r>
      <w:proofErr w:type="gramStart"/>
      <w:r w:rsidRPr="00227EFE">
        <w:rPr>
          <w:rFonts w:cstheme="minorHAnsi"/>
          <w:sz w:val="22"/>
          <w:szCs w:val="22"/>
          <w:lang w:val="es-ES"/>
        </w:rPr>
        <w:t>La</w:t>
      </w:r>
      <w:proofErr w:type="gramEnd"/>
      <w:r w:rsidRPr="00227EFE">
        <w:rPr>
          <w:rFonts w:cstheme="minorHAnsi"/>
          <w:sz w:val="22"/>
          <w:szCs w:val="22"/>
          <w:lang w:val="es-ES"/>
        </w:rPr>
        <w:t xml:space="preserve"> información sobre patentes disponible puede consultarse en línea en el </w:t>
      </w:r>
      <w:hyperlink r:id="rId16" w:history="1">
        <w:r w:rsidRPr="00227EFE">
          <w:rPr>
            <w:rStyle w:val="Hyperlink"/>
            <w:rFonts w:cstheme="minorHAnsi"/>
            <w:sz w:val="22"/>
            <w:szCs w:val="22"/>
            <w:lang w:val="es-ES"/>
          </w:rPr>
          <w:t>sitio web del</w:t>
        </w:r>
        <w:r w:rsidR="001C6798" w:rsidRPr="00227EFE">
          <w:rPr>
            <w:rStyle w:val="Hyperlink"/>
            <w:rFonts w:cstheme="minorHAnsi"/>
            <w:sz w:val="22"/>
            <w:szCs w:val="22"/>
            <w:lang w:val="es-ES"/>
          </w:rPr>
          <w:t> </w:t>
        </w:r>
        <w:r w:rsidRPr="00227EFE">
          <w:rPr>
            <w:rStyle w:val="Hyperlink"/>
            <w:rFonts w:cstheme="minorHAnsi"/>
            <w:sz w:val="22"/>
            <w:szCs w:val="22"/>
            <w:lang w:val="es-ES"/>
          </w:rPr>
          <w:t>UIT-T</w:t>
        </w:r>
      </w:hyperlink>
      <w:r w:rsidRPr="00227EFE">
        <w:rPr>
          <w:rFonts w:cstheme="minorHAnsi"/>
          <w:sz w:val="22"/>
          <w:szCs w:val="22"/>
          <w:lang w:val="es-ES"/>
        </w:rPr>
        <w:t>.</w:t>
      </w:r>
    </w:p>
    <w:p w14:paraId="5A84137D" w14:textId="77777777" w:rsidR="00AE2E65" w:rsidRPr="00227EFE" w:rsidRDefault="00AE2E65" w:rsidP="00E02161">
      <w:pPr>
        <w:keepNext/>
        <w:keepLines/>
        <w:rPr>
          <w:rFonts w:cstheme="minorHAnsi"/>
          <w:sz w:val="22"/>
          <w:szCs w:val="22"/>
          <w:lang w:val="es-ES"/>
        </w:rPr>
      </w:pPr>
      <w:r w:rsidRPr="00227EFE">
        <w:rPr>
          <w:rFonts w:cstheme="minorHAnsi"/>
          <w:sz w:val="22"/>
          <w:szCs w:val="22"/>
          <w:lang w:val="es-ES"/>
        </w:rPr>
        <w:t>3</w:t>
      </w:r>
      <w:r w:rsidRPr="00227EFE">
        <w:rPr>
          <w:rFonts w:cstheme="minorHAnsi"/>
          <w:sz w:val="22"/>
          <w:szCs w:val="22"/>
          <w:lang w:val="es-ES"/>
        </w:rPr>
        <w:tab/>
      </w:r>
      <w:proofErr w:type="gramStart"/>
      <w:r w:rsidRPr="00227EFE">
        <w:rPr>
          <w:rFonts w:cstheme="minorHAnsi"/>
          <w:sz w:val="22"/>
          <w:szCs w:val="22"/>
          <w:lang w:val="es-ES"/>
        </w:rPr>
        <w:t>El</w:t>
      </w:r>
      <w:proofErr w:type="gramEnd"/>
      <w:r w:rsidRPr="00227EFE">
        <w:rPr>
          <w:rFonts w:cstheme="minorHAnsi"/>
          <w:sz w:val="22"/>
          <w:szCs w:val="22"/>
          <w:lang w:val="es-ES"/>
        </w:rPr>
        <w:t xml:space="preserve"> texto de las Recomendaciones prepublicadas estará disponible en el sitio web del UIT-T en la dirección </w:t>
      </w:r>
      <w:hyperlink r:id="rId17" w:history="1">
        <w:r w:rsidRPr="00227EFE">
          <w:rPr>
            <w:rStyle w:val="Hyperlink"/>
            <w:rFonts w:cstheme="minorHAnsi"/>
            <w:sz w:val="22"/>
            <w:szCs w:val="22"/>
            <w:lang w:val="es-ES"/>
          </w:rPr>
          <w:t>https://www.itu.int/itu-t/recommendations/</w:t>
        </w:r>
      </w:hyperlink>
      <w:r w:rsidRPr="00227EFE">
        <w:rPr>
          <w:rFonts w:cstheme="minorHAnsi"/>
          <w:sz w:val="22"/>
          <w:szCs w:val="22"/>
          <w:lang w:val="es-ES"/>
        </w:rPr>
        <w:t>.</w:t>
      </w:r>
    </w:p>
    <w:p w14:paraId="17EC944E" w14:textId="77777777" w:rsidR="00AE2E65" w:rsidRPr="00227EFE" w:rsidRDefault="00AE2E65" w:rsidP="00FA1105">
      <w:pPr>
        <w:keepNext/>
        <w:keepLines/>
        <w:rPr>
          <w:rFonts w:cstheme="minorHAnsi"/>
          <w:sz w:val="22"/>
          <w:szCs w:val="22"/>
        </w:rPr>
      </w:pPr>
      <w:r w:rsidRPr="00227EFE">
        <w:rPr>
          <w:rFonts w:cstheme="minorHAnsi"/>
          <w:sz w:val="22"/>
          <w:szCs w:val="22"/>
        </w:rPr>
        <w:t>4</w:t>
      </w:r>
      <w:r w:rsidRPr="00227EFE">
        <w:rPr>
          <w:rFonts w:cstheme="minorHAnsi"/>
          <w:sz w:val="22"/>
          <w:szCs w:val="22"/>
        </w:rPr>
        <w:tab/>
      </w:r>
      <w:proofErr w:type="gramStart"/>
      <w:r w:rsidRPr="00227EFE">
        <w:rPr>
          <w:rFonts w:cstheme="minorHAnsi"/>
          <w:sz w:val="22"/>
          <w:szCs w:val="22"/>
        </w:rPr>
        <w:t>La</w:t>
      </w:r>
      <w:proofErr w:type="gramEnd"/>
      <w:r w:rsidRPr="00227EFE">
        <w:rPr>
          <w:rFonts w:cstheme="minorHAnsi"/>
          <w:sz w:val="22"/>
          <w:szCs w:val="22"/>
        </w:rPr>
        <w:t xml:space="preserve"> UIT publicará las Recomendaciones aprobadas a la mayor brevedad.</w:t>
      </w:r>
    </w:p>
    <w:p w14:paraId="05E4707F" w14:textId="77777777" w:rsidR="007B6316" w:rsidRPr="00227EFE" w:rsidRDefault="007B6316" w:rsidP="007B6316">
      <w:pPr>
        <w:rPr>
          <w:rFonts w:cstheme="minorHAnsi"/>
          <w:sz w:val="22"/>
          <w:szCs w:val="22"/>
        </w:rPr>
      </w:pPr>
      <w:r w:rsidRPr="00227EFE">
        <w:rPr>
          <w:rFonts w:cstheme="minorHAnsi"/>
          <w:sz w:val="22"/>
          <w:szCs w:val="22"/>
        </w:rPr>
        <w:t>Atentamente,</w:t>
      </w:r>
    </w:p>
    <w:p w14:paraId="37895485" w14:textId="24D0FA95" w:rsidR="00101541" w:rsidRPr="00227EFE" w:rsidRDefault="00333113" w:rsidP="00227EFE">
      <w:pPr>
        <w:spacing w:before="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29DD21" wp14:editId="50E732F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825542" cy="330217"/>
            <wp:effectExtent l="0" t="0" r="0" b="0"/>
            <wp:wrapNone/>
            <wp:docPr id="193133113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31135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227EFE">
        <w:rPr>
          <w:rFonts w:cstheme="minorHAnsi"/>
          <w:sz w:val="22"/>
          <w:szCs w:val="22"/>
        </w:rPr>
        <w:t>Seizo Onoe</w:t>
      </w:r>
      <w:r w:rsidR="007B6316" w:rsidRPr="00227EFE">
        <w:rPr>
          <w:rFonts w:cstheme="minorHAnsi"/>
          <w:sz w:val="22"/>
          <w:szCs w:val="22"/>
        </w:rPr>
        <w:br/>
      </w:r>
      <w:proofErr w:type="gramStart"/>
      <w:r w:rsidR="007B6316" w:rsidRPr="00227EFE">
        <w:rPr>
          <w:rFonts w:cstheme="minorHAnsi"/>
          <w:sz w:val="22"/>
          <w:szCs w:val="22"/>
        </w:rPr>
        <w:t>Director</w:t>
      </w:r>
      <w:proofErr w:type="gramEnd"/>
      <w:r w:rsidR="007B6316" w:rsidRPr="00227EFE">
        <w:rPr>
          <w:rFonts w:cstheme="minorHAnsi"/>
          <w:sz w:val="22"/>
          <w:szCs w:val="22"/>
        </w:rPr>
        <w:t xml:space="preserve"> de la Oficina de </w:t>
      </w:r>
      <w:r w:rsidR="007B6316" w:rsidRPr="00227EFE">
        <w:rPr>
          <w:rFonts w:cstheme="minorHAnsi"/>
          <w:sz w:val="22"/>
          <w:szCs w:val="22"/>
        </w:rPr>
        <w:br/>
        <w:t>Normalización de las Telecomunicaciones</w:t>
      </w:r>
    </w:p>
    <w:sectPr w:rsidR="00101541" w:rsidRPr="00227EFE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270B" w14:textId="77777777" w:rsidR="00D97832" w:rsidRDefault="00D97832">
      <w:r>
        <w:separator/>
      </w:r>
    </w:p>
  </w:endnote>
  <w:endnote w:type="continuationSeparator" w:id="0">
    <w:p w14:paraId="0EF61A8E" w14:textId="77777777" w:rsidR="00D97832" w:rsidRDefault="00D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2DDA" w14:textId="7C3E9899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7F00" w14:textId="77777777" w:rsidR="00D97832" w:rsidRDefault="00D97832">
      <w:r>
        <w:t>____________________</w:t>
      </w:r>
    </w:p>
  </w:footnote>
  <w:footnote w:type="continuationSeparator" w:id="0">
    <w:p w14:paraId="63DA93B5" w14:textId="77777777" w:rsidR="00D97832" w:rsidRDefault="00D9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36AE39AB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E02161">
      <w:rPr>
        <w:sz w:val="18"/>
        <w:szCs w:val="1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B1BA2"/>
    <w:rsid w:val="000C382F"/>
    <w:rsid w:val="00101541"/>
    <w:rsid w:val="00110B04"/>
    <w:rsid w:val="001173CC"/>
    <w:rsid w:val="00123CE3"/>
    <w:rsid w:val="001350B9"/>
    <w:rsid w:val="0014464D"/>
    <w:rsid w:val="001A54CC"/>
    <w:rsid w:val="001C6798"/>
    <w:rsid w:val="00227EFE"/>
    <w:rsid w:val="00257FB4"/>
    <w:rsid w:val="002E496E"/>
    <w:rsid w:val="00303D62"/>
    <w:rsid w:val="00333113"/>
    <w:rsid w:val="00335367"/>
    <w:rsid w:val="00370C2D"/>
    <w:rsid w:val="003B0CBC"/>
    <w:rsid w:val="003D1E8D"/>
    <w:rsid w:val="003D673B"/>
    <w:rsid w:val="003F2855"/>
    <w:rsid w:val="00401C20"/>
    <w:rsid w:val="004A7957"/>
    <w:rsid w:val="004C4144"/>
    <w:rsid w:val="0055719E"/>
    <w:rsid w:val="00606207"/>
    <w:rsid w:val="006969B4"/>
    <w:rsid w:val="006E4F7B"/>
    <w:rsid w:val="00766C41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22D9D"/>
    <w:rsid w:val="0095172A"/>
    <w:rsid w:val="009A0BA0"/>
    <w:rsid w:val="00A31158"/>
    <w:rsid w:val="00A54E47"/>
    <w:rsid w:val="00AB6E3A"/>
    <w:rsid w:val="00AE2E65"/>
    <w:rsid w:val="00AE7093"/>
    <w:rsid w:val="00B422BC"/>
    <w:rsid w:val="00B43F77"/>
    <w:rsid w:val="00B55A3E"/>
    <w:rsid w:val="00B87E9E"/>
    <w:rsid w:val="00B95F0A"/>
    <w:rsid w:val="00B96180"/>
    <w:rsid w:val="00BA6F31"/>
    <w:rsid w:val="00BC3052"/>
    <w:rsid w:val="00C116FE"/>
    <w:rsid w:val="00C17AC0"/>
    <w:rsid w:val="00C34772"/>
    <w:rsid w:val="00C5465A"/>
    <w:rsid w:val="00D54642"/>
    <w:rsid w:val="00D834E7"/>
    <w:rsid w:val="00D97832"/>
    <w:rsid w:val="00DD77C9"/>
    <w:rsid w:val="00DF3538"/>
    <w:rsid w:val="00E02161"/>
    <w:rsid w:val="00E839B0"/>
    <w:rsid w:val="00E92C09"/>
    <w:rsid w:val="00F14380"/>
    <w:rsid w:val="00F6461F"/>
    <w:rsid w:val="00F6587A"/>
    <w:rsid w:val="00FA1105"/>
    <w:rsid w:val="00FB1474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2E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1105"/>
    <w:rPr>
      <w:rFonts w:asciiTheme="minorHAnsi" w:hAnsiTheme="minorHAnsi"/>
      <w:sz w:val="24"/>
      <w:lang w:val="es-ES_tradnl" w:eastAsia="en-US"/>
    </w:rPr>
  </w:style>
  <w:style w:type="table" w:styleId="TableGrid">
    <w:name w:val="Table Grid"/>
    <w:basedOn w:val="TableNormal"/>
    <w:rsid w:val="00FA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11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34/e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21-250113-TD-PLEN-0033/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21-250113-TD-PLEN-0032/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E4608FCD-35AD-4D6F-A07D-5DCF7F677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309F3-BEEE-425D-A955-75E3F84E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D5B4F-8CF9-49EA-873A-C9711C882367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56</TotalTime>
  <Pages>1</Pages>
  <Words>338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2660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2025-02-13T13:32:00Z</cp:lastPrinted>
  <dcterms:created xsi:type="dcterms:W3CDTF">2025-02-10T13:09:00Z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