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384D48" w14:paraId="315D6A52" w14:textId="77777777" w:rsidTr="00D517B2">
        <w:trPr>
          <w:cantSplit/>
          <w:trHeight w:val="1134"/>
        </w:trPr>
        <w:tc>
          <w:tcPr>
            <w:tcW w:w="798" w:type="pct"/>
          </w:tcPr>
          <w:p w14:paraId="02F1695B" w14:textId="77777777" w:rsidR="00D517B2" w:rsidRPr="00384D48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384D48">
              <w:rPr>
                <w:noProof/>
              </w:rPr>
              <w:drawing>
                <wp:inline distT="0" distB="0" distL="0" distR="0" wp14:anchorId="182C682F" wp14:editId="7AA5860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2638488" w14:textId="77777777" w:rsidR="00D517B2" w:rsidRPr="00384D48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384D48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EDFF8ED" w14:textId="77777777" w:rsidR="00D517B2" w:rsidRPr="00384D48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84D48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543"/>
        <w:gridCol w:w="4534"/>
      </w:tblGrid>
      <w:tr w:rsidR="00D517B2" w:rsidRPr="00384D48" w14:paraId="51AA6504" w14:textId="77777777" w:rsidTr="001C6DF9">
        <w:trPr>
          <w:cantSplit/>
          <w:jc w:val="center"/>
        </w:trPr>
        <w:tc>
          <w:tcPr>
            <w:tcW w:w="810" w:type="pct"/>
          </w:tcPr>
          <w:p w14:paraId="67C48FE6" w14:textId="77777777" w:rsidR="00D517B2" w:rsidRPr="00384D4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38" w:type="pct"/>
          </w:tcPr>
          <w:p w14:paraId="7AD148A9" w14:textId="77777777" w:rsidR="00D517B2" w:rsidRPr="00384D48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2" w:type="pct"/>
          </w:tcPr>
          <w:p w14:paraId="49DD80FE" w14:textId="77777777" w:rsidR="00D517B2" w:rsidRPr="00384D48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384D48" w14:paraId="248D6649" w14:textId="77777777" w:rsidTr="001C6DF9">
        <w:trPr>
          <w:cantSplit/>
          <w:jc w:val="center"/>
        </w:trPr>
        <w:tc>
          <w:tcPr>
            <w:tcW w:w="810" w:type="pct"/>
          </w:tcPr>
          <w:p w14:paraId="10F23501" w14:textId="77777777" w:rsidR="00D517B2" w:rsidRPr="00384D48" w:rsidRDefault="00D517B2" w:rsidP="006019C6">
            <w:pPr>
              <w:spacing w:before="80" w:after="120" w:line="300" w:lineRule="exact"/>
              <w:jc w:val="left"/>
              <w:rPr>
                <w:position w:val="2"/>
              </w:rPr>
            </w:pPr>
          </w:p>
        </w:tc>
        <w:tc>
          <w:tcPr>
            <w:tcW w:w="1838" w:type="pct"/>
          </w:tcPr>
          <w:p w14:paraId="36E82614" w14:textId="77777777" w:rsidR="00D517B2" w:rsidRPr="00384D48" w:rsidRDefault="00D517B2" w:rsidP="006019C6">
            <w:pPr>
              <w:spacing w:before="80" w:after="12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2" w:type="pct"/>
          </w:tcPr>
          <w:p w14:paraId="0309A862" w14:textId="0FDBB3A1" w:rsidR="00D517B2" w:rsidRPr="00384D48" w:rsidRDefault="00384D48" w:rsidP="006019C6">
            <w:pPr>
              <w:spacing w:before="80" w:after="120" w:line="300" w:lineRule="exact"/>
              <w:jc w:val="left"/>
              <w:rPr>
                <w:position w:val="2"/>
                <w:rtl/>
                <w:lang w:bidi="ar-EG"/>
              </w:rPr>
            </w:pPr>
            <w:r w:rsidRPr="00384D48">
              <w:rPr>
                <w:rtl/>
              </w:rPr>
              <w:t>جنيف، 7 فبراير 2025</w:t>
            </w:r>
          </w:p>
        </w:tc>
      </w:tr>
      <w:tr w:rsidR="00384D48" w:rsidRPr="00384D48" w14:paraId="65F0F85C" w14:textId="77777777" w:rsidTr="001C6DF9">
        <w:trPr>
          <w:cantSplit/>
          <w:jc w:val="center"/>
        </w:trPr>
        <w:tc>
          <w:tcPr>
            <w:tcW w:w="810" w:type="pct"/>
          </w:tcPr>
          <w:p w14:paraId="5F99B837" w14:textId="77777777" w:rsidR="00384D48" w:rsidRPr="00384D48" w:rsidRDefault="00384D4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384D48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38" w:type="pct"/>
          </w:tcPr>
          <w:p w14:paraId="78CC7BB9" w14:textId="77777777" w:rsidR="0068271E" w:rsidRPr="0068271E" w:rsidRDefault="0068271E" w:rsidP="0068271E">
            <w:pPr>
              <w:pStyle w:val="Tabletext"/>
              <w:bidi/>
              <w:rPr>
                <w:rFonts w:ascii="Dubai" w:hAnsi="Dubai" w:cs="Dubai"/>
                <w:b/>
                <w:bCs/>
                <w:sz w:val="22"/>
                <w:szCs w:val="22"/>
                <w:lang w:val="pt-PT"/>
              </w:rPr>
            </w:pPr>
            <w:r w:rsidRPr="0068271E">
              <w:rPr>
                <w:rFonts w:ascii="Dubai" w:hAnsi="Dubai" w:cs="Dubai"/>
                <w:b/>
                <w:bCs/>
                <w:sz w:val="22"/>
                <w:szCs w:val="22"/>
                <w:lang w:val="pt-PT"/>
              </w:rPr>
              <w:t>TSB Circular 19</w:t>
            </w:r>
          </w:p>
          <w:p w14:paraId="273D0194" w14:textId="57B34DBC" w:rsidR="00384D48" w:rsidRPr="0068271E" w:rsidRDefault="0068271E" w:rsidP="0068271E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68271E">
              <w:rPr>
                <w:rFonts w:eastAsia="Times New Roman"/>
                <w:lang w:val="pt-PT"/>
              </w:rPr>
              <w:t>SG21/SP</w:t>
            </w:r>
          </w:p>
        </w:tc>
        <w:tc>
          <w:tcPr>
            <w:tcW w:w="2352" w:type="pct"/>
            <w:vMerge w:val="restart"/>
          </w:tcPr>
          <w:p w14:paraId="6A725E4F" w14:textId="77777777" w:rsidR="00384D48" w:rsidRPr="00384D48" w:rsidRDefault="00384D48" w:rsidP="001E2788">
            <w:pPr>
              <w:tabs>
                <w:tab w:val="clear" w:pos="794"/>
                <w:tab w:val="left" w:pos="284"/>
              </w:tabs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84D4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424AFDA" w14:textId="4FD1AAF3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position w:val="2"/>
                <w:rtl/>
              </w:rPr>
            </w:pPr>
            <w:r w:rsidRPr="00384D48">
              <w:rPr>
                <w:rFonts w:hint="cs"/>
                <w:position w:val="2"/>
                <w:rtl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384D48">
              <w:rPr>
                <w:rtl/>
              </w:rPr>
              <w:t xml:space="preserve"> إدارات الدول الأعضاء في الاتحاد</w:t>
            </w:r>
            <w:r w:rsidR="0068271E">
              <w:rPr>
                <w:rFonts w:hint="cs"/>
                <w:rtl/>
              </w:rPr>
              <w:t>؛</w:t>
            </w:r>
          </w:p>
          <w:p w14:paraId="3E7B2FA3" w14:textId="77777777" w:rsidR="00384D48" w:rsidRPr="00384D48" w:rsidRDefault="00384D4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384D4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6DF5A5B" w14:textId="77777777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lang w:val="ar-SA" w:eastAsia="zh-TW" w:bidi="en-GB"/>
              </w:rPr>
            </w:pPr>
            <w:r w:rsidRPr="00384D48">
              <w:rPr>
                <w:position w:val="2"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384D48">
              <w:rPr>
                <w:rtl/>
              </w:rPr>
              <w:t xml:space="preserve">أعضاء قطاع تقييس الاتصالات </w:t>
            </w:r>
            <w:proofErr w:type="gramStart"/>
            <w:r w:rsidRPr="00384D48">
              <w:rPr>
                <w:rtl/>
              </w:rPr>
              <w:t>بالاتحاد؛</w:t>
            </w:r>
            <w:proofErr w:type="gramEnd"/>
          </w:p>
          <w:p w14:paraId="119A1C3E" w14:textId="21425602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lang w:val="ar-SA" w:eastAsia="zh-TW" w:bidi="en-GB"/>
              </w:rPr>
            </w:pPr>
            <w:r w:rsidRPr="00384D48">
              <w:rPr>
                <w:position w:val="2"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384D48">
              <w:rPr>
                <w:rtl/>
              </w:rPr>
              <w:t>المنتسبين إلى قطاع تقييس الاتصالات</w:t>
            </w:r>
            <w:r w:rsidR="005813C4">
              <w:rPr>
                <w:rFonts w:hint="cs"/>
                <w:rtl/>
              </w:rPr>
              <w:t xml:space="preserve"> </w:t>
            </w:r>
            <w:r w:rsidRPr="00384D48">
              <w:rPr>
                <w:rtl/>
              </w:rPr>
              <w:t xml:space="preserve">المشاركين في أعمال لجنة الدراسات </w:t>
            </w:r>
            <w:proofErr w:type="gramStart"/>
            <w:r w:rsidRPr="00384D48">
              <w:rPr>
                <w:rtl/>
              </w:rPr>
              <w:t>21؛</w:t>
            </w:r>
            <w:proofErr w:type="gramEnd"/>
            <w:r w:rsidRPr="00384D48">
              <w:rPr>
                <w:rtl/>
              </w:rPr>
              <w:t xml:space="preserve"> </w:t>
            </w:r>
          </w:p>
          <w:p w14:paraId="603A3F6D" w14:textId="77777777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lang w:val="ar-SA" w:eastAsia="zh-TW" w:bidi="en-GB"/>
              </w:rPr>
            </w:pPr>
            <w:r w:rsidRPr="00384D48">
              <w:rPr>
                <w:position w:val="2"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384D48">
              <w:rPr>
                <w:rtl/>
              </w:rPr>
              <w:t xml:space="preserve">الهيئات الأكاديمية المنضمة إلى </w:t>
            </w:r>
            <w:proofErr w:type="gramStart"/>
            <w:r w:rsidRPr="00384D48">
              <w:rPr>
                <w:rtl/>
              </w:rPr>
              <w:t>الاتحاد؛</w:t>
            </w:r>
            <w:proofErr w:type="gramEnd"/>
          </w:p>
          <w:p w14:paraId="35A02EB0" w14:textId="1211A2CA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lang w:val="ar-SA" w:eastAsia="zh-TW" w:bidi="ar-EG"/>
              </w:rPr>
            </w:pPr>
            <w:r w:rsidRPr="00384D48">
              <w:rPr>
                <w:position w:val="2"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1C6DF9">
              <w:rPr>
                <w:spacing w:val="-6"/>
                <w:rtl/>
              </w:rPr>
              <w:t xml:space="preserve">رئيس لجنة الدراسات 21 </w:t>
            </w:r>
            <w:r w:rsidR="001C6DF9" w:rsidRPr="001C6DF9">
              <w:rPr>
                <w:rFonts w:hint="cs"/>
                <w:spacing w:val="-6"/>
                <w:rtl/>
              </w:rPr>
              <w:t>ب</w:t>
            </w:r>
            <w:r w:rsidRPr="001C6DF9">
              <w:rPr>
                <w:spacing w:val="-6"/>
                <w:rtl/>
              </w:rPr>
              <w:t>قطاع تقييس الاتصالات</w:t>
            </w:r>
            <w:r w:rsidR="005813C4" w:rsidRPr="001C6DF9">
              <w:rPr>
                <w:rFonts w:hint="cs"/>
                <w:spacing w:val="-6"/>
                <w:rtl/>
              </w:rPr>
              <w:t> </w:t>
            </w:r>
            <w:proofErr w:type="gramStart"/>
            <w:r w:rsidRPr="001C6DF9">
              <w:rPr>
                <w:spacing w:val="-6"/>
                <w:rtl/>
              </w:rPr>
              <w:t>ونوابه؛</w:t>
            </w:r>
            <w:proofErr w:type="gramEnd"/>
          </w:p>
          <w:p w14:paraId="5D2BD39A" w14:textId="77777777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lang w:val="ar-SA" w:eastAsia="zh-TW" w:bidi="en-GB"/>
              </w:rPr>
            </w:pPr>
            <w:r w:rsidRPr="00384D48">
              <w:rPr>
                <w:position w:val="2"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384D48">
              <w:rPr>
                <w:rtl/>
              </w:rPr>
              <w:t xml:space="preserve">مدير مكتب تنمية </w:t>
            </w:r>
            <w:proofErr w:type="gramStart"/>
            <w:r w:rsidRPr="00384D48">
              <w:rPr>
                <w:rtl/>
              </w:rPr>
              <w:t>الاتصالات؛</w:t>
            </w:r>
            <w:proofErr w:type="gramEnd"/>
          </w:p>
          <w:p w14:paraId="4A4C233F" w14:textId="7561A797" w:rsidR="00384D48" w:rsidRPr="00384D48" w:rsidRDefault="00384D48" w:rsidP="005813C4">
            <w:pPr>
              <w:pStyle w:val="enumlev1"/>
              <w:tabs>
                <w:tab w:val="clear" w:pos="794"/>
                <w:tab w:val="left" w:pos="428"/>
              </w:tabs>
              <w:ind w:left="428" w:hanging="428"/>
              <w:rPr>
                <w:position w:val="2"/>
                <w:rtl/>
              </w:rPr>
            </w:pPr>
            <w:r w:rsidRPr="00384D48">
              <w:rPr>
                <w:position w:val="2"/>
              </w:rPr>
              <w:t>-</w:t>
            </w:r>
            <w:r w:rsidRPr="00384D48">
              <w:rPr>
                <w:position w:val="2"/>
                <w:rtl/>
              </w:rPr>
              <w:tab/>
            </w:r>
            <w:r w:rsidRPr="00384D48">
              <w:rPr>
                <w:rtl/>
              </w:rPr>
              <w:t>مدير مكتب الاتصالات الراديوية</w:t>
            </w:r>
          </w:p>
        </w:tc>
      </w:tr>
      <w:tr w:rsidR="00384D48" w:rsidRPr="00384D48" w14:paraId="197F646D" w14:textId="77777777" w:rsidTr="001C6DF9">
        <w:trPr>
          <w:cantSplit/>
          <w:jc w:val="center"/>
        </w:trPr>
        <w:tc>
          <w:tcPr>
            <w:tcW w:w="810" w:type="pct"/>
          </w:tcPr>
          <w:p w14:paraId="6874BE68" w14:textId="77777777" w:rsidR="00384D48" w:rsidRPr="00384D48" w:rsidRDefault="00384D48" w:rsidP="001E2788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384D48">
              <w:rPr>
                <w:rFonts w:hint="cs"/>
                <w:b/>
                <w:bCs/>
                <w:position w:val="2"/>
                <w:rtl/>
                <w:lang w:bidi="ar-EG"/>
              </w:rPr>
              <w:t>للاتصال:</w:t>
            </w:r>
          </w:p>
        </w:tc>
        <w:tc>
          <w:tcPr>
            <w:tcW w:w="1838" w:type="pct"/>
          </w:tcPr>
          <w:p w14:paraId="61B98594" w14:textId="2A93D27B" w:rsidR="00384D48" w:rsidRPr="00384D48" w:rsidRDefault="00384D48" w:rsidP="001E2788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384D48">
              <w:rPr>
                <w:bCs/>
              </w:rPr>
              <w:t>+41 22 730 5858</w:t>
            </w:r>
          </w:p>
        </w:tc>
        <w:tc>
          <w:tcPr>
            <w:tcW w:w="2352" w:type="pct"/>
            <w:vMerge/>
          </w:tcPr>
          <w:p w14:paraId="25466AE4" w14:textId="26AA73AE" w:rsidR="00384D48" w:rsidRPr="00384D48" w:rsidRDefault="00384D48" w:rsidP="00E50F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</w:p>
        </w:tc>
      </w:tr>
      <w:tr w:rsidR="00384D48" w:rsidRPr="00384D48" w14:paraId="1E5F95C0" w14:textId="77777777" w:rsidTr="001C6DF9">
        <w:trPr>
          <w:cantSplit/>
          <w:jc w:val="center"/>
        </w:trPr>
        <w:tc>
          <w:tcPr>
            <w:tcW w:w="810" w:type="pct"/>
          </w:tcPr>
          <w:p w14:paraId="473C7AE5" w14:textId="77777777" w:rsidR="00384D48" w:rsidRPr="00384D48" w:rsidRDefault="00384D48" w:rsidP="001E278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384D48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384D48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384D48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838" w:type="pct"/>
          </w:tcPr>
          <w:p w14:paraId="76438019" w14:textId="4CB965FF" w:rsidR="00384D48" w:rsidRPr="00384D48" w:rsidRDefault="00384D48" w:rsidP="001E2788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384D48">
              <w:t>+41 22 730 5853</w:t>
            </w:r>
          </w:p>
        </w:tc>
        <w:tc>
          <w:tcPr>
            <w:tcW w:w="2352" w:type="pct"/>
            <w:vMerge/>
          </w:tcPr>
          <w:p w14:paraId="16964847" w14:textId="5027AAF1" w:rsidR="00384D48" w:rsidRPr="00384D48" w:rsidRDefault="00384D48" w:rsidP="00E50FB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</w:p>
        </w:tc>
      </w:tr>
      <w:tr w:rsidR="00384D48" w:rsidRPr="00384D48" w14:paraId="58072A06" w14:textId="77777777" w:rsidTr="001C6DF9">
        <w:trPr>
          <w:cantSplit/>
          <w:jc w:val="center"/>
        </w:trPr>
        <w:tc>
          <w:tcPr>
            <w:tcW w:w="810" w:type="pct"/>
          </w:tcPr>
          <w:p w14:paraId="7AF7DBD0" w14:textId="77777777" w:rsidR="00384D48" w:rsidRPr="00384D48" w:rsidRDefault="00384D4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384D48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38" w:type="pct"/>
          </w:tcPr>
          <w:p w14:paraId="11B8B453" w14:textId="721CF419" w:rsidR="00384D48" w:rsidRPr="00B92533" w:rsidRDefault="00647114" w:rsidP="00647114">
            <w:pPr>
              <w:spacing w:before="80" w:after="60" w:line="300" w:lineRule="exact"/>
              <w:jc w:val="left"/>
              <w:rPr>
                <w:rStyle w:val="Hyperlink"/>
                <w:rtl/>
              </w:rPr>
            </w:pPr>
            <w:hyperlink r:id="rId12" w:history="1">
              <w:r w:rsidRPr="00647114">
                <w:rPr>
                  <w:rStyle w:val="Hyperlink"/>
                  <w:lang w:val="en-GB"/>
                </w:rPr>
                <w:t>tsbsg21@itu.int</w:t>
              </w:r>
            </w:hyperlink>
          </w:p>
        </w:tc>
        <w:tc>
          <w:tcPr>
            <w:tcW w:w="2352" w:type="pct"/>
            <w:vMerge/>
          </w:tcPr>
          <w:p w14:paraId="4F0D9B2F" w14:textId="291E6709" w:rsidR="00384D48" w:rsidRPr="00B92533" w:rsidRDefault="00384D48" w:rsidP="00384D4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Style w:val="Hyperlink"/>
                <w:rtl/>
              </w:rPr>
            </w:pPr>
          </w:p>
        </w:tc>
      </w:tr>
      <w:tr w:rsidR="00CE1C08" w:rsidRPr="00384D48" w14:paraId="06777BC1" w14:textId="77777777" w:rsidTr="001E2788">
        <w:trPr>
          <w:cantSplit/>
          <w:jc w:val="center"/>
        </w:trPr>
        <w:tc>
          <w:tcPr>
            <w:tcW w:w="810" w:type="pct"/>
          </w:tcPr>
          <w:p w14:paraId="04785CFE" w14:textId="77777777" w:rsidR="00CE1C08" w:rsidRPr="00384D48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384D48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189425B6" w14:textId="70674137" w:rsidR="00CE1C08" w:rsidRPr="00384D48" w:rsidRDefault="00384D4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C69B3">
              <w:rPr>
                <w:b/>
                <w:bCs/>
                <w:rtl/>
              </w:rPr>
              <w:t xml:space="preserve">حالة </w:t>
            </w:r>
            <w:r>
              <w:rPr>
                <w:b/>
                <w:bCs/>
                <w:rtl/>
              </w:rPr>
              <w:t>التوصيتين</w:t>
            </w:r>
            <w:r w:rsidRPr="008C69B3">
              <w:rPr>
                <w:b/>
                <w:bCs/>
                <w:rtl/>
              </w:rPr>
              <w:t xml:space="preserve"> </w:t>
            </w:r>
            <w:r w:rsidRPr="00293541">
              <w:rPr>
                <w:b/>
                <w:bCs/>
                <w:lang w:val="en-GB"/>
              </w:rPr>
              <w:t>ITU-T F.743.27</w:t>
            </w:r>
            <w:r w:rsidRPr="008C69B3">
              <w:rPr>
                <w:b/>
                <w:bCs/>
                <w:rtl/>
              </w:rPr>
              <w:t xml:space="preserve"> (</w:t>
            </w:r>
            <w:r w:rsidRPr="00293541">
              <w:rPr>
                <w:b/>
                <w:bCs/>
                <w:lang w:val="en-GB"/>
              </w:rPr>
              <w:t>F.IVSP-PGI</w:t>
            </w:r>
            <w:r w:rsidRPr="00293541">
              <w:rPr>
                <w:b/>
                <w:bCs/>
                <w:rtl/>
              </w:rPr>
              <w:t xml:space="preserve"> </w:t>
            </w:r>
            <w:r w:rsidRPr="008C69B3">
              <w:rPr>
                <w:b/>
                <w:bCs/>
                <w:rtl/>
              </w:rPr>
              <w:t xml:space="preserve">سابقاً) </w:t>
            </w:r>
            <w:r>
              <w:rPr>
                <w:b/>
                <w:bCs/>
                <w:rtl/>
              </w:rPr>
              <w:t>و</w:t>
            </w:r>
            <w:r w:rsidRPr="00293541">
              <w:rPr>
                <w:rFonts w:asciiTheme="minorHAnsi" w:hAnsiTheme="minorHAnsi" w:cstheme="minorHAnsi"/>
                <w:b/>
                <w:lang w:val="en-GB" w:eastAsia="en-US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ITU-T </w:t>
            </w:r>
            <w:r w:rsidRPr="00293541">
              <w:rPr>
                <w:b/>
                <w:bCs/>
                <w:lang w:val="en-GB"/>
              </w:rPr>
              <w:t>F.743.28</w:t>
            </w:r>
            <w:r w:rsidRPr="008C69B3">
              <w:rPr>
                <w:b/>
                <w:bCs/>
                <w:rtl/>
              </w:rPr>
              <w:t>(</w:t>
            </w:r>
            <w:r w:rsidRPr="00293541">
              <w:rPr>
                <w:b/>
                <w:bCs/>
                <w:lang w:val="en-GB"/>
              </w:rPr>
              <w:t>F.RIIS-CEC</w:t>
            </w:r>
            <w:r w:rsidRPr="00293541">
              <w:rPr>
                <w:b/>
                <w:bCs/>
                <w:rtl/>
                <w:lang w:val="en-GB"/>
              </w:rPr>
              <w:t xml:space="preserve"> </w:t>
            </w:r>
            <w:r w:rsidRPr="008C69B3">
              <w:rPr>
                <w:b/>
                <w:bCs/>
                <w:rtl/>
              </w:rPr>
              <w:t xml:space="preserve">سابقاً) بعد اجتماع لجنة الدراسات 21 </w:t>
            </w:r>
            <w:r w:rsidR="001C6DF9">
              <w:rPr>
                <w:rFonts w:hint="cs"/>
                <w:b/>
                <w:bCs/>
                <w:rtl/>
              </w:rPr>
              <w:t>ب</w:t>
            </w:r>
            <w:r w:rsidRPr="008C69B3">
              <w:rPr>
                <w:b/>
                <w:bCs/>
                <w:rtl/>
              </w:rPr>
              <w:t>قطاع تقييس الاتصالات (جنيف، 13-24 يناير 2025)</w:t>
            </w:r>
          </w:p>
        </w:tc>
      </w:tr>
    </w:tbl>
    <w:p w14:paraId="30D35D47" w14:textId="77777777" w:rsidR="00D517B2" w:rsidRPr="00384D48" w:rsidRDefault="00D517B2" w:rsidP="006635B2">
      <w:pPr>
        <w:spacing w:before="600"/>
        <w:rPr>
          <w:lang w:bidi="ar-SY"/>
        </w:rPr>
      </w:pPr>
      <w:r w:rsidRPr="00384D48">
        <w:rPr>
          <w:rFonts w:hint="cs"/>
          <w:rtl/>
          <w:lang w:bidi="ar-SY"/>
        </w:rPr>
        <w:t>حضرات السادة والسيدات،</w:t>
      </w:r>
    </w:p>
    <w:p w14:paraId="37AE2F2E" w14:textId="77777777" w:rsidR="00D517B2" w:rsidRPr="00384D48" w:rsidRDefault="00D517B2" w:rsidP="00D517B2">
      <w:pPr>
        <w:rPr>
          <w:rtl/>
          <w:lang w:bidi="ar-EG"/>
        </w:rPr>
      </w:pPr>
      <w:r w:rsidRPr="00384D48">
        <w:rPr>
          <w:rFonts w:hint="cs"/>
          <w:rtl/>
        </w:rPr>
        <w:t>تحية طيبة وبعد،</w:t>
      </w:r>
    </w:p>
    <w:p w14:paraId="64978A85" w14:textId="74DF8413" w:rsidR="00384D48" w:rsidRPr="008C69B3" w:rsidRDefault="00384D48" w:rsidP="0068271E">
      <w:pPr>
        <w:spacing w:after="120"/>
        <w:rPr>
          <w:lang w:val="ar-SA" w:eastAsia="zh-TW" w:bidi="en-GB"/>
        </w:rPr>
      </w:pPr>
      <w:r w:rsidRPr="008C69B3">
        <w:rPr>
          <w:rtl/>
        </w:rPr>
        <w:t>1</w:t>
      </w:r>
      <w:r w:rsidRPr="008C69B3">
        <w:rPr>
          <w:rtl/>
        </w:rPr>
        <w:tab/>
        <w:t xml:space="preserve">إلحاقاً </w:t>
      </w:r>
      <w:hyperlink r:id="rId13" w:history="1">
        <w:r w:rsidRPr="0068271E">
          <w:rPr>
            <w:rStyle w:val="Hyperlink"/>
            <w:rtl/>
          </w:rPr>
          <w:t>بالرسالة المعممة 234 لمكتب تقييس الاتصالات</w:t>
        </w:r>
      </w:hyperlink>
      <w:r w:rsidRPr="008C69B3">
        <w:rPr>
          <w:rtl/>
        </w:rPr>
        <w:t xml:space="preserve"> المؤرخة </w:t>
      </w:r>
      <w:r>
        <w:rPr>
          <w:rtl/>
        </w:rPr>
        <w:t>7</w:t>
      </w:r>
      <w:r w:rsidRPr="008C69B3">
        <w:rPr>
          <w:rtl/>
        </w:rPr>
        <w:t xml:space="preserve"> </w:t>
      </w:r>
      <w:r>
        <w:rPr>
          <w:rtl/>
        </w:rPr>
        <w:t>أكتوبر</w:t>
      </w:r>
      <w:r w:rsidRPr="008C69B3">
        <w:rPr>
          <w:rtl/>
        </w:rPr>
        <w:t xml:space="preserve"> 2024، وعملاً </w:t>
      </w:r>
      <w:r>
        <w:rPr>
          <w:rtl/>
        </w:rPr>
        <w:t>بالفقرتين</w:t>
      </w:r>
      <w:r w:rsidRPr="008C69B3">
        <w:rPr>
          <w:rtl/>
        </w:rPr>
        <w:t xml:space="preserve"> 5.9-6.9 من القرار</w:t>
      </w:r>
      <w:r w:rsidR="00B92533">
        <w:rPr>
          <w:rFonts w:hint="cs"/>
          <w:rtl/>
        </w:rPr>
        <w:t> </w:t>
      </w:r>
      <w:r w:rsidRPr="008C69B3">
        <w:rPr>
          <w:rtl/>
        </w:rPr>
        <w:t>1 (المراج</w:t>
      </w:r>
      <w:r w:rsidR="0068271E">
        <w:rPr>
          <w:rFonts w:hint="cs"/>
          <w:rtl/>
        </w:rPr>
        <w:t>َ</w:t>
      </w:r>
      <w:r w:rsidRPr="008C69B3">
        <w:rPr>
          <w:rtl/>
        </w:rPr>
        <w:t xml:space="preserve">ع في جنيف، 2022)، أود إفادتكم بأن لجنة الدراسات 21 توصلت إلى القرار التالي خلال جلستها العامة المنعقدة في 24 يناير 2025 في جنيف، بشأن </w:t>
      </w:r>
      <w:r>
        <w:rPr>
          <w:rtl/>
        </w:rPr>
        <w:t>مشروعي نصي</w:t>
      </w:r>
      <w:r w:rsidRPr="008C69B3">
        <w:rPr>
          <w:rtl/>
        </w:rPr>
        <w:t xml:space="preserve"> قطاع تقييس الاتصالات التالي</w:t>
      </w:r>
      <w:r>
        <w:rPr>
          <w:rtl/>
        </w:rPr>
        <w:t>ين</w:t>
      </w:r>
      <w:r w:rsidRPr="008C69B3">
        <w:rPr>
          <w:rtl/>
        </w:rPr>
        <w:t>: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337"/>
        <w:gridCol w:w="2326"/>
      </w:tblGrid>
      <w:tr w:rsidR="00384D48" w:rsidRPr="008C69B3" w14:paraId="1F4A04BA" w14:textId="77777777" w:rsidTr="00A477C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A9FE3D" w14:textId="77777777" w:rsidR="00384D48" w:rsidRPr="008C69B3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8C69B3">
              <w:rPr>
                <w:b/>
                <w:bCs/>
                <w:rtl/>
              </w:rPr>
              <w:t>الرقم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8B2F8C" w14:textId="77777777" w:rsidR="00384D48" w:rsidRPr="008C69B3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8C69B3">
              <w:rPr>
                <w:b/>
                <w:bCs/>
                <w:rtl/>
              </w:rPr>
              <w:t>العنوان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ABC8F9" w14:textId="77777777" w:rsidR="00384D48" w:rsidRPr="008C69B3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8C69B3">
              <w:rPr>
                <w:b/>
                <w:bCs/>
                <w:rtl/>
              </w:rPr>
              <w:t>القرار</w:t>
            </w:r>
          </w:p>
        </w:tc>
      </w:tr>
      <w:tr w:rsidR="00384D48" w:rsidRPr="008C69B3" w14:paraId="5B9181D2" w14:textId="77777777" w:rsidTr="00A477C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5A4083E" w14:textId="4F74B3DB" w:rsidR="00384D48" w:rsidRPr="00293541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lang w:val="en-GB" w:eastAsia="zh-TW" w:bidi="ar-EG"/>
              </w:rPr>
            </w:pPr>
            <w:r w:rsidRPr="008C69B3">
              <w:rPr>
                <w:rtl/>
              </w:rPr>
              <w:t>التوصية</w:t>
            </w:r>
            <w:r w:rsidR="0068271E">
              <w:rPr>
                <w:rtl/>
                <w:lang w:val="fr-CH"/>
              </w:rPr>
              <w:br/>
            </w:r>
            <w:r w:rsidR="0068271E">
              <w:t>IT</w:t>
            </w:r>
            <w:r w:rsidRPr="00FF05BF">
              <w:rPr>
                <w:lang w:val="fr-CH"/>
              </w:rPr>
              <w:t xml:space="preserve">U-T F.743.27 </w:t>
            </w:r>
            <w:r w:rsidR="0068271E">
              <w:rPr>
                <w:rFonts w:hint="cs"/>
                <w:rtl/>
                <w:lang w:val="fr-CH"/>
              </w:rPr>
              <w:t>(</w:t>
            </w:r>
            <w:r w:rsidRPr="00FF05BF">
              <w:rPr>
                <w:lang w:val="fr-CH"/>
              </w:rPr>
              <w:t>F.IVSP-PGI</w:t>
            </w:r>
            <w:r w:rsidR="0068271E">
              <w:rPr>
                <w:rFonts w:hint="cs"/>
                <w:rtl/>
                <w:lang w:val="fr-CH"/>
              </w:rPr>
              <w:t xml:space="preserve"> سابقاً)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0DD26F7" w14:textId="1A5FA589" w:rsidR="00384D48" w:rsidRPr="00FF05BF" w:rsidRDefault="00384D48" w:rsidP="0068271E">
            <w:pPr>
              <w:pStyle w:val="Tabletext"/>
              <w:keepNext/>
              <w:keepLines/>
              <w:bidi/>
              <w:spacing w:before="60" w:after="60" w:line="260" w:lineRule="exact"/>
              <w:jc w:val="center"/>
              <w:textDirection w:val="tbRlV"/>
              <w:rPr>
                <w:rFonts w:ascii="Dubai" w:hAnsi="Dubai" w:cs="Dubai"/>
                <w:sz w:val="22"/>
                <w:szCs w:val="22"/>
                <w:lang w:val="en-GB" w:eastAsia="zh-TW" w:bidi="en-GB"/>
              </w:rPr>
            </w:pP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متطلبات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وإطار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عمل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منصة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المراقبة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الذكية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="0068271E">
              <w:rPr>
                <w:rFonts w:ascii="Dubai" w:hAnsi="Dubai" w:cs="Dubai"/>
                <w:sz w:val="22"/>
                <w:szCs w:val="22"/>
              </w:rPr>
              <w:br/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بالفيديو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للبنية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التحتية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لشبكة</w:t>
            </w:r>
            <w:r w:rsidRPr="00293541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293541">
              <w:rPr>
                <w:rFonts w:ascii="Dubai" w:hAnsi="Dubai" w:cs="Dubai" w:hint="eastAsia"/>
                <w:sz w:val="22"/>
                <w:szCs w:val="22"/>
                <w:rtl/>
              </w:rPr>
              <w:t>الطاقة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F2C8FB3" w14:textId="7E507C95" w:rsidR="00384D48" w:rsidRPr="0068271E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b/>
                <w:bCs/>
                <w:lang w:val="ar-SA" w:eastAsia="zh-TW" w:bidi="en-GB"/>
              </w:rPr>
            </w:pPr>
            <w:r w:rsidRPr="0068271E">
              <w:rPr>
                <w:b/>
                <w:bCs/>
                <w:rtl/>
              </w:rPr>
              <w:t>تمت الموافق</w:t>
            </w:r>
            <w:r w:rsidR="00194AA2">
              <w:rPr>
                <w:rFonts w:hint="cs"/>
                <w:b/>
                <w:bCs/>
                <w:rtl/>
              </w:rPr>
              <w:t>ة</w:t>
            </w:r>
            <w:r w:rsidRPr="0068271E">
              <w:rPr>
                <w:b/>
                <w:bCs/>
                <w:rtl/>
              </w:rPr>
              <w:t xml:space="preserve"> عليها</w:t>
            </w:r>
          </w:p>
        </w:tc>
      </w:tr>
      <w:tr w:rsidR="00384D48" w:rsidRPr="008C69B3" w14:paraId="5258C9F9" w14:textId="77777777" w:rsidTr="00A477C5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82E2D2D" w14:textId="7DCB027D" w:rsidR="00384D48" w:rsidRPr="008C69B3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rtl/>
              </w:rPr>
            </w:pPr>
            <w:r>
              <w:rPr>
                <w:rtl/>
              </w:rPr>
              <w:t>التوصية</w:t>
            </w:r>
            <w:r w:rsidR="0068271E">
              <w:rPr>
                <w:rtl/>
              </w:rPr>
              <w:br/>
            </w:r>
            <w:r w:rsidRPr="00FF05BF">
              <w:rPr>
                <w:lang w:val="fr-CH"/>
              </w:rPr>
              <w:t xml:space="preserve">ITU-T F.743.27 </w:t>
            </w:r>
            <w:r w:rsidR="0068271E">
              <w:rPr>
                <w:rFonts w:hint="cs"/>
                <w:rtl/>
                <w:lang w:val="fr-CH"/>
              </w:rPr>
              <w:t>(</w:t>
            </w:r>
            <w:r w:rsidR="0068271E" w:rsidRPr="0068271E">
              <w:rPr>
                <w:lang w:val="fr-CH"/>
              </w:rPr>
              <w:t>F.RIIS-CEC</w:t>
            </w:r>
            <w:r w:rsidR="0068271E">
              <w:rPr>
                <w:rFonts w:hint="cs"/>
                <w:rtl/>
                <w:lang w:val="fr-CH"/>
              </w:rPr>
              <w:t xml:space="preserve"> سابقاً)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881A06" w14:textId="25EAC4C3" w:rsidR="00384D48" w:rsidRPr="008C69B3" w:rsidRDefault="00384D48" w:rsidP="0068271E">
            <w:pPr>
              <w:pStyle w:val="Tabletext"/>
              <w:keepNext/>
              <w:keepLines/>
              <w:bidi/>
              <w:spacing w:before="60" w:after="60" w:line="260" w:lineRule="exact"/>
              <w:jc w:val="center"/>
              <w:textDirection w:val="tbRlV"/>
              <w:rPr>
                <w:rFonts w:ascii="Dubai" w:hAnsi="Dubai" w:cs="Dubai"/>
                <w:sz w:val="22"/>
                <w:szCs w:val="22"/>
                <w:rtl/>
              </w:rPr>
            </w:pP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الإطار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الوظيفي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ومتطلبات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نظام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التفحص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الذكي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القائم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على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التعاون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بين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أجهزة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المنصات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السحابية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وأجهزة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الحافة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في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شبكات</w:t>
            </w:r>
            <w:r w:rsidRPr="00FF05BF">
              <w:rPr>
                <w:rFonts w:ascii="Dubai" w:hAnsi="Dubai" w:cs="Dubai"/>
                <w:sz w:val="22"/>
                <w:szCs w:val="22"/>
                <w:rtl/>
              </w:rPr>
              <w:t xml:space="preserve"> 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الكهرباء</w:t>
            </w:r>
            <w:r w:rsidR="006F2E13">
              <w:rPr>
                <w:rFonts w:ascii="Dubai" w:hAnsi="Dubai" w:cs="Dubai" w:hint="cs"/>
                <w:sz w:val="22"/>
                <w:szCs w:val="22"/>
                <w:rtl/>
              </w:rPr>
              <w:t> </w:t>
            </w:r>
            <w:r w:rsidRPr="00FF05BF">
              <w:rPr>
                <w:rFonts w:ascii="Dubai" w:hAnsi="Dubai" w:cs="Dubai" w:hint="eastAsia"/>
                <w:sz w:val="22"/>
                <w:szCs w:val="22"/>
                <w:rtl/>
              </w:rPr>
              <w:t>الذكية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65B29A0" w14:textId="70C8570A" w:rsidR="00384D48" w:rsidRPr="0068271E" w:rsidRDefault="00384D48" w:rsidP="0068271E">
            <w:pPr>
              <w:keepNext/>
              <w:keepLines/>
              <w:spacing w:before="60" w:after="60" w:line="260" w:lineRule="exact"/>
              <w:jc w:val="center"/>
              <w:textDirection w:val="tbRlV"/>
              <w:rPr>
                <w:b/>
                <w:bCs/>
                <w:rtl/>
              </w:rPr>
            </w:pPr>
            <w:r w:rsidRPr="0068271E">
              <w:rPr>
                <w:b/>
                <w:bCs/>
                <w:rtl/>
              </w:rPr>
              <w:t>تمت الموافق</w:t>
            </w:r>
            <w:r w:rsidR="00194AA2">
              <w:rPr>
                <w:rFonts w:hint="cs"/>
                <w:b/>
                <w:bCs/>
                <w:rtl/>
              </w:rPr>
              <w:t>ة</w:t>
            </w:r>
            <w:r w:rsidRPr="0068271E">
              <w:rPr>
                <w:b/>
                <w:bCs/>
                <w:rtl/>
              </w:rPr>
              <w:t xml:space="preserve"> عليها</w:t>
            </w:r>
          </w:p>
        </w:tc>
      </w:tr>
    </w:tbl>
    <w:p w14:paraId="3349300C" w14:textId="23D88EEA" w:rsidR="00384D48" w:rsidRPr="008C69B3" w:rsidRDefault="00384D48" w:rsidP="0068271E">
      <w:pPr>
        <w:spacing w:before="240"/>
        <w:textDirection w:val="tbRlV"/>
        <w:rPr>
          <w:lang w:val="ar-SA" w:eastAsia="zh-TW" w:bidi="en-GB"/>
        </w:rPr>
      </w:pPr>
      <w:r>
        <w:rPr>
          <w:rtl/>
        </w:rPr>
        <w:t>والمرجعان المتعلقان</w:t>
      </w:r>
      <w:r w:rsidRPr="00280C4C">
        <w:rPr>
          <w:rtl/>
        </w:rPr>
        <w:t xml:space="preserve"> </w:t>
      </w:r>
      <w:r>
        <w:rPr>
          <w:rtl/>
        </w:rPr>
        <w:t>بهاتين التوصيتين الموافق عليهما</w:t>
      </w:r>
      <w:r w:rsidRPr="00280C4C">
        <w:rPr>
          <w:rFonts w:hint="eastAsia"/>
          <w:rtl/>
        </w:rPr>
        <w:t>،</w:t>
      </w:r>
      <w:r w:rsidRPr="00280C4C">
        <w:rPr>
          <w:rtl/>
        </w:rPr>
        <w:t xml:space="preserve"> </w:t>
      </w:r>
      <w:r>
        <w:rPr>
          <w:rtl/>
        </w:rPr>
        <w:t>واللذان تم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تحديثهما</w:t>
      </w:r>
      <w:r w:rsidRPr="00280C4C">
        <w:rPr>
          <w:rtl/>
        </w:rPr>
        <w:t xml:space="preserve"> </w:t>
      </w:r>
      <w:r>
        <w:rPr>
          <w:rtl/>
        </w:rPr>
        <w:t>استناداً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إلى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التعليقات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الواردة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خلال</w:t>
      </w:r>
      <w:r w:rsidRPr="00280C4C">
        <w:rPr>
          <w:rtl/>
        </w:rPr>
        <w:t xml:space="preserve"> </w:t>
      </w:r>
      <w:r>
        <w:rPr>
          <w:rtl/>
        </w:rPr>
        <w:t>مشاورة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الدول</w:t>
      </w:r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الأعضاء،</w:t>
      </w:r>
      <w:r w:rsidRPr="00280C4C">
        <w:rPr>
          <w:rtl/>
        </w:rPr>
        <w:t xml:space="preserve"> </w:t>
      </w:r>
      <w:r>
        <w:rPr>
          <w:rtl/>
        </w:rPr>
        <w:t>هما</w:t>
      </w:r>
      <w:r w:rsidRPr="00280C4C">
        <w:rPr>
          <w:rtl/>
        </w:rPr>
        <w:t xml:space="preserve">: </w:t>
      </w:r>
      <w:hyperlink r:id="rId14" w:history="1">
        <w:r w:rsidRPr="00B92533">
          <w:rPr>
            <w:rStyle w:val="Hyperlink"/>
          </w:rPr>
          <w:t>SG21-TD32R1/PLEN</w:t>
        </w:r>
      </w:hyperlink>
      <w:r w:rsidRPr="00280C4C">
        <w:rPr>
          <w:rtl/>
        </w:rPr>
        <w:t xml:space="preserve"> </w:t>
      </w:r>
      <w:r w:rsidRPr="00280C4C">
        <w:rPr>
          <w:rFonts w:hint="eastAsia"/>
          <w:rtl/>
        </w:rPr>
        <w:t>و</w:t>
      </w:r>
      <w:hyperlink r:id="rId15" w:history="1">
        <w:r w:rsidRPr="00B92533">
          <w:rPr>
            <w:rStyle w:val="Hyperlink"/>
          </w:rPr>
          <w:t>SG21-TD33R1/PLEN</w:t>
        </w:r>
      </w:hyperlink>
      <w:r w:rsidRPr="008C69B3">
        <w:rPr>
          <w:rtl/>
        </w:rPr>
        <w:t xml:space="preserve">. </w:t>
      </w:r>
    </w:p>
    <w:p w14:paraId="19C506FE" w14:textId="45EF5BAF" w:rsidR="00384D48" w:rsidRDefault="00384D48" w:rsidP="00B92533">
      <w:pPr>
        <w:rPr>
          <w:lang w:val="en-GB" w:eastAsia="zh-TW" w:bidi="en-GB"/>
        </w:rPr>
      </w:pPr>
      <w:r>
        <w:rPr>
          <w:rtl/>
        </w:rPr>
        <w:t>2</w:t>
      </w:r>
      <w:r>
        <w:rPr>
          <w:rtl/>
        </w:rPr>
        <w:tab/>
      </w:r>
      <w:r w:rsidRPr="0060713F">
        <w:rPr>
          <w:rFonts w:hint="eastAsia"/>
          <w:rtl/>
        </w:rPr>
        <w:t>ويمكن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النفاذ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عبر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الإنترنت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إلى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المعلومات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المتاحة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بشأن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البراءات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من</w:t>
      </w:r>
      <w:r w:rsidRPr="0060713F">
        <w:rPr>
          <w:rtl/>
        </w:rPr>
        <w:t xml:space="preserve"> </w:t>
      </w:r>
      <w:r w:rsidRPr="0060713F">
        <w:rPr>
          <w:rFonts w:hint="eastAsia"/>
          <w:rtl/>
        </w:rPr>
        <w:t>خلال</w:t>
      </w:r>
      <w:r w:rsidRPr="0060713F">
        <w:rPr>
          <w:rtl/>
        </w:rPr>
        <w:t xml:space="preserve"> </w:t>
      </w:r>
      <w:hyperlink r:id="rId16" w:history="1">
        <w:r w:rsidRPr="00B92533">
          <w:rPr>
            <w:rStyle w:val="Hyperlink"/>
            <w:rFonts w:hint="eastAsia"/>
            <w:rtl/>
          </w:rPr>
          <w:t>الموقع</w:t>
        </w:r>
        <w:r w:rsidRPr="00B92533">
          <w:rPr>
            <w:rStyle w:val="Hyperlink"/>
            <w:rtl/>
          </w:rPr>
          <w:t xml:space="preserve"> </w:t>
        </w:r>
        <w:r w:rsidRPr="00B92533">
          <w:rPr>
            <w:rStyle w:val="Hyperlink"/>
            <w:rFonts w:hint="eastAsia"/>
            <w:rtl/>
          </w:rPr>
          <w:t>الإلكتروني</w:t>
        </w:r>
        <w:r w:rsidRPr="00B92533">
          <w:rPr>
            <w:rStyle w:val="Hyperlink"/>
            <w:rtl/>
          </w:rPr>
          <w:t xml:space="preserve"> </w:t>
        </w:r>
        <w:r w:rsidRPr="00B92533">
          <w:rPr>
            <w:rStyle w:val="Hyperlink"/>
            <w:rFonts w:hint="eastAsia"/>
            <w:rtl/>
          </w:rPr>
          <w:t>لقطاع</w:t>
        </w:r>
        <w:r w:rsidRPr="00B92533">
          <w:rPr>
            <w:rStyle w:val="Hyperlink"/>
            <w:rtl/>
          </w:rPr>
          <w:t xml:space="preserve"> </w:t>
        </w:r>
        <w:r w:rsidRPr="00B92533">
          <w:rPr>
            <w:rStyle w:val="Hyperlink"/>
            <w:rFonts w:hint="eastAsia"/>
            <w:rtl/>
          </w:rPr>
          <w:t>تقييس</w:t>
        </w:r>
        <w:r w:rsidRPr="00B92533">
          <w:rPr>
            <w:rStyle w:val="Hyperlink"/>
            <w:rtl/>
          </w:rPr>
          <w:t xml:space="preserve"> </w:t>
        </w:r>
        <w:r w:rsidRPr="00B92533">
          <w:rPr>
            <w:rStyle w:val="Hyperlink"/>
            <w:rFonts w:hint="eastAsia"/>
            <w:rtl/>
          </w:rPr>
          <w:t>الاتصالات</w:t>
        </w:r>
      </w:hyperlink>
      <w:r w:rsidRPr="0060713F">
        <w:rPr>
          <w:rtl/>
        </w:rPr>
        <w:t>.</w:t>
      </w:r>
    </w:p>
    <w:p w14:paraId="36A9EE74" w14:textId="7AB68785" w:rsidR="00384D48" w:rsidRDefault="00384D48" w:rsidP="00344567">
      <w:pPr>
        <w:keepNext/>
        <w:rPr>
          <w:rtl/>
          <w:lang w:eastAsia="zh-TW"/>
        </w:rPr>
      </w:pPr>
      <w:r>
        <w:rPr>
          <w:lang w:val="en-GB" w:eastAsia="zh-TW" w:bidi="en-GB"/>
        </w:rPr>
        <w:lastRenderedPageBreak/>
        <w:t>3</w:t>
      </w:r>
      <w:r>
        <w:rPr>
          <w:lang w:val="en-GB" w:eastAsia="zh-TW" w:bidi="en-GB"/>
        </w:rPr>
        <w:tab/>
      </w:r>
      <w:r w:rsidRPr="003D2052">
        <w:rPr>
          <w:rFonts w:hint="eastAsia"/>
          <w:rtl/>
          <w:lang w:val="en-GB" w:eastAsia="zh-TW"/>
        </w:rPr>
        <w:t>وسيتاح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قريباً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نص</w:t>
      </w:r>
      <w:r w:rsidRPr="003D2052">
        <w:rPr>
          <w:rtl/>
          <w:lang w:val="en-GB" w:eastAsia="zh-TW"/>
        </w:rPr>
        <w:t xml:space="preserve"> </w:t>
      </w:r>
      <w:r>
        <w:rPr>
          <w:rtl/>
          <w:lang w:val="en-GB" w:eastAsia="zh-TW"/>
        </w:rPr>
        <w:t>التوصيتين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في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صيغته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السابقة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للنشر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في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الموقع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الإلكتروني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لقطاع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تقييس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الاتصالات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في</w:t>
      </w:r>
      <w:r w:rsidRPr="003D2052">
        <w:rPr>
          <w:rtl/>
          <w:lang w:val="en-GB" w:eastAsia="zh-TW"/>
        </w:rPr>
        <w:t xml:space="preserve"> </w:t>
      </w:r>
      <w:r w:rsidRPr="003D2052">
        <w:rPr>
          <w:rFonts w:hint="eastAsia"/>
          <w:rtl/>
          <w:lang w:val="en-GB" w:eastAsia="zh-TW"/>
        </w:rPr>
        <w:t>العنوان</w:t>
      </w:r>
      <w:r>
        <w:rPr>
          <w:rtl/>
          <w:lang w:eastAsia="zh-TW"/>
        </w:rPr>
        <w:t xml:space="preserve">: </w:t>
      </w:r>
      <w:hyperlink r:id="rId17" w:history="1">
        <w:r w:rsidRPr="003D2052">
          <w:rPr>
            <w:rStyle w:val="Hyperlink"/>
            <w:lang w:val="en-GB" w:eastAsia="zh-TW"/>
          </w:rPr>
          <w:t>https://www.itu.int/itu-t/recommendations/</w:t>
        </w:r>
      </w:hyperlink>
      <w:r>
        <w:rPr>
          <w:rtl/>
          <w:lang w:eastAsia="zh-TW"/>
        </w:rPr>
        <w:t>.</w:t>
      </w:r>
    </w:p>
    <w:p w14:paraId="302DAA1D" w14:textId="70877F23" w:rsidR="00384D48" w:rsidRPr="003D2052" w:rsidRDefault="00384D48" w:rsidP="00344567">
      <w:pPr>
        <w:keepNext/>
        <w:textDirection w:val="tbRlV"/>
        <w:rPr>
          <w:rtl/>
          <w:lang w:eastAsia="zh-TW"/>
        </w:rPr>
      </w:pPr>
      <w:r>
        <w:rPr>
          <w:rtl/>
          <w:lang w:eastAsia="zh-TW"/>
        </w:rPr>
        <w:t>4</w:t>
      </w:r>
      <w:r>
        <w:rPr>
          <w:rtl/>
          <w:lang w:eastAsia="zh-TW"/>
        </w:rPr>
        <w:tab/>
      </w:r>
      <w:r w:rsidRPr="003D2052">
        <w:rPr>
          <w:rFonts w:hint="eastAsia"/>
          <w:rtl/>
          <w:lang w:eastAsia="zh-TW"/>
        </w:rPr>
        <w:t>وسينشر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الاتحاد</w:t>
      </w:r>
      <w:r w:rsidRPr="003D2052">
        <w:rPr>
          <w:rtl/>
          <w:lang w:eastAsia="zh-TW"/>
        </w:rPr>
        <w:t xml:space="preserve"> </w:t>
      </w:r>
      <w:r>
        <w:rPr>
          <w:rtl/>
          <w:lang w:eastAsia="zh-TW"/>
        </w:rPr>
        <w:t>نص التوصيتين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الموافَق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عليه</w:t>
      </w:r>
      <w:r w:rsidR="00B92533">
        <w:rPr>
          <w:rFonts w:hint="cs"/>
          <w:rtl/>
          <w:lang w:eastAsia="zh-TW"/>
        </w:rPr>
        <w:t>م</w:t>
      </w:r>
      <w:r w:rsidRPr="003D2052">
        <w:rPr>
          <w:rFonts w:hint="eastAsia"/>
          <w:rtl/>
          <w:lang w:eastAsia="zh-TW"/>
        </w:rPr>
        <w:t>ا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في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أقرب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وقت</w:t>
      </w:r>
      <w:r w:rsidRPr="003D2052">
        <w:rPr>
          <w:rtl/>
          <w:lang w:eastAsia="zh-TW"/>
        </w:rPr>
        <w:t xml:space="preserve"> </w:t>
      </w:r>
      <w:r w:rsidRPr="003D2052">
        <w:rPr>
          <w:rFonts w:hint="eastAsia"/>
          <w:rtl/>
          <w:lang w:eastAsia="zh-TW"/>
        </w:rPr>
        <w:t>ممكن</w:t>
      </w:r>
      <w:r w:rsidRPr="003D2052">
        <w:rPr>
          <w:rtl/>
          <w:lang w:eastAsia="zh-TW"/>
        </w:rPr>
        <w:t>.</w:t>
      </w:r>
    </w:p>
    <w:p w14:paraId="4096244B" w14:textId="2E33349A" w:rsidR="00E84438" w:rsidRPr="00384D48" w:rsidRDefault="00E84438" w:rsidP="00891703">
      <w:pPr>
        <w:spacing w:before="240"/>
        <w:jc w:val="left"/>
        <w:rPr>
          <w:rtl/>
          <w:lang w:bidi="ar-EG"/>
        </w:rPr>
      </w:pPr>
      <w:r w:rsidRPr="00384D48">
        <w:rPr>
          <w:rFonts w:hint="cs"/>
          <w:rtl/>
          <w:lang w:bidi="ar-EG"/>
        </w:rPr>
        <w:t>وتفضلوا بقبول فائق التقدير والاحترام.</w:t>
      </w:r>
    </w:p>
    <w:p w14:paraId="6E9FD475" w14:textId="7D75B7B5" w:rsidR="00E84438" w:rsidRPr="00D517B2" w:rsidRDefault="007B7A40" w:rsidP="00EF5B33">
      <w:pPr>
        <w:spacing w:before="84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280B49B2" wp14:editId="7AF1E975">
            <wp:simplePos x="0" y="0"/>
            <wp:positionH relativeFrom="margin">
              <wp:align>right</wp:align>
            </wp:positionH>
            <wp:positionV relativeFrom="paragraph">
              <wp:posOffset>99694</wp:posOffset>
            </wp:positionV>
            <wp:extent cx="708736" cy="339725"/>
            <wp:effectExtent l="0" t="0" r="0" b="3175"/>
            <wp:wrapNone/>
            <wp:docPr id="1399107986" name="Picture 2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07986" name="Picture 2" descr="A black and white text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6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031" w:rsidRPr="00384D48">
        <w:rPr>
          <w:rFonts w:hint="cs"/>
          <w:rtl/>
          <w:lang w:bidi="ar-SY"/>
        </w:rPr>
        <w:t>سيزو أونوي</w:t>
      </w:r>
      <w:r w:rsidR="00E84438" w:rsidRPr="00384D48">
        <w:rPr>
          <w:rtl/>
          <w:lang w:bidi="ar-SY"/>
        </w:rPr>
        <w:br/>
      </w:r>
      <w:r w:rsidR="00E84438" w:rsidRPr="00384D48">
        <w:rPr>
          <w:rFonts w:hint="cs"/>
          <w:rtl/>
          <w:lang w:bidi="ar-SY"/>
        </w:rPr>
        <w:t>مدير</w:t>
      </w:r>
      <w:r w:rsidR="00E84438" w:rsidRPr="00384D48">
        <w:rPr>
          <w:rtl/>
          <w:lang w:bidi="ar-SY"/>
        </w:rPr>
        <w:t xml:space="preserve"> </w:t>
      </w:r>
      <w:r w:rsidR="00E84438" w:rsidRPr="00384D48">
        <w:rPr>
          <w:rFonts w:hint="cs"/>
          <w:rtl/>
          <w:lang w:bidi="ar-SY"/>
        </w:rPr>
        <w:t>مكتب</w:t>
      </w:r>
      <w:r w:rsidR="00E84438" w:rsidRPr="00384D48">
        <w:rPr>
          <w:rtl/>
          <w:lang w:bidi="ar-SY"/>
        </w:rPr>
        <w:t xml:space="preserve"> </w:t>
      </w:r>
      <w:r w:rsidR="00E84438" w:rsidRPr="00384D48">
        <w:rPr>
          <w:rFonts w:hint="cs"/>
          <w:rtl/>
          <w:lang w:bidi="ar-SY"/>
        </w:rPr>
        <w:t>تقييس</w:t>
      </w:r>
      <w:r w:rsidR="00E84438" w:rsidRPr="00384D48">
        <w:rPr>
          <w:rtl/>
          <w:lang w:bidi="ar-SY"/>
        </w:rPr>
        <w:t xml:space="preserve"> </w:t>
      </w:r>
      <w:r w:rsidR="00E84438" w:rsidRPr="00384D48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CAE9E" w14:textId="77777777" w:rsidR="00FB55C2" w:rsidRDefault="00FB55C2" w:rsidP="006C3242">
      <w:pPr>
        <w:spacing w:before="0" w:line="240" w:lineRule="auto"/>
      </w:pPr>
      <w:r>
        <w:separator/>
      </w:r>
    </w:p>
  </w:endnote>
  <w:endnote w:type="continuationSeparator" w:id="0">
    <w:p w14:paraId="429BB166" w14:textId="77777777" w:rsidR="00FB55C2" w:rsidRDefault="00FB55C2" w:rsidP="006C3242">
      <w:pPr>
        <w:spacing w:before="0" w:line="240" w:lineRule="auto"/>
      </w:pPr>
      <w:r>
        <w:continuationSeparator/>
      </w:r>
    </w:p>
  </w:endnote>
  <w:endnote w:type="continuationNotice" w:id="1">
    <w:p w14:paraId="6E501682" w14:textId="77777777" w:rsidR="00FB55C2" w:rsidRDefault="00FB55C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2A3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1345" w14:textId="77777777" w:rsidR="00FB55C2" w:rsidRDefault="00FB55C2" w:rsidP="006C3242">
      <w:pPr>
        <w:spacing w:before="0" w:line="240" w:lineRule="auto"/>
      </w:pPr>
      <w:r>
        <w:separator/>
      </w:r>
    </w:p>
  </w:footnote>
  <w:footnote w:type="continuationSeparator" w:id="0">
    <w:p w14:paraId="6B827060" w14:textId="77777777" w:rsidR="00FB55C2" w:rsidRDefault="00FB55C2" w:rsidP="006C3242">
      <w:pPr>
        <w:spacing w:before="0" w:line="240" w:lineRule="auto"/>
      </w:pPr>
      <w:r>
        <w:continuationSeparator/>
      </w:r>
    </w:p>
  </w:footnote>
  <w:footnote w:type="continuationNotice" w:id="1">
    <w:p w14:paraId="4B58B1CE" w14:textId="77777777" w:rsidR="00FB55C2" w:rsidRDefault="00FB55C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1122C" w14:textId="47FB59FA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127811">
      <w:rPr>
        <w:sz w:val="20"/>
        <w:szCs w:val="20"/>
        <w:lang w:bidi="ar-EG"/>
      </w:rPr>
      <w:t>TSB Circular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6857094">
    <w:abstractNumId w:val="9"/>
  </w:num>
  <w:num w:numId="2" w16cid:durableId="2054882210">
    <w:abstractNumId w:val="7"/>
  </w:num>
  <w:num w:numId="3" w16cid:durableId="1386636246">
    <w:abstractNumId w:val="6"/>
  </w:num>
  <w:num w:numId="4" w16cid:durableId="150757070">
    <w:abstractNumId w:val="5"/>
  </w:num>
  <w:num w:numId="5" w16cid:durableId="2004163069">
    <w:abstractNumId w:val="4"/>
  </w:num>
  <w:num w:numId="6" w16cid:durableId="1419211497">
    <w:abstractNumId w:val="8"/>
  </w:num>
  <w:num w:numId="7" w16cid:durableId="1657493328">
    <w:abstractNumId w:val="3"/>
  </w:num>
  <w:num w:numId="8" w16cid:durableId="406197163">
    <w:abstractNumId w:val="2"/>
  </w:num>
  <w:num w:numId="9" w16cid:durableId="1850171880">
    <w:abstractNumId w:val="1"/>
  </w:num>
  <w:num w:numId="10" w16cid:durableId="664668124">
    <w:abstractNumId w:val="0"/>
  </w:num>
  <w:num w:numId="11" w16cid:durableId="11570654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8"/>
    <w:rsid w:val="00002A63"/>
    <w:rsid w:val="0006468A"/>
    <w:rsid w:val="00090574"/>
    <w:rsid w:val="000C1C0E"/>
    <w:rsid w:val="000C548A"/>
    <w:rsid w:val="000E327F"/>
    <w:rsid w:val="00127811"/>
    <w:rsid w:val="00146FE2"/>
    <w:rsid w:val="0018608B"/>
    <w:rsid w:val="00193B57"/>
    <w:rsid w:val="00194AA2"/>
    <w:rsid w:val="001C0169"/>
    <w:rsid w:val="001C6DF9"/>
    <w:rsid w:val="001D1D50"/>
    <w:rsid w:val="001D6745"/>
    <w:rsid w:val="001E2788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44567"/>
    <w:rsid w:val="00357185"/>
    <w:rsid w:val="00383829"/>
    <w:rsid w:val="00384D48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13C4"/>
    <w:rsid w:val="0058491B"/>
    <w:rsid w:val="00592EA5"/>
    <w:rsid w:val="00595B52"/>
    <w:rsid w:val="00596808"/>
    <w:rsid w:val="005A3170"/>
    <w:rsid w:val="006019C6"/>
    <w:rsid w:val="00647114"/>
    <w:rsid w:val="00657004"/>
    <w:rsid w:val="006635B2"/>
    <w:rsid w:val="00677396"/>
    <w:rsid w:val="0068271E"/>
    <w:rsid w:val="0069200F"/>
    <w:rsid w:val="006A65CB"/>
    <w:rsid w:val="006C1530"/>
    <w:rsid w:val="006C1749"/>
    <w:rsid w:val="006C3242"/>
    <w:rsid w:val="006C7CC0"/>
    <w:rsid w:val="006D5D73"/>
    <w:rsid w:val="006E1BAD"/>
    <w:rsid w:val="006E6264"/>
    <w:rsid w:val="006F2E13"/>
    <w:rsid w:val="006F63F7"/>
    <w:rsid w:val="007025C7"/>
    <w:rsid w:val="00706D7A"/>
    <w:rsid w:val="007139D8"/>
    <w:rsid w:val="00722F0D"/>
    <w:rsid w:val="0074420E"/>
    <w:rsid w:val="00783E26"/>
    <w:rsid w:val="007B7A40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91703"/>
    <w:rsid w:val="008A7F84"/>
    <w:rsid w:val="0091702E"/>
    <w:rsid w:val="00923B0C"/>
    <w:rsid w:val="00926F44"/>
    <w:rsid w:val="0094021C"/>
    <w:rsid w:val="0094432F"/>
    <w:rsid w:val="0095297B"/>
    <w:rsid w:val="00952F86"/>
    <w:rsid w:val="00982B28"/>
    <w:rsid w:val="009D313F"/>
    <w:rsid w:val="00A47A5A"/>
    <w:rsid w:val="00A52C7D"/>
    <w:rsid w:val="00A6683B"/>
    <w:rsid w:val="00A77C90"/>
    <w:rsid w:val="00A9156F"/>
    <w:rsid w:val="00A92D0B"/>
    <w:rsid w:val="00A97F94"/>
    <w:rsid w:val="00AA7EA2"/>
    <w:rsid w:val="00AB0BC9"/>
    <w:rsid w:val="00AE6BE0"/>
    <w:rsid w:val="00AF6B5C"/>
    <w:rsid w:val="00B03099"/>
    <w:rsid w:val="00B05BC8"/>
    <w:rsid w:val="00B06D7F"/>
    <w:rsid w:val="00B44329"/>
    <w:rsid w:val="00B64B47"/>
    <w:rsid w:val="00B916A7"/>
    <w:rsid w:val="00B92533"/>
    <w:rsid w:val="00B95156"/>
    <w:rsid w:val="00BB0F08"/>
    <w:rsid w:val="00C002DE"/>
    <w:rsid w:val="00C50147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EF5B33"/>
    <w:rsid w:val="00F058DC"/>
    <w:rsid w:val="00F24FC4"/>
    <w:rsid w:val="00F2676C"/>
    <w:rsid w:val="00F52941"/>
    <w:rsid w:val="00F84366"/>
    <w:rsid w:val="00F85089"/>
    <w:rsid w:val="00F974C5"/>
    <w:rsid w:val="00FA6F46"/>
    <w:rsid w:val="00FB55C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A1735"/>
  <w15:chartTrackingRefBased/>
  <w15:docId w15:val="{5D2632B2-5C55-4ED4-9449-55E13101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384D48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CG Times" w:cs="Simplified Arabic"/>
      <w:sz w:val="24"/>
      <w:szCs w:val="30"/>
    </w:rPr>
  </w:style>
  <w:style w:type="character" w:customStyle="1" w:styleId="TabletextChar">
    <w:name w:val="Table_text Char"/>
    <w:link w:val="Tabletext"/>
    <w:qFormat/>
    <w:locked/>
    <w:rsid w:val="00384D48"/>
    <w:rPr>
      <w:rFonts w:ascii="Times New Roman" w:eastAsia="Times New Roman" w:hAnsi="CG Times" w:cs="Simplified Arabic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6827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5297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34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21-250113-TD-PLEN-0033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21-250113-TD-PLEN-0032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D9A1B-FA1E-41FC-85FC-8923FA5B7080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93639-C7E0-4214-B5AD-F075B7E3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52939-0AF2-4F95-A418-1617F242B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20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Braud, Olivia</cp:lastModifiedBy>
  <cp:revision>11</cp:revision>
  <cp:lastPrinted>2025-02-13T13:22:00Z</cp:lastPrinted>
  <dcterms:created xsi:type="dcterms:W3CDTF">2025-02-10T15:53:00Z</dcterms:created>
  <dcterms:modified xsi:type="dcterms:W3CDTF">2025-02-13T13:23:00Z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