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6555F5C" w14:textId="77777777" w:rsidTr="00D517B2">
        <w:trPr>
          <w:cantSplit/>
          <w:trHeight w:val="1134"/>
        </w:trPr>
        <w:tc>
          <w:tcPr>
            <w:tcW w:w="798" w:type="pct"/>
          </w:tcPr>
          <w:p w14:paraId="5A46BAB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8CFB4F9" wp14:editId="635E9A9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676C29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5151F0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3682"/>
        <w:gridCol w:w="4395"/>
      </w:tblGrid>
      <w:tr w:rsidR="00D517B2" w:rsidRPr="00D517B2" w14:paraId="1228EB3E" w14:textId="77777777" w:rsidTr="00E608CE">
        <w:trPr>
          <w:cantSplit/>
          <w:jc w:val="center"/>
        </w:trPr>
        <w:tc>
          <w:tcPr>
            <w:tcW w:w="810" w:type="pct"/>
          </w:tcPr>
          <w:p w14:paraId="54382F4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10" w:type="pct"/>
          </w:tcPr>
          <w:p w14:paraId="0A799A7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7628B15B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2330CAD" w14:textId="77777777" w:rsidTr="00E608CE">
        <w:trPr>
          <w:cantSplit/>
          <w:jc w:val="center"/>
        </w:trPr>
        <w:tc>
          <w:tcPr>
            <w:tcW w:w="810" w:type="pct"/>
          </w:tcPr>
          <w:p w14:paraId="46D574AD" w14:textId="77777777" w:rsidR="00D517B2" w:rsidRPr="00D517B2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10" w:type="pct"/>
          </w:tcPr>
          <w:p w14:paraId="05E9F1CF" w14:textId="77777777" w:rsidR="00D517B2" w:rsidRPr="00D517B2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7AEE4752" w14:textId="1A692717" w:rsidR="00D517B2" w:rsidRPr="00D517B2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608CE">
              <w:rPr>
                <w:rFonts w:hint="cs"/>
                <w:position w:val="2"/>
                <w:rtl/>
              </w:rPr>
              <w:t>28 يناير</w:t>
            </w:r>
            <w:r w:rsidR="007139D8">
              <w:rPr>
                <w:rFonts w:hint="cs"/>
                <w:position w:val="2"/>
                <w:rtl/>
              </w:rPr>
              <w:t xml:space="preserve"> </w:t>
            </w:r>
            <w:r w:rsidR="007139D8">
              <w:rPr>
                <w:position w:val="2"/>
              </w:rPr>
              <w:t>2025</w:t>
            </w:r>
          </w:p>
        </w:tc>
      </w:tr>
      <w:tr w:rsidR="001E2788" w:rsidRPr="00D517B2" w14:paraId="07E7A4B0" w14:textId="77777777" w:rsidTr="00E608CE">
        <w:trPr>
          <w:cantSplit/>
          <w:jc w:val="center"/>
        </w:trPr>
        <w:tc>
          <w:tcPr>
            <w:tcW w:w="810" w:type="pct"/>
          </w:tcPr>
          <w:p w14:paraId="1B7A144E" w14:textId="77777777" w:rsidR="001E2788" w:rsidRPr="00A9156F" w:rsidRDefault="001E278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10" w:type="pct"/>
          </w:tcPr>
          <w:p w14:paraId="3569A471" w14:textId="68E05F8F" w:rsidR="001E2788" w:rsidRPr="00D517B2" w:rsidRDefault="00E608CE" w:rsidP="00E608CE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E608CE">
              <w:rPr>
                <w:b/>
                <w:position w:val="2"/>
                <w:lang w:val="en-GB"/>
              </w:rPr>
              <w:t>TSB Circular 16</w:t>
            </w:r>
            <w:r w:rsidRPr="00E608CE">
              <w:rPr>
                <w:b/>
                <w:position w:val="2"/>
                <w:lang w:val="en-GB"/>
              </w:rPr>
              <w:br/>
              <w:t>SG12</w:t>
            </w:r>
          </w:p>
        </w:tc>
        <w:tc>
          <w:tcPr>
            <w:tcW w:w="2280" w:type="pct"/>
            <w:vMerge w:val="restart"/>
          </w:tcPr>
          <w:p w14:paraId="30D64E0E" w14:textId="77777777" w:rsidR="001E2788" w:rsidRPr="00E608CE" w:rsidRDefault="001E2788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608CE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87D421C" w14:textId="77777777" w:rsidR="001E2788" w:rsidRPr="00E608CE" w:rsidRDefault="001E278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608CE">
              <w:rPr>
                <w:rFonts w:hint="cs"/>
                <w:position w:val="2"/>
                <w:rtl/>
              </w:rPr>
              <w:t>-</w:t>
            </w:r>
            <w:r w:rsidRPr="00E608CE">
              <w:rPr>
                <w:position w:val="2"/>
                <w:rtl/>
              </w:rPr>
              <w:tab/>
            </w:r>
            <w:r w:rsidRPr="00E608CE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85DE989" w14:textId="77777777" w:rsidR="001E2788" w:rsidRPr="00E608CE" w:rsidRDefault="001E2788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E608CE">
              <w:rPr>
                <w:rFonts w:hint="cs"/>
                <w:position w:val="2"/>
                <w:rtl/>
              </w:rPr>
              <w:t>-</w:t>
            </w:r>
            <w:r w:rsidRPr="00E608CE">
              <w:rPr>
                <w:position w:val="2"/>
                <w:rtl/>
              </w:rPr>
              <w:tab/>
            </w:r>
            <w:r w:rsidRPr="00E608CE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75D523E7" w14:textId="77777777" w:rsidR="001E2788" w:rsidRPr="00E608CE" w:rsidRDefault="001E2788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E608CE">
              <w:rPr>
                <w:rFonts w:hint="cs"/>
                <w:position w:val="2"/>
                <w:rtl/>
              </w:rPr>
              <w:t>-</w:t>
            </w:r>
            <w:r w:rsidRPr="00E608CE">
              <w:rPr>
                <w:position w:val="2"/>
                <w:rtl/>
              </w:rPr>
              <w:tab/>
            </w:r>
            <w:r w:rsidRPr="00E608CE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CCF4DC8" w14:textId="77777777" w:rsidR="001E2788" w:rsidRPr="00E608CE" w:rsidRDefault="001E278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608CE">
              <w:rPr>
                <w:rFonts w:hint="cs"/>
                <w:position w:val="2"/>
                <w:rtl/>
              </w:rPr>
              <w:t>-</w:t>
            </w:r>
            <w:r w:rsidRPr="00E608CE">
              <w:rPr>
                <w:position w:val="2"/>
                <w:rtl/>
              </w:rPr>
              <w:tab/>
            </w:r>
            <w:r w:rsidRPr="00E608CE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E608CE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E608CE" w:rsidRPr="00D517B2" w14:paraId="055DC13F" w14:textId="77777777" w:rsidTr="00E608CE">
        <w:trPr>
          <w:cantSplit/>
          <w:jc w:val="center"/>
        </w:trPr>
        <w:tc>
          <w:tcPr>
            <w:tcW w:w="810" w:type="pct"/>
          </w:tcPr>
          <w:p w14:paraId="5CA59BCC" w14:textId="0026E1AC" w:rsidR="00E608CE" w:rsidRPr="00A9156F" w:rsidRDefault="00E608CE" w:rsidP="00E608CE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10" w:type="pct"/>
          </w:tcPr>
          <w:p w14:paraId="5856D339" w14:textId="503BE859" w:rsidR="00E608CE" w:rsidRPr="00D517B2" w:rsidRDefault="00E608CE" w:rsidP="00E608CE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B09B7">
              <w:t xml:space="preserve">+41 22 730 </w:t>
            </w:r>
            <w:r>
              <w:t>6828</w:t>
            </w:r>
          </w:p>
        </w:tc>
        <w:tc>
          <w:tcPr>
            <w:tcW w:w="2280" w:type="pct"/>
            <w:vMerge/>
          </w:tcPr>
          <w:p w14:paraId="15F2240D" w14:textId="77777777" w:rsidR="00E608CE" w:rsidRPr="00E608CE" w:rsidRDefault="00E608CE" w:rsidP="00E608C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608CE" w:rsidRPr="00D517B2" w14:paraId="4EB5CBE4" w14:textId="77777777" w:rsidTr="00E608CE">
        <w:trPr>
          <w:cantSplit/>
          <w:jc w:val="center"/>
        </w:trPr>
        <w:tc>
          <w:tcPr>
            <w:tcW w:w="810" w:type="pct"/>
          </w:tcPr>
          <w:p w14:paraId="78CB3C0A" w14:textId="2B0C7DF2" w:rsidR="00E608CE" w:rsidRDefault="00E608CE" w:rsidP="00E608C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الفاكس:</w:t>
            </w:r>
          </w:p>
        </w:tc>
        <w:tc>
          <w:tcPr>
            <w:tcW w:w="1910" w:type="pct"/>
          </w:tcPr>
          <w:p w14:paraId="27CB47A4" w14:textId="2AFEDF84" w:rsidR="00E608CE" w:rsidRDefault="00E608CE" w:rsidP="00E608C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B09B7">
              <w:t>+41 22 730 5853</w:t>
            </w:r>
          </w:p>
        </w:tc>
        <w:tc>
          <w:tcPr>
            <w:tcW w:w="2280" w:type="pct"/>
            <w:vMerge/>
          </w:tcPr>
          <w:p w14:paraId="3C8829BB" w14:textId="77777777" w:rsidR="00E608CE" w:rsidRPr="00E608CE" w:rsidRDefault="00E608CE" w:rsidP="00E608C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608CE" w:rsidRPr="00D517B2" w14:paraId="06558A7B" w14:textId="77777777" w:rsidTr="00E608CE">
        <w:trPr>
          <w:cantSplit/>
          <w:jc w:val="center"/>
        </w:trPr>
        <w:tc>
          <w:tcPr>
            <w:tcW w:w="810" w:type="pct"/>
          </w:tcPr>
          <w:p w14:paraId="2F5BC551" w14:textId="4978834F" w:rsidR="00E608CE" w:rsidRPr="00A9156F" w:rsidRDefault="00E608CE" w:rsidP="00E608C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10" w:type="pct"/>
          </w:tcPr>
          <w:p w14:paraId="6EAD85F2" w14:textId="1989A9FE" w:rsidR="00E608CE" w:rsidRPr="00D517B2" w:rsidRDefault="00E608CE" w:rsidP="00E608CE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Pr="00CC7F8D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2280" w:type="pct"/>
            <w:vMerge/>
          </w:tcPr>
          <w:p w14:paraId="11F886BC" w14:textId="77777777" w:rsidR="00E608CE" w:rsidRPr="00E608CE" w:rsidRDefault="00E608CE" w:rsidP="00E608C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8033007" w14:textId="77777777" w:rsidTr="006F0878">
        <w:trPr>
          <w:cantSplit/>
          <w:trHeight w:val="885"/>
          <w:jc w:val="center"/>
        </w:trPr>
        <w:tc>
          <w:tcPr>
            <w:tcW w:w="810" w:type="pct"/>
          </w:tcPr>
          <w:p w14:paraId="1AAE3C4B" w14:textId="7CC9DD8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10" w:type="pct"/>
          </w:tcPr>
          <w:p w14:paraId="294BD826" w14:textId="4D4B58DB" w:rsidR="00CE1C08" w:rsidRPr="006E1BAD" w:rsidRDefault="00CE1C08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280" w:type="pct"/>
          </w:tcPr>
          <w:p w14:paraId="5DAFE78B" w14:textId="77777777" w:rsidR="00CE1C08" w:rsidRPr="00E608CE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E608CE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5ABB9CA" w14:textId="1C224203" w:rsidR="00CE1C08" w:rsidRPr="00E608CE" w:rsidRDefault="00CE1C08" w:rsidP="00E608C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E608CE">
              <w:rPr>
                <w:rFonts w:hint="cs"/>
                <w:position w:val="2"/>
                <w:rtl/>
              </w:rPr>
              <w:t>-</w:t>
            </w:r>
            <w:r w:rsidRPr="00E608CE">
              <w:rPr>
                <w:position w:val="2"/>
                <w:rtl/>
              </w:rPr>
              <w:tab/>
            </w:r>
            <w:r w:rsidR="00E608CE" w:rsidRPr="00E608CE">
              <w:rPr>
                <w:rFonts w:eastAsia="Times New Roman"/>
                <w:rtl/>
              </w:rPr>
              <w:t xml:space="preserve"> </w:t>
            </w:r>
            <w:r w:rsidR="00E608CE" w:rsidRPr="00E608CE">
              <w:rPr>
                <w:rFonts w:eastAsia="Times New Roman"/>
                <w:position w:val="2"/>
                <w:rtl/>
                <w:lang w:eastAsia="en-US"/>
              </w:rPr>
              <w:t>رؤساء لجان دراسات قطاع تقييس الاتصالات ونوابهم؛</w:t>
            </w:r>
          </w:p>
        </w:tc>
      </w:tr>
      <w:tr w:rsidR="00CE1C08" w:rsidRPr="00D517B2" w14:paraId="2086AE22" w14:textId="77777777" w:rsidTr="001E2788">
        <w:trPr>
          <w:cantSplit/>
          <w:jc w:val="center"/>
        </w:trPr>
        <w:tc>
          <w:tcPr>
            <w:tcW w:w="810" w:type="pct"/>
          </w:tcPr>
          <w:p w14:paraId="0C64DE2B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14ABDE95" w14:textId="19A07DBE" w:rsidR="00CE1C08" w:rsidRPr="00D517B2" w:rsidRDefault="00E608CE" w:rsidP="00E608C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E608CE">
              <w:rPr>
                <w:b/>
                <w:bCs/>
                <w:position w:val="2"/>
                <w:rtl/>
              </w:rPr>
              <w:t>دعوة للمشاركة: تطوير تقنيات قياس جودة الفيديو بدون مرجع</w:t>
            </w:r>
          </w:p>
        </w:tc>
      </w:tr>
    </w:tbl>
    <w:p w14:paraId="69D30413" w14:textId="71FB46B9" w:rsidR="00D517B2" w:rsidRPr="00D517B2" w:rsidRDefault="00D517B2" w:rsidP="006F0878">
      <w:pPr>
        <w:spacing w:before="24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F502FC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C8B2087" w14:textId="1AFE4945" w:rsidR="00E608CE" w:rsidRPr="00E608CE" w:rsidRDefault="00E608CE" w:rsidP="00E608CE">
      <w:pPr>
        <w:rPr>
          <w:lang w:val="ar-SA" w:bidi="ar-SY"/>
        </w:rPr>
      </w:pPr>
      <w:r w:rsidRPr="00E608CE">
        <w:rPr>
          <w:rtl/>
        </w:rPr>
        <w:t xml:space="preserve">وافقت </w:t>
      </w:r>
      <w:r w:rsidRPr="00E608CE">
        <w:rPr>
          <w:b/>
          <w:bCs/>
          <w:rtl/>
        </w:rPr>
        <w:t>لجنة الدراسات 12 بقطاع تقييس الاتصالات</w:t>
      </w:r>
      <w:r w:rsidRPr="00E608CE">
        <w:rPr>
          <w:rtl/>
        </w:rPr>
        <w:t xml:space="preserve"> (الأداء وجودة الخدمة وجودة التجربة) في اجتماعها الأخير في جنيف في يناير 2025 على خطة الاختبار لوضع التوصية ITU-T J.noref بشأن </w:t>
      </w:r>
      <w:r w:rsidRPr="00E608CE">
        <w:rPr>
          <w:b/>
          <w:bCs/>
          <w:rtl/>
        </w:rPr>
        <w:t>تقنيات قياس جودة الفيديو بدون مرجع</w:t>
      </w:r>
      <w:r w:rsidRPr="00E608CE">
        <w:rPr>
          <w:rtl/>
        </w:rPr>
        <w:t>.</w:t>
      </w:r>
    </w:p>
    <w:p w14:paraId="706BA406" w14:textId="698D32AA" w:rsidR="00E608CE" w:rsidRPr="00E608CE" w:rsidRDefault="00E608CE" w:rsidP="00E608CE">
      <w:pPr>
        <w:rPr>
          <w:lang w:bidi="ar-SY"/>
        </w:rPr>
      </w:pPr>
      <w:r w:rsidRPr="00E608CE">
        <w:rPr>
          <w:rtl/>
        </w:rPr>
        <w:t>ويمكن أن تشمل العناصر الرئيسية لخطة الاختبار ما يلي:</w:t>
      </w:r>
    </w:p>
    <w:p w14:paraId="151DD338" w14:textId="336E36A1" w:rsidR="00E608CE" w:rsidRPr="00E608CE" w:rsidRDefault="00E608CE" w:rsidP="00E608CE">
      <w:pPr>
        <w:pStyle w:val="enumlev1"/>
        <w:rPr>
          <w:lang w:val="ar-SA"/>
        </w:rPr>
      </w:pPr>
      <w:r w:rsidRPr="00E608CE">
        <w:sym w:font="Symbol" w:char="F0B7"/>
      </w:r>
      <w:r w:rsidRPr="00E608CE">
        <w:rPr>
          <w:rtl/>
        </w:rPr>
        <w:tab/>
      </w:r>
      <w:r w:rsidRPr="00E608CE">
        <w:rPr>
          <w:spacing w:val="-4"/>
          <w:rtl/>
        </w:rPr>
        <w:t xml:space="preserve">الاستبانة: </w:t>
      </w:r>
      <w:r w:rsidRPr="00E608CE">
        <w:rPr>
          <w:spacing w:val="-4"/>
        </w:rPr>
        <w:t>FHD</w:t>
      </w:r>
      <w:r w:rsidRPr="00E608CE">
        <w:rPr>
          <w:spacing w:val="-4"/>
          <w:rtl/>
        </w:rPr>
        <w:t xml:space="preserve"> فقط (1920×1080، أفقي/رأسي بنسق رأسي ينطبق حصراً على شاشات أجهزة الاتصالات المتنقلة)؛</w:t>
      </w:r>
    </w:p>
    <w:p w14:paraId="343CD2E7" w14:textId="4DCBA651" w:rsidR="00E608CE" w:rsidRPr="00E608CE" w:rsidRDefault="00E608CE" w:rsidP="00E608CE">
      <w:pPr>
        <w:pStyle w:val="enumlev1"/>
        <w:rPr>
          <w:lang w:val="ar-SA"/>
        </w:rPr>
      </w:pPr>
      <w:r w:rsidRPr="00E608CE">
        <w:sym w:font="Symbol" w:char="F0B7"/>
      </w:r>
      <w:r w:rsidRPr="00E608CE">
        <w:rPr>
          <w:rtl/>
        </w:rPr>
        <w:tab/>
        <w:t>كودك</w:t>
      </w:r>
      <w:r w:rsidRPr="00E608CE">
        <w:t>:</w:t>
      </w:r>
      <w:r w:rsidRPr="00E608CE">
        <w:rPr>
          <w:rtl/>
        </w:rPr>
        <w:t xml:space="preserve"> H.264 وH.265 وVP9 وAV1 وVVC</w:t>
      </w:r>
      <w:r>
        <w:rPr>
          <w:rFonts w:hint="cs"/>
          <w:rtl/>
        </w:rPr>
        <w:t xml:space="preserve"> </w:t>
      </w:r>
      <w:r>
        <w:t>(Mbps 30-0,1)</w:t>
      </w:r>
      <w:r w:rsidRPr="00E608CE">
        <w:rPr>
          <w:rtl/>
        </w:rPr>
        <w:t>؛</w:t>
      </w:r>
    </w:p>
    <w:p w14:paraId="1C73AD4E" w14:textId="44D44CF3" w:rsidR="00E608CE" w:rsidRPr="00E608CE" w:rsidRDefault="00E608CE" w:rsidP="00E608CE">
      <w:pPr>
        <w:pStyle w:val="enumlev1"/>
        <w:rPr>
          <w:lang w:val="ar-SA"/>
        </w:rPr>
      </w:pPr>
      <w:r w:rsidRPr="00E608CE">
        <w:sym w:font="Symbol" w:char="F0B7"/>
      </w:r>
      <w:r w:rsidRPr="00E608CE">
        <w:rPr>
          <w:rtl/>
        </w:rPr>
        <w:tab/>
        <w:t>خطأ الإرسال: غير مسموح به</w:t>
      </w:r>
      <w:r>
        <w:rPr>
          <w:rFonts w:hint="cs"/>
          <w:rtl/>
        </w:rPr>
        <w:t>؛</w:t>
      </w:r>
    </w:p>
    <w:p w14:paraId="1CCC4475" w14:textId="0270AB2E" w:rsidR="00E608CE" w:rsidRPr="00E608CE" w:rsidRDefault="00E608CE" w:rsidP="00E608CE">
      <w:pPr>
        <w:pStyle w:val="enumlev1"/>
      </w:pPr>
      <w:r w:rsidRPr="00E608CE">
        <w:sym w:font="Symbol" w:char="F0B7"/>
      </w:r>
      <w:r w:rsidRPr="00E608CE">
        <w:rPr>
          <w:rtl/>
        </w:rPr>
        <w:tab/>
        <w:t>أسلوب الاختبار الشخصاني:</w:t>
      </w:r>
      <w:r>
        <w:rPr>
          <w:rtl/>
        </w:rPr>
        <w:t xml:space="preserve"> </w:t>
      </w:r>
      <w:r w:rsidRPr="00E608CE">
        <w:t>ACR</w:t>
      </w:r>
      <w:r>
        <w:rPr>
          <w:rFonts w:hint="cs"/>
          <w:rtl/>
        </w:rPr>
        <w:t>؛</w:t>
      </w:r>
    </w:p>
    <w:p w14:paraId="636AFC0B" w14:textId="3763A7CA" w:rsidR="00E608CE" w:rsidRPr="00E608CE" w:rsidRDefault="00E608CE" w:rsidP="00E608CE">
      <w:pPr>
        <w:pStyle w:val="enumlev1"/>
      </w:pPr>
      <w:r w:rsidRPr="00E608CE">
        <w:sym w:font="Symbol" w:char="F0B7"/>
      </w:r>
      <w:r w:rsidRPr="00E608CE">
        <w:rPr>
          <w:rtl/>
        </w:rPr>
        <w:tab/>
        <w:t xml:space="preserve">مدة </w:t>
      </w:r>
      <w:r w:rsidRPr="00E608CE">
        <w:t>PVS</w:t>
      </w:r>
      <w:r w:rsidRPr="00E608CE">
        <w:rPr>
          <w:rtl/>
        </w:rPr>
        <w:t xml:space="preserve"> </w:t>
      </w:r>
      <w:r w:rsidRPr="00E608CE">
        <w:t>:</w:t>
      </w:r>
      <w:r w:rsidRPr="00E608CE">
        <w:rPr>
          <w:rtl/>
        </w:rPr>
        <w:t xml:space="preserve"> خمس ثوان</w:t>
      </w:r>
      <w:r>
        <w:rPr>
          <w:rFonts w:hint="cs"/>
          <w:rtl/>
        </w:rPr>
        <w:t>؛</w:t>
      </w:r>
    </w:p>
    <w:p w14:paraId="1A540D09" w14:textId="218FA6E4" w:rsidR="00E608CE" w:rsidRPr="00E608CE" w:rsidRDefault="00E608CE" w:rsidP="00E608CE">
      <w:pPr>
        <w:pStyle w:val="enumlev1"/>
        <w:rPr>
          <w:lang w:val="ar-SA"/>
        </w:rPr>
      </w:pPr>
      <w:r w:rsidRPr="00E608CE">
        <w:sym w:font="Symbol" w:char="F0B7"/>
      </w:r>
      <w:r w:rsidRPr="00E608CE">
        <w:rPr>
          <w:rtl/>
        </w:rPr>
        <w:tab/>
        <w:t xml:space="preserve">شاشات العرض: شاشات التلفزيون وشاشات الحاسوب الشخصي وشاشات العرض المتنقلة (وينبغي لاستبانة العرض أن تفوق </w:t>
      </w:r>
      <w:r w:rsidRPr="00E608CE">
        <w:t>FHD</w:t>
      </w:r>
      <w:r w:rsidRPr="00E608CE">
        <w:rPr>
          <w:rtl/>
        </w:rPr>
        <w:t>)؛</w:t>
      </w:r>
    </w:p>
    <w:p w14:paraId="2584E059" w14:textId="77777777" w:rsidR="00E608CE" w:rsidRPr="00E608CE" w:rsidRDefault="00E608CE" w:rsidP="00E608CE">
      <w:pPr>
        <w:pStyle w:val="enumlev1"/>
        <w:rPr>
          <w:lang w:val="ar-SA"/>
        </w:rPr>
      </w:pPr>
      <w:r w:rsidRPr="00E608CE">
        <w:sym w:font="Symbol" w:char="F0B7"/>
      </w:r>
      <w:r w:rsidRPr="00E608CE">
        <w:rPr>
          <w:rtl/>
        </w:rPr>
        <w:tab/>
        <w:t>يُتوقع أن يتعامل نموذج خفض الضوضاء (</w:t>
      </w:r>
      <w:r w:rsidRPr="00E608CE">
        <w:t>NR</w:t>
      </w:r>
      <w:r w:rsidRPr="00E608CE">
        <w:rPr>
          <w:rtl/>
        </w:rPr>
        <w:t>) مع مصنوعات التشفير وترديات الكاميرا. وسيجرى التقييم في مسارين: بنماذج خالية من الترديات؛ وبنماذج تشوبها ترديات.</w:t>
      </w:r>
    </w:p>
    <w:p w14:paraId="0137AA07" w14:textId="45514EC2" w:rsidR="00E608CE" w:rsidRPr="00E608CE" w:rsidRDefault="00E608CE" w:rsidP="00E608CE">
      <w:pPr>
        <w:keepNext/>
        <w:rPr>
          <w:lang w:val="ar-SA" w:bidi="ar-SY"/>
        </w:rPr>
      </w:pPr>
      <w:r w:rsidRPr="00E608CE">
        <w:rPr>
          <w:rtl/>
        </w:rPr>
        <w:t xml:space="preserve">وينبغي للمنظمات التي ترغب في المشاركة في هذا المشروع </w:t>
      </w:r>
      <w:r w:rsidRPr="00E608CE">
        <w:rPr>
          <w:b/>
          <w:bCs/>
          <w:rtl/>
        </w:rPr>
        <w:t>التعبير عن اهتمامها عبر البريد الإلكتروني إلى السيد مارتن أدولف</w:t>
      </w:r>
      <w:r w:rsidRPr="00E608CE">
        <w:rPr>
          <w:rtl/>
        </w:rPr>
        <w:t xml:space="preserve"> (البريد الإلكتروني</w:t>
      </w:r>
      <w:r w:rsidRPr="00E608CE">
        <w:rPr>
          <w:lang w:bidi="ar-SY"/>
        </w:rPr>
        <w:t>:</w:t>
      </w:r>
      <w:r w:rsidRPr="00E608CE">
        <w:rPr>
          <w:rtl/>
        </w:rPr>
        <w:t xml:space="preserve"> </w:t>
      </w:r>
      <w:hyperlink r:id="rId10" w:history="1">
        <w:r w:rsidRPr="00E608CE">
          <w:rPr>
            <w:rStyle w:val="Hyperlink"/>
            <w:lang w:bidi="ar-SY"/>
          </w:rPr>
          <w:t>Martin.Adolph@itu.int</w:t>
        </w:r>
      </w:hyperlink>
      <w:r w:rsidRPr="00E608CE">
        <w:rPr>
          <w:rtl/>
        </w:rPr>
        <w:t xml:space="preserve">) </w:t>
      </w:r>
      <w:r w:rsidRPr="00E608CE">
        <w:rPr>
          <w:b/>
          <w:bCs/>
          <w:rtl/>
        </w:rPr>
        <w:t xml:space="preserve">في موعد أقصاه 5 مارس 2025، الساعة </w:t>
      </w:r>
      <w:r>
        <w:rPr>
          <w:b/>
          <w:bCs/>
        </w:rPr>
        <w:t>17:00</w:t>
      </w:r>
      <w:r w:rsidRPr="00E608CE">
        <w:rPr>
          <w:b/>
          <w:bCs/>
          <w:rtl/>
        </w:rPr>
        <w:t xml:space="preserve"> بتوقيت وسط أوروبا</w:t>
      </w:r>
      <w:r w:rsidRPr="00E608CE">
        <w:rPr>
          <w:rtl/>
        </w:rPr>
        <w:t>. و</w:t>
      </w:r>
      <w:r w:rsidRPr="00E608CE">
        <w:rPr>
          <w:rFonts w:hint="eastAsia"/>
          <w:rtl/>
        </w:rPr>
        <w:t>يُتوقع</w:t>
      </w:r>
      <w:r w:rsidRPr="00E608CE">
        <w:rPr>
          <w:rtl/>
        </w:rPr>
        <w:t xml:space="preserve"> أن تجري المنظمات المشاركة الاختبارات الشخصانية</w:t>
      </w:r>
      <w:r>
        <w:rPr>
          <w:rFonts w:hint="cs"/>
          <w:rtl/>
        </w:rPr>
        <w:t>.</w:t>
      </w:r>
    </w:p>
    <w:p w14:paraId="67201E14" w14:textId="5F9247DE" w:rsidR="00E608CE" w:rsidRPr="00E608CE" w:rsidRDefault="00E608CE" w:rsidP="00E608CE">
      <w:pPr>
        <w:keepNext/>
        <w:rPr>
          <w:lang w:val="ar-SA" w:bidi="ar-SY"/>
        </w:rPr>
      </w:pPr>
      <w:r w:rsidRPr="00E608CE">
        <w:rPr>
          <w:rtl/>
        </w:rPr>
        <w:t xml:space="preserve">يمكن العثور على خطة الاختبار التفصيلية عبر الرابط </w:t>
      </w:r>
      <w:hyperlink r:id="rId11" w:history="1">
        <w:r w:rsidRPr="00E608CE">
          <w:rPr>
            <w:rStyle w:val="Hyperlink"/>
            <w:lang w:bidi="ar-SY"/>
          </w:rPr>
          <w:t>https://itu.int/go/noref-testplan</w:t>
        </w:r>
      </w:hyperlink>
      <w:r w:rsidRPr="00E608CE">
        <w:rPr>
          <w:rtl/>
        </w:rPr>
        <w:t>.</w:t>
      </w:r>
    </w:p>
    <w:p w14:paraId="15674AD4" w14:textId="60126B02" w:rsidR="00E84438" w:rsidRPr="00D517B2" w:rsidRDefault="00E84438" w:rsidP="00E608CE">
      <w:pPr>
        <w:keepNext/>
        <w:spacing w:before="240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7E1A0F73" w14:textId="18B84D37" w:rsidR="00596808" w:rsidRPr="00D517B2" w:rsidRDefault="001801EB" w:rsidP="006F0878">
      <w:pPr>
        <w:spacing w:before="720"/>
        <w:jc w:val="left"/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589DD34E" wp14:editId="7176FE03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768389" cy="368319"/>
            <wp:effectExtent l="0" t="0" r="0" b="0"/>
            <wp:wrapNone/>
            <wp:docPr id="8484690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6903" name="Picture 1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31"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5E06" w14:textId="77777777" w:rsidR="00E608CE" w:rsidRDefault="00E608CE" w:rsidP="006C3242">
      <w:pPr>
        <w:spacing w:before="0" w:line="240" w:lineRule="auto"/>
      </w:pPr>
      <w:r>
        <w:separator/>
      </w:r>
    </w:p>
  </w:endnote>
  <w:endnote w:type="continuationSeparator" w:id="0">
    <w:p w14:paraId="16A61508" w14:textId="77777777" w:rsidR="00E608CE" w:rsidRDefault="00E608C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201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3612" w14:textId="77777777" w:rsidR="00E608CE" w:rsidRDefault="00E608CE" w:rsidP="006C3242">
      <w:pPr>
        <w:spacing w:before="0" w:line="240" w:lineRule="auto"/>
      </w:pPr>
      <w:r>
        <w:separator/>
      </w:r>
    </w:p>
  </w:footnote>
  <w:footnote w:type="continuationSeparator" w:id="0">
    <w:p w14:paraId="1BB8C457" w14:textId="77777777" w:rsidR="00E608CE" w:rsidRDefault="00E608C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EDC1" w14:textId="650D7E3E" w:rsidR="00447F32" w:rsidRPr="00596808" w:rsidRDefault="00596808" w:rsidP="00B916A7">
    <w:pPr>
      <w:pStyle w:val="Header"/>
      <w:spacing w:after="240" w:line="192" w:lineRule="auto"/>
      <w:jc w:val="center"/>
      <w:rPr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E608CE">
      <w:rPr>
        <w:sz w:val="20"/>
        <w:szCs w:val="20"/>
        <w:lang w:bidi="ar-EG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CE"/>
    <w:rsid w:val="00002A63"/>
    <w:rsid w:val="0006468A"/>
    <w:rsid w:val="00090574"/>
    <w:rsid w:val="000C1C0E"/>
    <w:rsid w:val="000C548A"/>
    <w:rsid w:val="000E327F"/>
    <w:rsid w:val="00146FE2"/>
    <w:rsid w:val="001801EB"/>
    <w:rsid w:val="001C0169"/>
    <w:rsid w:val="001D1D50"/>
    <w:rsid w:val="001D6745"/>
    <w:rsid w:val="001E2788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B2ECA"/>
    <w:rsid w:val="006019C6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0878"/>
    <w:rsid w:val="006F63F7"/>
    <w:rsid w:val="007025C7"/>
    <w:rsid w:val="00706D7A"/>
    <w:rsid w:val="007139D8"/>
    <w:rsid w:val="00722F0D"/>
    <w:rsid w:val="0074420E"/>
    <w:rsid w:val="00783E26"/>
    <w:rsid w:val="00784F24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B0BC9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608CE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77630"/>
  <w15:chartTrackingRefBased/>
  <w15:docId w15:val="{49D50C2B-21F8-4E8E-9A30-4192F90F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noref-testpl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Adolph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Braud, Olivia</cp:lastModifiedBy>
  <cp:revision>3</cp:revision>
  <cp:lastPrinted>2025-01-30T08:25:00Z</cp:lastPrinted>
  <dcterms:created xsi:type="dcterms:W3CDTF">2025-01-29T11:44:00Z</dcterms:created>
  <dcterms:modified xsi:type="dcterms:W3CDTF">2025-01-30T08:25:00Z</dcterms:modified>
</cp:coreProperties>
</file>