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38"/>
        <w:gridCol w:w="5112"/>
        <w:gridCol w:w="81"/>
      </w:tblGrid>
      <w:tr w:rsidR="00EF6A23" w:rsidRPr="005D77B7" w14:paraId="3FDAE1F3" w14:textId="77777777" w:rsidTr="00DD6591">
        <w:trPr>
          <w:gridAfter w:val="1"/>
          <w:wAfter w:w="81" w:type="dxa"/>
          <w:cantSplit/>
        </w:trPr>
        <w:tc>
          <w:tcPr>
            <w:tcW w:w="0" w:type="auto"/>
            <w:vAlign w:val="center"/>
          </w:tcPr>
          <w:p w14:paraId="3DE42CAA" w14:textId="77777777" w:rsidR="00EF6A23" w:rsidRPr="005D77B7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D77B7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5D77B7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D77B7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5D77B7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5D77B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D77B7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DD6591" w14:paraId="18B25741" w14:textId="77777777" w:rsidTr="00DD6591">
        <w:trPr>
          <w:gridAfter w:val="1"/>
          <w:wAfter w:w="81" w:type="dxa"/>
          <w:cantSplit/>
        </w:trPr>
        <w:tc>
          <w:tcPr>
            <w:tcW w:w="0" w:type="auto"/>
          </w:tcPr>
          <w:p w14:paraId="4B1AFD72" w14:textId="77777777" w:rsidR="00036F4F" w:rsidRPr="00DD659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8" w:type="dxa"/>
          </w:tcPr>
          <w:p w14:paraId="6579D3E8" w14:textId="77777777" w:rsidR="00036F4F" w:rsidRPr="00DD659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112" w:type="dxa"/>
          </w:tcPr>
          <w:p w14:paraId="0DC34ECA" w14:textId="53A0A115" w:rsidR="00036F4F" w:rsidRPr="00DD6591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DD6591">
              <w:rPr>
                <w:rFonts w:cstheme="minorHAnsi"/>
                <w:sz w:val="22"/>
                <w:szCs w:val="22"/>
              </w:rPr>
              <w:t>Genève, le</w:t>
            </w:r>
            <w:r w:rsidR="004419E9" w:rsidRPr="00DD6591">
              <w:rPr>
                <w:rFonts w:cstheme="minorHAnsi"/>
                <w:sz w:val="22"/>
                <w:szCs w:val="22"/>
              </w:rPr>
              <w:t xml:space="preserve"> </w:t>
            </w:r>
            <w:r w:rsidR="006914EA" w:rsidRPr="00DD6591">
              <w:rPr>
                <w:rFonts w:cstheme="minorHAnsi"/>
                <w:sz w:val="22"/>
                <w:szCs w:val="22"/>
              </w:rPr>
              <w:t>28 janvier 2025</w:t>
            </w:r>
          </w:p>
        </w:tc>
      </w:tr>
      <w:tr w:rsidR="006914EA" w:rsidRPr="00DD6591" w14:paraId="16CDDFEF" w14:textId="77777777" w:rsidTr="00DD6591">
        <w:trPr>
          <w:gridAfter w:val="1"/>
          <w:wAfter w:w="81" w:type="dxa"/>
          <w:cantSplit/>
          <w:trHeight w:val="340"/>
        </w:trPr>
        <w:tc>
          <w:tcPr>
            <w:tcW w:w="0" w:type="auto"/>
          </w:tcPr>
          <w:p w14:paraId="3EFF375D" w14:textId="58556577" w:rsidR="006914EA" w:rsidRPr="00DD6591" w:rsidRDefault="006914EA" w:rsidP="00DD6591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D6591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38" w:type="dxa"/>
          </w:tcPr>
          <w:p w14:paraId="5FFBBC9B" w14:textId="795616D3" w:rsidR="006914EA" w:rsidRPr="00DD6591" w:rsidRDefault="006914EA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DD6591">
              <w:rPr>
                <w:rFonts w:cstheme="minorHAnsi"/>
                <w:b/>
                <w:sz w:val="22"/>
                <w:szCs w:val="22"/>
              </w:rPr>
              <w:t>Circulaire TSB 15</w:t>
            </w:r>
          </w:p>
          <w:p w14:paraId="577F6DA2" w14:textId="045525CC" w:rsidR="006914EA" w:rsidRPr="00DD6591" w:rsidRDefault="006914EA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DD6591">
              <w:rPr>
                <w:rFonts w:cstheme="minorHAnsi"/>
                <w:b/>
                <w:bCs/>
                <w:sz w:val="22"/>
                <w:szCs w:val="22"/>
              </w:rPr>
              <w:t>CE 20/CB</w:t>
            </w:r>
          </w:p>
        </w:tc>
        <w:tc>
          <w:tcPr>
            <w:tcW w:w="5112" w:type="dxa"/>
            <w:vMerge w:val="restart"/>
          </w:tcPr>
          <w:p w14:paraId="56FFB697" w14:textId="77777777" w:rsidR="006914EA" w:rsidRPr="00DD6591" w:rsidRDefault="006914EA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proofErr w:type="gramStart"/>
            <w:r w:rsidRPr="00DD6591">
              <w:rPr>
                <w:rFonts w:cstheme="minorHAnsi"/>
                <w:b/>
                <w:bCs/>
                <w:sz w:val="22"/>
                <w:szCs w:val="22"/>
              </w:rPr>
              <w:t>Aux:</w:t>
            </w:r>
            <w:proofErr w:type="gramEnd"/>
          </w:p>
          <w:p w14:paraId="0CCE2D12" w14:textId="24258CD0" w:rsidR="006914EA" w:rsidRPr="00DD6591" w:rsidRDefault="006914EA" w:rsidP="006914EA">
            <w:pPr>
              <w:tabs>
                <w:tab w:val="left" w:pos="4111"/>
              </w:tabs>
              <w:spacing w:before="0"/>
              <w:ind w:left="430" w:hanging="430"/>
              <w:rPr>
                <w:rFonts w:cstheme="minorHAnsi"/>
                <w:sz w:val="22"/>
                <w:szCs w:val="22"/>
              </w:rPr>
            </w:pPr>
            <w:r w:rsidRPr="00DD6591">
              <w:rPr>
                <w:rFonts w:cstheme="minorHAnsi"/>
                <w:sz w:val="22"/>
                <w:szCs w:val="22"/>
              </w:rPr>
              <w:t>–</w:t>
            </w:r>
            <w:r w:rsidRPr="00DD6591">
              <w:rPr>
                <w:rFonts w:cstheme="minorHAnsi"/>
                <w:sz w:val="22"/>
                <w:szCs w:val="22"/>
              </w:rPr>
              <w:tab/>
              <w:t>Administrations des États Membres de l'Union</w:t>
            </w:r>
          </w:p>
          <w:p w14:paraId="5CA3B2BA" w14:textId="77777777" w:rsidR="006914EA" w:rsidRPr="00DD6591" w:rsidRDefault="006914EA" w:rsidP="006914EA">
            <w:pPr>
              <w:tabs>
                <w:tab w:val="clear" w:pos="794"/>
                <w:tab w:val="left" w:pos="226"/>
                <w:tab w:val="left" w:pos="4111"/>
              </w:tabs>
              <w:ind w:left="430" w:hanging="43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D6591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6993DB35" w14:textId="7A8186BA" w:rsidR="006914EA" w:rsidRPr="00DD6591" w:rsidRDefault="006914EA" w:rsidP="006914EA">
            <w:pPr>
              <w:pStyle w:val="Tabletext0"/>
              <w:tabs>
                <w:tab w:val="clear" w:pos="284"/>
              </w:tabs>
              <w:spacing w:before="0" w:after="0"/>
              <w:ind w:left="430" w:hanging="43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–</w:t>
            </w:r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Aux Membres du Secteur de l'UIT-</w:t>
            </w:r>
            <w:proofErr w:type="gramStart"/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T;</w:t>
            </w:r>
            <w:proofErr w:type="gramEnd"/>
          </w:p>
          <w:p w14:paraId="684D6F4C" w14:textId="3436FC4A" w:rsidR="006914EA" w:rsidRPr="00DD6591" w:rsidRDefault="006914EA" w:rsidP="006914EA">
            <w:pPr>
              <w:pStyle w:val="Tabletext0"/>
              <w:tabs>
                <w:tab w:val="clear" w:pos="284"/>
              </w:tabs>
              <w:spacing w:after="0"/>
              <w:ind w:left="430" w:hanging="43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–</w:t>
            </w:r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Aux Associés de l'UIT-T participant aux travaux de la Commission d'études </w:t>
            </w:r>
            <w:proofErr w:type="gramStart"/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20;</w:t>
            </w:r>
            <w:proofErr w:type="gramEnd"/>
          </w:p>
          <w:p w14:paraId="7DB397CA" w14:textId="5583E23E" w:rsidR="006914EA" w:rsidRPr="00DD6591" w:rsidRDefault="006914EA" w:rsidP="006914EA">
            <w:pPr>
              <w:pStyle w:val="Tabletext0"/>
              <w:tabs>
                <w:tab w:val="clear" w:pos="284"/>
              </w:tabs>
              <w:spacing w:after="0"/>
              <w:ind w:left="430" w:hanging="43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–</w:t>
            </w:r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Aux établissements universitaires participant aux travaux de </w:t>
            </w:r>
            <w:proofErr w:type="gramStart"/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l'UIT;</w:t>
            </w:r>
            <w:proofErr w:type="gramEnd"/>
          </w:p>
          <w:p w14:paraId="6DD310C6" w14:textId="3F8B45EE" w:rsidR="006914EA" w:rsidRPr="00DD6591" w:rsidRDefault="006914EA" w:rsidP="006914EA">
            <w:pPr>
              <w:pStyle w:val="Tabletext0"/>
              <w:tabs>
                <w:tab w:val="clear" w:pos="284"/>
              </w:tabs>
              <w:spacing w:after="0"/>
              <w:ind w:left="430" w:hanging="43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–</w:t>
            </w:r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Aux Président et Vice-Présidents de la Commission d'études 20 de l'UIT-</w:t>
            </w:r>
            <w:proofErr w:type="gramStart"/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T;</w:t>
            </w:r>
            <w:proofErr w:type="gramEnd"/>
          </w:p>
          <w:p w14:paraId="55376773" w14:textId="5D069A65" w:rsidR="006914EA" w:rsidRPr="00DD6591" w:rsidRDefault="006914EA" w:rsidP="006914EA">
            <w:pPr>
              <w:pStyle w:val="Tabletext0"/>
              <w:tabs>
                <w:tab w:val="clear" w:pos="284"/>
              </w:tabs>
              <w:spacing w:after="0"/>
              <w:ind w:left="430" w:hanging="43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–</w:t>
            </w:r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Au Directeur du Bureau de développement des </w:t>
            </w:r>
            <w:proofErr w:type="gramStart"/>
            <w:r w:rsidRPr="00DD659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télécommunications;</w:t>
            </w:r>
            <w:proofErr w:type="gramEnd"/>
          </w:p>
          <w:p w14:paraId="461460AE" w14:textId="615DF3D9" w:rsidR="006914EA" w:rsidRPr="00DD6591" w:rsidRDefault="006914EA" w:rsidP="006914EA">
            <w:pPr>
              <w:tabs>
                <w:tab w:val="left" w:pos="4111"/>
              </w:tabs>
              <w:spacing w:before="0"/>
              <w:ind w:left="430" w:hanging="430"/>
              <w:rPr>
                <w:rFonts w:cstheme="minorHAnsi"/>
                <w:sz w:val="22"/>
                <w:szCs w:val="22"/>
              </w:rPr>
            </w:pPr>
            <w:r w:rsidRPr="00DD6591">
              <w:rPr>
                <w:rFonts w:cstheme="minorHAnsi"/>
                <w:sz w:val="22"/>
                <w:szCs w:val="22"/>
              </w:rPr>
              <w:t>–</w:t>
            </w:r>
            <w:r w:rsidRPr="00DD6591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6914EA" w:rsidRPr="00DD6591" w14:paraId="724FD23E" w14:textId="77777777" w:rsidTr="00DD6591">
        <w:trPr>
          <w:gridAfter w:val="1"/>
          <w:wAfter w:w="81" w:type="dxa"/>
          <w:cantSplit/>
        </w:trPr>
        <w:tc>
          <w:tcPr>
            <w:tcW w:w="0" w:type="auto"/>
          </w:tcPr>
          <w:p w14:paraId="73149CCD" w14:textId="77777777" w:rsidR="006914EA" w:rsidRPr="00DD6591" w:rsidRDefault="006914EA" w:rsidP="00DD6591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DD6591">
              <w:rPr>
                <w:rFonts w:cstheme="minorHAnsi"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38" w:type="dxa"/>
          </w:tcPr>
          <w:p w14:paraId="78D06186" w14:textId="5D3D8F2E" w:rsidR="006914EA" w:rsidRPr="00DD6591" w:rsidRDefault="006914EA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DD6591">
              <w:rPr>
                <w:rFonts w:cstheme="minorHAnsi"/>
                <w:sz w:val="22"/>
                <w:szCs w:val="22"/>
              </w:rPr>
              <w:t>+41 22 730 6301</w:t>
            </w:r>
          </w:p>
        </w:tc>
        <w:tc>
          <w:tcPr>
            <w:tcW w:w="5112" w:type="dxa"/>
            <w:vMerge/>
          </w:tcPr>
          <w:p w14:paraId="6D3A5806" w14:textId="77777777" w:rsidR="006914EA" w:rsidRPr="00DD6591" w:rsidRDefault="006914EA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914EA" w:rsidRPr="00DD6591" w14:paraId="030F9AE5" w14:textId="77777777" w:rsidTr="00DD6591">
        <w:trPr>
          <w:gridAfter w:val="1"/>
          <w:wAfter w:w="81" w:type="dxa"/>
          <w:cantSplit/>
          <w:trHeight w:val="586"/>
        </w:trPr>
        <w:tc>
          <w:tcPr>
            <w:tcW w:w="0" w:type="auto"/>
          </w:tcPr>
          <w:p w14:paraId="7B417C4C" w14:textId="77777777" w:rsidR="006914EA" w:rsidRPr="00DD6591" w:rsidRDefault="006914EA" w:rsidP="00DD6591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DD6591">
              <w:rPr>
                <w:rFonts w:cstheme="minorHAnsi"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38" w:type="dxa"/>
          </w:tcPr>
          <w:p w14:paraId="1A4A5F7B" w14:textId="77777777" w:rsidR="006914EA" w:rsidRPr="00DD6591" w:rsidRDefault="006914EA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DD6591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112" w:type="dxa"/>
            <w:vMerge/>
          </w:tcPr>
          <w:p w14:paraId="323DAC81" w14:textId="77777777" w:rsidR="006914EA" w:rsidRPr="00DD6591" w:rsidRDefault="006914EA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914EA" w:rsidRPr="00DD6591" w14:paraId="640FB6B9" w14:textId="77777777" w:rsidTr="00DD6591">
        <w:trPr>
          <w:gridAfter w:val="1"/>
          <w:wAfter w:w="81" w:type="dxa"/>
          <w:cantSplit/>
        </w:trPr>
        <w:tc>
          <w:tcPr>
            <w:tcW w:w="0" w:type="auto"/>
          </w:tcPr>
          <w:p w14:paraId="15527369" w14:textId="0865F49A" w:rsidR="006914EA" w:rsidRPr="00DD6591" w:rsidRDefault="006914EA" w:rsidP="00DD6591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DD6591">
              <w:rPr>
                <w:rFonts w:cstheme="minorHAnsi"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38" w:type="dxa"/>
          </w:tcPr>
          <w:p w14:paraId="172249CE" w14:textId="4280D470" w:rsidR="006914EA" w:rsidRPr="00DD6591" w:rsidRDefault="006914EA" w:rsidP="00A5280F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hyperlink r:id="rId9" w:history="1">
              <w:r w:rsidRPr="00DD6591">
                <w:rPr>
                  <w:rStyle w:val="Hyperlink"/>
                  <w:rFonts w:cstheme="minorHAnsi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5112" w:type="dxa"/>
            <w:vMerge/>
          </w:tcPr>
          <w:p w14:paraId="19762254" w14:textId="6C60BFE5" w:rsidR="006914EA" w:rsidRPr="00DD6591" w:rsidRDefault="006914EA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517A03" w:rsidRPr="00DD6591" w14:paraId="5435C04A" w14:textId="77777777" w:rsidTr="00DD6591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DD6591" w:rsidRDefault="00517A03" w:rsidP="00DD6591">
            <w:pPr>
              <w:tabs>
                <w:tab w:val="left" w:pos="4111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D6591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531" w:type="dxa"/>
            <w:gridSpan w:val="3"/>
          </w:tcPr>
          <w:p w14:paraId="1A51EE75" w14:textId="227C1163" w:rsidR="00517A03" w:rsidRPr="00DD6591" w:rsidRDefault="006914EA" w:rsidP="0048088B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DD6591">
              <w:rPr>
                <w:rFonts w:cstheme="minorHAnsi"/>
                <w:b/>
                <w:bCs/>
                <w:sz w:val="22"/>
                <w:szCs w:val="22"/>
              </w:rPr>
              <w:t>Statut des Recommandations UIT-T Y.4506 (anciennement Y.DRI-arch), Y.4229</w:t>
            </w:r>
            <w:r w:rsidR="00382DD0" w:rsidRPr="00DD6591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DD6591">
              <w:rPr>
                <w:rFonts w:cstheme="minorHAnsi"/>
                <w:b/>
                <w:bCs/>
                <w:sz w:val="22"/>
                <w:szCs w:val="22"/>
              </w:rPr>
              <w:t>(anciennement Y.IoT-SFFS), Y.4230 (anciennement Y.EV-charging), Y.4231</w:t>
            </w:r>
            <w:r w:rsidR="00382DD0" w:rsidRPr="00DD6591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DD6591">
              <w:rPr>
                <w:rFonts w:cstheme="minorHAnsi"/>
                <w:b/>
                <w:bCs/>
                <w:sz w:val="22"/>
                <w:szCs w:val="22"/>
              </w:rPr>
              <w:t>(anciennement Y.IoT-Vreqs), Y.4232 (anciennement Y.IoT-RTPS), Y.4233</w:t>
            </w:r>
            <w:r w:rsidR="00382DD0" w:rsidRPr="00DD6591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DD6591">
              <w:rPr>
                <w:rFonts w:cstheme="minorHAnsi"/>
                <w:b/>
                <w:bCs/>
                <w:sz w:val="22"/>
                <w:szCs w:val="22"/>
              </w:rPr>
              <w:t>(anciennement Y.FSPH), Y.4234 (anciennement Y.RemoteEd), Y.4222</w:t>
            </w:r>
            <w:r w:rsidR="00382DD0" w:rsidRPr="00DD6591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DD6591">
              <w:rPr>
                <w:rFonts w:cstheme="minorHAnsi"/>
                <w:b/>
                <w:bCs/>
                <w:sz w:val="22"/>
                <w:szCs w:val="22"/>
              </w:rPr>
              <w:t>(anciennement Y.smart-evacuation), Y.4507 (anciennement Y.arc-psfws), Y.4508 (anciennement Y.DPM-alm-fra), Y.4706 (anciennement Y.dem-IoT) et Y.4499</w:t>
            </w:r>
            <w:r w:rsidR="00382DD0" w:rsidRPr="00DD6591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DD6591">
              <w:rPr>
                <w:rFonts w:cstheme="minorHAnsi"/>
                <w:b/>
                <w:bCs/>
                <w:sz w:val="22"/>
                <w:szCs w:val="22"/>
              </w:rPr>
              <w:t>(anciennement Y.UIM-cs-framework) à la suite de la réunion de la Commission d'études 20 de l'UIT-T (Genève, 15-24 janvier 2025)</w:t>
            </w:r>
          </w:p>
        </w:tc>
      </w:tr>
    </w:tbl>
    <w:p w14:paraId="2D1EC328" w14:textId="77777777" w:rsidR="00517A03" w:rsidRPr="00DD6591" w:rsidRDefault="00517A03" w:rsidP="00DD6591">
      <w:pPr>
        <w:rPr>
          <w:rFonts w:cstheme="minorHAnsi"/>
          <w:sz w:val="22"/>
          <w:szCs w:val="22"/>
        </w:rPr>
      </w:pPr>
      <w:bookmarkStart w:id="1" w:name="StartTyping_F"/>
      <w:bookmarkEnd w:id="1"/>
      <w:r w:rsidRPr="00DD6591">
        <w:rPr>
          <w:rFonts w:cstheme="minorHAnsi"/>
          <w:sz w:val="22"/>
          <w:szCs w:val="22"/>
        </w:rPr>
        <w:t>Madame, Monsieur,</w:t>
      </w:r>
    </w:p>
    <w:p w14:paraId="56783C67" w14:textId="67862B1E" w:rsidR="006914EA" w:rsidRPr="00DD6591" w:rsidRDefault="006914EA" w:rsidP="00237056">
      <w:pPr>
        <w:spacing w:after="240"/>
        <w:rPr>
          <w:rFonts w:cstheme="minorHAnsi"/>
          <w:sz w:val="22"/>
          <w:szCs w:val="22"/>
        </w:rPr>
      </w:pPr>
      <w:r w:rsidRPr="00DD6591">
        <w:rPr>
          <w:rFonts w:cstheme="minorHAnsi"/>
          <w:sz w:val="22"/>
          <w:szCs w:val="22"/>
        </w:rPr>
        <w:t>1</w:t>
      </w:r>
      <w:r w:rsidRPr="00DD6591">
        <w:rPr>
          <w:rFonts w:cstheme="minorHAnsi"/>
          <w:sz w:val="22"/>
          <w:szCs w:val="22"/>
        </w:rPr>
        <w:tab/>
      </w:r>
      <w:r w:rsidR="00237056" w:rsidRPr="00DD6591">
        <w:rPr>
          <w:rFonts w:cstheme="minorHAnsi"/>
          <w:sz w:val="22"/>
          <w:szCs w:val="22"/>
        </w:rPr>
        <w:t>À</w:t>
      </w:r>
      <w:r w:rsidRPr="00DD6591">
        <w:rPr>
          <w:rFonts w:cstheme="minorHAnsi"/>
          <w:sz w:val="22"/>
          <w:szCs w:val="22"/>
        </w:rPr>
        <w:t xml:space="preserve"> la suite de la </w:t>
      </w:r>
      <w:hyperlink r:id="rId10" w:history="1">
        <w:r w:rsidRPr="00DD6591">
          <w:rPr>
            <w:rStyle w:val="Hyperlink"/>
            <w:rFonts w:cstheme="minorHAnsi"/>
            <w:sz w:val="22"/>
            <w:szCs w:val="22"/>
          </w:rPr>
          <w:t>Circulaire TSB 236</w:t>
        </w:r>
      </w:hyperlink>
      <w:r w:rsidRPr="00DD6591">
        <w:rPr>
          <w:rFonts w:cstheme="minorHAnsi"/>
          <w:sz w:val="22"/>
          <w:szCs w:val="22"/>
        </w:rPr>
        <w:t xml:space="preserve"> du 27 septembre 2024, et conformément au § 9.5 de la Résolution 1 (Rév. Genève, 2022) de l'AMNT, j'ai l'honneur de vous informer que la Commission d'études 20 a pris la décision suivante, durant les séances plénières qu'elle a tenues les 15 et 22</w:t>
      </w:r>
      <w:r w:rsidR="00237056" w:rsidRPr="00DD6591">
        <w:rPr>
          <w:rFonts w:cstheme="minorHAnsi"/>
          <w:sz w:val="22"/>
          <w:szCs w:val="22"/>
        </w:rPr>
        <w:t> </w:t>
      </w:r>
      <w:r w:rsidRPr="00DD6591">
        <w:rPr>
          <w:rFonts w:cstheme="minorHAnsi"/>
          <w:sz w:val="22"/>
          <w:szCs w:val="22"/>
        </w:rPr>
        <w:t>janvier 2025 à Genève, concernant les projets de textes de l'UIT-T énumérés ci-</w:t>
      </w:r>
      <w:proofErr w:type="gramStart"/>
      <w:r w:rsidRPr="00DD6591">
        <w:rPr>
          <w:rFonts w:cstheme="minorHAnsi"/>
          <w:sz w:val="22"/>
          <w:szCs w:val="22"/>
        </w:rPr>
        <w:t>après:</w:t>
      </w:r>
      <w:proofErr w:type="gram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6914EA" w:rsidRPr="00DD6591" w14:paraId="31D85242" w14:textId="77777777" w:rsidTr="00237056">
        <w:trPr>
          <w:tblHeader/>
        </w:trPr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B219D3" w14:textId="77777777" w:rsidR="006914EA" w:rsidRPr="00DD6591" w:rsidRDefault="006914EA" w:rsidP="00237056">
            <w:pPr>
              <w:pStyle w:val="TableHead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Numéro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95AEC3" w14:textId="77777777" w:rsidR="006914EA" w:rsidRPr="00DD6591" w:rsidRDefault="006914EA" w:rsidP="00237056">
            <w:pPr>
              <w:pStyle w:val="TableHead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Titre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5E3306" w14:textId="7BBCE178" w:rsidR="006914EA" w:rsidRPr="00DD6591" w:rsidRDefault="00237056" w:rsidP="00237056">
            <w:pPr>
              <w:pStyle w:val="TableHead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Décision</w:t>
            </w:r>
          </w:p>
        </w:tc>
      </w:tr>
      <w:tr w:rsidR="006914EA" w:rsidRPr="00DD6591" w14:paraId="13D77E22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2D88917" w14:textId="6DC3771C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t>UIT-T Y.4506 (anciennement Y.DRI-arch)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8100C66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Architecture de référence pour l'interfonctionnement des robots de livraison autonomes en milieu urbain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AB8851C" w14:textId="0B29B7D0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  <w:tr w:rsidR="006914EA" w:rsidRPr="00DD6591" w14:paraId="58739C72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0E94AD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t xml:space="preserve">UIT-T Y.4229 (anciennement </w:t>
            </w:r>
            <w:proofErr w:type="gramStart"/>
            <w:r w:rsidRPr="00DD6591">
              <w:rPr>
                <w:rFonts w:cstheme="minorHAnsi"/>
                <w:b/>
                <w:szCs w:val="22"/>
              </w:rPr>
              <w:t>Y.IoT</w:t>
            </w:r>
            <w:proofErr w:type="gramEnd"/>
            <w:r w:rsidRPr="00DD6591">
              <w:rPr>
                <w:rFonts w:cstheme="minorHAnsi"/>
                <w:b/>
                <w:szCs w:val="22"/>
              </w:rPr>
              <w:t>-SFFS)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36A7EC6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Exigences et modèle fonctionnel de référence applicables aux systèmes de lutte intelligente contre les feux de forêt basés sur l'Internet des objets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78E482C" w14:textId="1866A71D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  <w:tr w:rsidR="006914EA" w:rsidRPr="00DD6591" w14:paraId="2D763AE0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645A0CC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t xml:space="preserve">UIT-T Y.4230 (anciennement </w:t>
            </w:r>
            <w:proofErr w:type="gramStart"/>
            <w:r w:rsidRPr="00DD6591">
              <w:rPr>
                <w:rFonts w:cstheme="minorHAnsi"/>
                <w:b/>
                <w:szCs w:val="22"/>
              </w:rPr>
              <w:t>Y.EV</w:t>
            </w:r>
            <w:proofErr w:type="gramEnd"/>
            <w:r w:rsidRPr="00DD6591">
              <w:rPr>
                <w:rFonts w:cstheme="minorHAnsi"/>
                <w:b/>
                <w:szCs w:val="22"/>
              </w:rPr>
              <w:t>-charging)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83694B8" w14:textId="535A3D8C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Exigences et cadre des capacités d'un service public intelligent de recharge des véhicules électriques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0F40BD2" w14:textId="06321A01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  <w:tr w:rsidR="006914EA" w:rsidRPr="00DD6591" w14:paraId="13CF7344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BBD7713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t xml:space="preserve">UIT-T Y.4231 (anciennement </w:t>
            </w:r>
            <w:proofErr w:type="gramStart"/>
            <w:r w:rsidRPr="00DD6591">
              <w:rPr>
                <w:rFonts w:cstheme="minorHAnsi"/>
                <w:b/>
                <w:szCs w:val="22"/>
              </w:rPr>
              <w:t>Y.IoT</w:t>
            </w:r>
            <w:proofErr w:type="gramEnd"/>
            <w:r w:rsidRPr="00DD6591">
              <w:rPr>
                <w:rFonts w:cstheme="minorHAnsi"/>
                <w:b/>
                <w:szCs w:val="22"/>
              </w:rPr>
              <w:t>-Vreqs)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8DCEC3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Exigences et cadre des capacités de l'Internet des objets appliqué à la vision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141C92C" w14:textId="1568A1DF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  <w:tr w:rsidR="006914EA" w:rsidRPr="00DD6591" w14:paraId="54E517D4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885C46F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lastRenderedPageBreak/>
              <w:t xml:space="preserve">UIT-T Y.4232 (anciennement </w:t>
            </w:r>
            <w:proofErr w:type="gramStart"/>
            <w:r w:rsidRPr="00DD6591">
              <w:rPr>
                <w:rFonts w:cstheme="minorHAnsi"/>
                <w:b/>
                <w:szCs w:val="22"/>
              </w:rPr>
              <w:t>Y.IoT</w:t>
            </w:r>
            <w:proofErr w:type="gramEnd"/>
            <w:r w:rsidRPr="00DD6591">
              <w:rPr>
                <w:rFonts w:cstheme="minorHAnsi"/>
                <w:b/>
                <w:szCs w:val="22"/>
              </w:rPr>
              <w:t>-RTPS)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ECD89CC" w14:textId="47F7FEAC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Exigences, capacités et cas d'utilisation des infrastructures de l'Internet des objets dans les systèmes de perception de bord de route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E2C4F26" w14:textId="7F5AE776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  <w:tr w:rsidR="006914EA" w:rsidRPr="00DD6591" w14:paraId="615FED22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3D0149A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t xml:space="preserve">UIT-T Y.4233 (anciennement </w:t>
            </w:r>
            <w:proofErr w:type="gramStart"/>
            <w:r w:rsidRPr="00DD6591">
              <w:rPr>
                <w:rFonts w:cstheme="minorHAnsi"/>
                <w:b/>
                <w:szCs w:val="22"/>
              </w:rPr>
              <w:t>Y.FSPH</w:t>
            </w:r>
            <w:proofErr w:type="gramEnd"/>
            <w:r w:rsidRPr="00DD6591">
              <w:rPr>
                <w:rFonts w:cstheme="minorHAnsi"/>
                <w:b/>
                <w:szCs w:val="22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0B34A10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Cadre de gestion intelligente des urgences de santé publique pour des villes intelligentes et durables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92D13DD" w14:textId="73E35B45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  <w:tr w:rsidR="006914EA" w:rsidRPr="00DD6591" w14:paraId="7DDCA9D2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819281D" w14:textId="33E7C13A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t xml:space="preserve">UIT-T Y.4234/F.742.3 (anciennement </w:t>
            </w:r>
            <w:proofErr w:type="gramStart"/>
            <w:r w:rsidRPr="00DD6591">
              <w:rPr>
                <w:rFonts w:cstheme="minorHAnsi"/>
                <w:b/>
                <w:szCs w:val="22"/>
              </w:rPr>
              <w:t>Y.RemoteEd</w:t>
            </w:r>
            <w:proofErr w:type="gramEnd"/>
            <w:r w:rsidRPr="00DD6591">
              <w:rPr>
                <w:rFonts w:cstheme="minorHAnsi"/>
                <w:b/>
                <w:szCs w:val="22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824B68E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Exigences, capacités et modèles de déploiement du cyberapprentissage dans le cadre des cours à distance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37C2D24" w14:textId="258F1DDA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  <w:tr w:rsidR="006914EA" w:rsidRPr="00DD6591" w14:paraId="4273FE0A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56BE549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t xml:space="preserve">Y.4222 (anciennement </w:t>
            </w:r>
            <w:proofErr w:type="gramStart"/>
            <w:r w:rsidRPr="00DD6591">
              <w:rPr>
                <w:rFonts w:cstheme="minorHAnsi"/>
                <w:b/>
                <w:szCs w:val="22"/>
              </w:rPr>
              <w:t>Y.smart</w:t>
            </w:r>
            <w:proofErr w:type="gramEnd"/>
            <w:r w:rsidRPr="00DD6591">
              <w:rPr>
                <w:rFonts w:cstheme="minorHAnsi"/>
                <w:b/>
                <w:szCs w:val="22"/>
              </w:rPr>
              <w:t>-evacuation)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747EF11" w14:textId="0FF1EC05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Cadre pour des opérations d'évacuation intelligentes en cas de catastrophe ou de situation d'urgence dans les villes et les communautés intelligentes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AB5F4D" w14:textId="0486C7AC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  <w:tr w:rsidR="006914EA" w:rsidRPr="00DD6591" w14:paraId="4B991AC5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E5A324" w14:textId="0E66F11B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t>UIT-T Y.4507 (</w:t>
            </w:r>
            <w:r w:rsidR="00DD292C" w:rsidRPr="00DD6591">
              <w:rPr>
                <w:rFonts w:cstheme="minorHAnsi"/>
                <w:b/>
                <w:szCs w:val="22"/>
              </w:rPr>
              <w:t>anciennement</w:t>
            </w:r>
            <w:r w:rsidRPr="00DD6591">
              <w:rPr>
                <w:rFonts w:cstheme="minorHAnsi"/>
                <w:b/>
                <w:szCs w:val="22"/>
              </w:rPr>
              <w:t xml:space="preserve"> Y.arc-psfws)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2B0904A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Architecture fonctionnelle d'un système d'alerte pour les installations d'alimentation électrique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A9C5C99" w14:textId="3371FEF9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  <w:tr w:rsidR="006914EA" w:rsidRPr="00DD6591" w14:paraId="3AE2F579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BA4D274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t>UIT-T Y.4508 (anciennement Y.DPM-alm-fra)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D2A92A5" w14:textId="084D74F5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Exigences fonctionnelles et architecture de la gestion des journaux d'activité sur la base de la chaîne de blocs pour le traitement et la gestion des données de l'Internet des</w:t>
            </w:r>
            <w:r w:rsidR="00DD292C" w:rsidRPr="00DD6591">
              <w:rPr>
                <w:rFonts w:cstheme="minorHAnsi"/>
                <w:szCs w:val="22"/>
              </w:rPr>
              <w:t> </w:t>
            </w:r>
            <w:r w:rsidRPr="00DD6591">
              <w:rPr>
                <w:rFonts w:cstheme="minorHAnsi"/>
                <w:szCs w:val="22"/>
              </w:rPr>
              <w:t>objets (IoT)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5488A00" w14:textId="7EAD989B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  <w:tr w:rsidR="006914EA" w:rsidRPr="00DD6591" w14:paraId="61EFE7DC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EFE3C5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t>UIT-T Y.4706 (anciennement Y.dem-IoT)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101DAFA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Modèle d'échange de données pour les dispositifs de l'Internet des objets (IoT) dans les équipements de transmission et de transformation de l'électricité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F3A7D90" w14:textId="5C508107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  <w:tr w:rsidR="006914EA" w:rsidRPr="00DD6591" w14:paraId="7B2F41D2" w14:textId="77777777" w:rsidTr="00137C3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B9EC800" w14:textId="1E8C8A70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b/>
                <w:szCs w:val="22"/>
              </w:rPr>
            </w:pPr>
            <w:r w:rsidRPr="00DD6591">
              <w:rPr>
                <w:rFonts w:cstheme="minorHAnsi"/>
                <w:b/>
                <w:szCs w:val="22"/>
              </w:rPr>
              <w:t>UIT-T Y.4499 (anciennement Y.UIM-cs-framework)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56B831D" w14:textId="77777777" w:rsidR="006914EA" w:rsidRPr="00DD6591" w:rsidRDefault="006914EA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Cadre pour la surveillance des infrastructures urbaines fondé sur une méthode participative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91C495" w14:textId="2D72C216" w:rsidR="006914EA" w:rsidRPr="00DD6591" w:rsidRDefault="00237056" w:rsidP="00237056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D6591">
              <w:rPr>
                <w:rFonts w:cstheme="minorHAnsi"/>
                <w:szCs w:val="22"/>
              </w:rPr>
              <w:t>APPROUVÉ</w:t>
            </w:r>
          </w:p>
        </w:tc>
      </w:tr>
    </w:tbl>
    <w:p w14:paraId="5EFD103F" w14:textId="07007CE7" w:rsidR="006914EA" w:rsidRPr="00DD6591" w:rsidRDefault="006914EA" w:rsidP="00DD292C">
      <w:pPr>
        <w:spacing w:before="240"/>
        <w:rPr>
          <w:rFonts w:cstheme="minorHAnsi"/>
          <w:sz w:val="22"/>
          <w:szCs w:val="22"/>
        </w:rPr>
      </w:pPr>
      <w:r w:rsidRPr="00DD6591">
        <w:rPr>
          <w:rFonts w:cstheme="minorHAnsi"/>
          <w:sz w:val="22"/>
          <w:szCs w:val="22"/>
        </w:rPr>
        <w:t>2</w:t>
      </w:r>
      <w:r w:rsidRPr="00DD6591">
        <w:rPr>
          <w:rFonts w:cstheme="minorHAnsi"/>
          <w:sz w:val="22"/>
          <w:szCs w:val="22"/>
        </w:rPr>
        <w:tab/>
        <w:t xml:space="preserve">Les renseignements existants sur les brevets sont accessibles en ligne sur le </w:t>
      </w:r>
      <w:hyperlink r:id="rId11" w:history="1">
        <w:r w:rsidRPr="00DD6591">
          <w:rPr>
            <w:rStyle w:val="Hyperlink"/>
            <w:rFonts w:cstheme="minorHAnsi"/>
            <w:sz w:val="22"/>
            <w:szCs w:val="22"/>
          </w:rPr>
          <w:t>site web de l'UIT-T</w:t>
        </w:r>
      </w:hyperlink>
      <w:r w:rsidRPr="00DD6591">
        <w:rPr>
          <w:rFonts w:cstheme="minorHAnsi"/>
          <w:sz w:val="22"/>
          <w:szCs w:val="22"/>
        </w:rPr>
        <w:t>.</w:t>
      </w:r>
    </w:p>
    <w:p w14:paraId="2D651D93" w14:textId="71D08D5F" w:rsidR="006914EA" w:rsidRPr="00DD6591" w:rsidRDefault="006914EA" w:rsidP="006914EA">
      <w:pPr>
        <w:rPr>
          <w:rFonts w:cstheme="minorHAnsi"/>
          <w:sz w:val="22"/>
          <w:szCs w:val="22"/>
        </w:rPr>
      </w:pPr>
      <w:r w:rsidRPr="00DD6591">
        <w:rPr>
          <w:rFonts w:cstheme="minorHAnsi"/>
          <w:sz w:val="22"/>
          <w:szCs w:val="22"/>
        </w:rPr>
        <w:t>3</w:t>
      </w:r>
      <w:r w:rsidRPr="00DD6591">
        <w:rPr>
          <w:rFonts w:cstheme="minorHAnsi"/>
          <w:sz w:val="22"/>
          <w:szCs w:val="22"/>
        </w:rPr>
        <w:tab/>
        <w:t xml:space="preserve">La version prépubliée de ces Recommandations sera disponible sur le site web de l'UIT-T à </w:t>
      </w:r>
      <w:proofErr w:type="gramStart"/>
      <w:r w:rsidRPr="00DD6591">
        <w:rPr>
          <w:rFonts w:cstheme="minorHAnsi"/>
          <w:sz w:val="22"/>
          <w:szCs w:val="22"/>
        </w:rPr>
        <w:t>l'adresse:</w:t>
      </w:r>
      <w:proofErr w:type="gramEnd"/>
      <w:r w:rsidRPr="00DD6591">
        <w:rPr>
          <w:rFonts w:cstheme="minorHAnsi"/>
          <w:sz w:val="22"/>
          <w:szCs w:val="22"/>
        </w:rPr>
        <w:t xml:space="preserve"> </w:t>
      </w:r>
      <w:hyperlink r:id="rId12" w:history="1">
        <w:r w:rsidRPr="00DD6591">
          <w:rPr>
            <w:rStyle w:val="Hyperlink"/>
            <w:rFonts w:cstheme="minorHAnsi"/>
            <w:sz w:val="22"/>
            <w:szCs w:val="22"/>
          </w:rPr>
          <w:t>https://www.itu.int/itu-t/recommendations/</w:t>
        </w:r>
      </w:hyperlink>
      <w:r w:rsidRPr="00DD6591">
        <w:rPr>
          <w:rFonts w:cstheme="minorHAnsi"/>
          <w:sz w:val="22"/>
          <w:szCs w:val="22"/>
        </w:rPr>
        <w:t>.</w:t>
      </w:r>
    </w:p>
    <w:p w14:paraId="46F2C3C2" w14:textId="1B2C5E55" w:rsidR="00307FB4" w:rsidRPr="00DD6591" w:rsidRDefault="006914EA" w:rsidP="006914EA">
      <w:pPr>
        <w:rPr>
          <w:rFonts w:cstheme="minorHAnsi"/>
          <w:bCs/>
          <w:sz w:val="22"/>
          <w:szCs w:val="22"/>
        </w:rPr>
      </w:pPr>
      <w:r w:rsidRPr="00DD6591">
        <w:rPr>
          <w:rFonts w:cstheme="minorHAnsi"/>
          <w:sz w:val="22"/>
          <w:szCs w:val="22"/>
        </w:rPr>
        <w:t>4</w:t>
      </w:r>
      <w:r w:rsidRPr="00DD6591">
        <w:rPr>
          <w:rFonts w:cstheme="minorHAnsi"/>
          <w:sz w:val="22"/>
          <w:szCs w:val="22"/>
        </w:rPr>
        <w:tab/>
        <w:t>L'UIT publiera dès que possible les textes des Recommandations approuvées.</w:t>
      </w:r>
    </w:p>
    <w:p w14:paraId="3A296738" w14:textId="2579CBFA" w:rsidR="00B60868" w:rsidRPr="00DD6591" w:rsidRDefault="00307FB4" w:rsidP="00DD6591">
      <w:pPr>
        <w:rPr>
          <w:rFonts w:cstheme="minorHAnsi"/>
          <w:bCs/>
          <w:sz w:val="22"/>
          <w:szCs w:val="22"/>
        </w:rPr>
      </w:pPr>
      <w:r w:rsidRPr="00DD6591">
        <w:rPr>
          <w:rFonts w:cstheme="minorHAnsi"/>
          <w:bCs/>
          <w:sz w:val="22"/>
          <w:szCs w:val="22"/>
        </w:rPr>
        <w:t>Veuillez agréer, Madame, Monsieur, l'assurance de ma considération distinguée.</w:t>
      </w:r>
    </w:p>
    <w:p w14:paraId="558FB742" w14:textId="4C930CBD" w:rsidR="002937DB" w:rsidRPr="00DD6591" w:rsidRDefault="0090466E" w:rsidP="00DD6591">
      <w:pPr>
        <w:spacing w:before="7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D6EB4BA" wp14:editId="4C9E9D7C">
            <wp:simplePos x="0" y="0"/>
            <wp:positionH relativeFrom="column">
              <wp:posOffset>-12065</wp:posOffset>
            </wp:positionH>
            <wp:positionV relativeFrom="paragraph">
              <wp:posOffset>63500</wp:posOffset>
            </wp:positionV>
            <wp:extent cx="692186" cy="330217"/>
            <wp:effectExtent l="0" t="0" r="0" b="0"/>
            <wp:wrapNone/>
            <wp:docPr id="1271269112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69112" name="Picture 2" descr="A black text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86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FB4" w:rsidRPr="00DD6591">
        <w:rPr>
          <w:rFonts w:cstheme="minorHAnsi"/>
          <w:bCs/>
          <w:sz w:val="22"/>
          <w:szCs w:val="22"/>
        </w:rPr>
        <w:t>Seizo Onoe</w:t>
      </w:r>
      <w:r w:rsidR="00B60868" w:rsidRPr="00DD6591">
        <w:rPr>
          <w:rFonts w:cstheme="minorHAnsi"/>
          <w:bCs/>
          <w:sz w:val="22"/>
          <w:szCs w:val="22"/>
        </w:rPr>
        <w:br/>
      </w:r>
      <w:r w:rsidR="00307FB4" w:rsidRPr="00DD6591">
        <w:rPr>
          <w:rFonts w:cstheme="minorHAnsi"/>
          <w:bCs/>
          <w:sz w:val="22"/>
          <w:szCs w:val="22"/>
        </w:rPr>
        <w:t>Directeur du Bureau de la normalisation</w:t>
      </w:r>
      <w:r w:rsidR="00B60868" w:rsidRPr="00DD6591">
        <w:rPr>
          <w:rFonts w:cstheme="minorHAnsi"/>
          <w:bCs/>
          <w:sz w:val="22"/>
          <w:szCs w:val="22"/>
        </w:rPr>
        <w:br/>
      </w:r>
      <w:r w:rsidR="00307FB4" w:rsidRPr="00DD6591">
        <w:rPr>
          <w:rFonts w:cstheme="minorHAnsi"/>
          <w:bCs/>
          <w:sz w:val="22"/>
          <w:szCs w:val="22"/>
        </w:rPr>
        <w:t>des télécommunications</w:t>
      </w:r>
    </w:p>
    <w:sectPr w:rsidR="002937DB" w:rsidRPr="00DD6591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5B911535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3A1B7092" w:rsidR="00697BC1" w:rsidRPr="00697BC1" w:rsidRDefault="0090466E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6914EA">
      <w:rPr>
        <w:noProof/>
        <w:sz w:val="18"/>
        <w:szCs w:val="16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37056"/>
    <w:rsid w:val="002937DB"/>
    <w:rsid w:val="002E395D"/>
    <w:rsid w:val="00307FB4"/>
    <w:rsid w:val="003131F0"/>
    <w:rsid w:val="00321BC5"/>
    <w:rsid w:val="00333A80"/>
    <w:rsid w:val="00341117"/>
    <w:rsid w:val="00364E95"/>
    <w:rsid w:val="00372875"/>
    <w:rsid w:val="003742F8"/>
    <w:rsid w:val="00382DD0"/>
    <w:rsid w:val="003B1E80"/>
    <w:rsid w:val="003B66E8"/>
    <w:rsid w:val="003C0DBF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D77B7"/>
    <w:rsid w:val="00601682"/>
    <w:rsid w:val="00603470"/>
    <w:rsid w:val="00625E79"/>
    <w:rsid w:val="006333F7"/>
    <w:rsid w:val="006427A1"/>
    <w:rsid w:val="00644741"/>
    <w:rsid w:val="006914EA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0466E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62481"/>
    <w:rsid w:val="00DC3D47"/>
    <w:rsid w:val="00DC5F19"/>
    <w:rsid w:val="00DD292C"/>
    <w:rsid w:val="00DD6591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link w:val="TabletextChar"/>
    <w:qFormat/>
    <w:rsid w:val="006914E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character" w:customStyle="1" w:styleId="TabletextChar">
    <w:name w:val="Table_text Char"/>
    <w:link w:val="Tabletext0"/>
    <w:qFormat/>
    <w:locked/>
    <w:rsid w:val="006914EA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D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23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18</TotalTime>
  <Pages>2</Pages>
  <Words>554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4426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7</cp:revision>
  <cp:lastPrinted>2025-03-05T16:07:00Z</cp:lastPrinted>
  <dcterms:created xsi:type="dcterms:W3CDTF">2025-01-29T14:38:00Z</dcterms:created>
  <dcterms:modified xsi:type="dcterms:W3CDTF">2025-03-05T16:08:00Z</dcterms:modified>
</cp:coreProperties>
</file>