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3119"/>
        <w:gridCol w:w="1984"/>
      </w:tblGrid>
      <w:tr w:rsidR="00FA46A0" w:rsidRPr="00813DA0" w14:paraId="0A38A024" w14:textId="77777777" w:rsidTr="00722D8C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Pr="00813DA0" w:rsidRDefault="009747C5">
            <w:pPr>
              <w:pStyle w:val="Tabletext"/>
              <w:jc w:val="center"/>
            </w:pPr>
            <w:r w:rsidRPr="00813DA0">
              <w:rPr>
                <w:noProof/>
                <w:lang w:val="en-US" w:eastAsia="zh-CN"/>
              </w:rPr>
              <w:drawing>
                <wp:inline distT="0" distB="0" distL="0" distR="0" wp14:anchorId="4F7FD8A9" wp14:editId="76A7BB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952587" w14:textId="77777777" w:rsidR="00FA46A0" w:rsidRPr="00813D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13DA0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CD74E0" w14:textId="77777777" w:rsidR="00FA46A0" w:rsidRPr="00813D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13DA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97E21" w14:textId="77777777" w:rsidR="00FA46A0" w:rsidRPr="00813D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813DA0" w14:paraId="52E18B78" w14:textId="77777777" w:rsidTr="0049682E">
        <w:trPr>
          <w:cantSplit/>
          <w:trHeight w:val="80"/>
        </w:trPr>
        <w:tc>
          <w:tcPr>
            <w:tcW w:w="4820" w:type="dxa"/>
            <w:gridSpan w:val="2"/>
            <w:vAlign w:val="center"/>
          </w:tcPr>
          <w:p w14:paraId="39644AFD" w14:textId="77777777" w:rsidR="00FA46A0" w:rsidRPr="00813DA0" w:rsidRDefault="00FA46A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1A6109A0" w:rsidR="00FA46A0" w:rsidRPr="00813DA0" w:rsidRDefault="00B61012" w:rsidP="00722D8C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595F30"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602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03F5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3602E">
              <w:rPr>
                <w:rFonts w:asciiTheme="minorHAnsi" w:hAnsiTheme="minorHAnsi" w:cstheme="minorHAnsi"/>
                <w:sz w:val="22"/>
                <w:szCs w:val="22"/>
              </w:rPr>
              <w:t xml:space="preserve"> January 2025</w:t>
            </w:r>
          </w:p>
        </w:tc>
      </w:tr>
      <w:tr w:rsidR="00FA46A0" w:rsidRPr="00813DA0" w14:paraId="4A14CE97" w14:textId="77777777" w:rsidTr="0049682E">
        <w:trPr>
          <w:cantSplit/>
          <w:trHeight w:val="746"/>
        </w:trPr>
        <w:tc>
          <w:tcPr>
            <w:tcW w:w="1276" w:type="dxa"/>
          </w:tcPr>
          <w:p w14:paraId="31B05841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</w:tcPr>
          <w:p w14:paraId="7D7C0B16" w14:textId="0576CC5E" w:rsidR="00FA46A0" w:rsidRPr="00813DA0" w:rsidRDefault="00B61012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9360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  <w:p w14:paraId="55369166" w14:textId="4531D4D9" w:rsidR="00595F30" w:rsidRPr="00813DA0" w:rsidRDefault="00595F30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SG20/CB</w:t>
            </w:r>
          </w:p>
        </w:tc>
        <w:tc>
          <w:tcPr>
            <w:tcW w:w="5103" w:type="dxa"/>
            <w:gridSpan w:val="2"/>
            <w:vMerge w:val="restart"/>
          </w:tcPr>
          <w:p w14:paraId="2974E374" w14:textId="77777777" w:rsidR="00FF5729" w:rsidRPr="00813DA0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01288E4" w14:textId="77777777" w:rsidR="00FA46A0" w:rsidRPr="00813DA0" w:rsidRDefault="00FF5729" w:rsidP="00595F30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Administrations of Member States of the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A72C30" w:rsidRPr="00813D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6808C16" w14:textId="77777777" w:rsidR="009A3D71" w:rsidRPr="00813DA0" w:rsidRDefault="009A3D71" w:rsidP="009A3D71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C8AFA31" w14:textId="77777777" w:rsidR="009A3D71" w:rsidRPr="00813DA0" w:rsidRDefault="009A3D71" w:rsidP="009A3D71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ITU-T Sector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1AACE73F" w14:textId="77777777" w:rsidR="009A3D71" w:rsidRPr="00813DA0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20;</w:t>
            </w:r>
            <w:proofErr w:type="gramEnd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300D43" w14:textId="77777777" w:rsidR="009A3D71" w:rsidRPr="00813DA0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Academia;</w:t>
            </w:r>
            <w:proofErr w:type="gramEnd"/>
          </w:p>
          <w:p w14:paraId="2C79B814" w14:textId="2A095C5B" w:rsidR="009A3D71" w:rsidRPr="00813DA0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>The Chair and Vice-Chair</w:t>
            </w:r>
            <w:r w:rsidR="009360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 of ITU-T Study Group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20;</w:t>
            </w:r>
            <w:proofErr w:type="gramEnd"/>
          </w:p>
          <w:p w14:paraId="5497B11B" w14:textId="77777777" w:rsidR="009A3D71" w:rsidRPr="00813DA0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5A722A7B" w14:textId="77777777" w:rsidR="009A3D71" w:rsidRPr="00813DA0" w:rsidRDefault="009A3D71" w:rsidP="009A3D71">
            <w:pPr>
              <w:pStyle w:val="Tabletext"/>
              <w:tabs>
                <w:tab w:val="clear" w:pos="284"/>
              </w:tabs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  <w:p w14:paraId="2172BEF7" w14:textId="6788A443" w:rsidR="009A3D71" w:rsidRPr="00813DA0" w:rsidRDefault="009A3D71" w:rsidP="009A3D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813DA0" w14:paraId="2E464793" w14:textId="77777777" w:rsidTr="0049682E">
        <w:trPr>
          <w:cantSplit/>
          <w:trHeight w:val="221"/>
        </w:trPr>
        <w:tc>
          <w:tcPr>
            <w:tcW w:w="1276" w:type="dxa"/>
          </w:tcPr>
          <w:p w14:paraId="1B464DED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7328331E" w14:textId="31C625B2" w:rsidR="00FA46A0" w:rsidRPr="00813DA0" w:rsidRDefault="00C95BF6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595F30" w:rsidRPr="00813DA0">
              <w:rPr>
                <w:rFonts w:asciiTheme="minorHAnsi" w:hAnsiTheme="minorHAnsi" w:cstheme="minorHAnsi"/>
                <w:sz w:val="22"/>
                <w:szCs w:val="22"/>
              </w:rPr>
              <w:t>6301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FA46A0" w:rsidRPr="00813DA0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813DA0" w14:paraId="4B57BBDA" w14:textId="77777777" w:rsidTr="0049682E">
        <w:trPr>
          <w:cantSplit/>
          <w:trHeight w:val="282"/>
        </w:trPr>
        <w:tc>
          <w:tcPr>
            <w:tcW w:w="1276" w:type="dxa"/>
          </w:tcPr>
          <w:p w14:paraId="4F34BF00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5934AD5D" w14:textId="35904408" w:rsidR="009A3D71" w:rsidRPr="00813DA0" w:rsidRDefault="009A3D7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6653ACF4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4EBB641" w14:textId="331F0846" w:rsidR="009A3D71" w:rsidRPr="00813DA0" w:rsidRDefault="009A3D71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Pr="00813DA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FA46A0" w:rsidRPr="00813DA0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813DA0" w14:paraId="426A1DAC" w14:textId="77777777" w:rsidTr="0049682E">
        <w:trPr>
          <w:cantSplit/>
          <w:trHeight w:val="618"/>
        </w:trPr>
        <w:tc>
          <w:tcPr>
            <w:tcW w:w="1276" w:type="dxa"/>
          </w:tcPr>
          <w:p w14:paraId="461028CE" w14:textId="77777777" w:rsidR="00FA46A0" w:rsidRPr="00813D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74FA53B4" w14:textId="1C18ED35" w:rsidR="00FA46A0" w:rsidRPr="00813DA0" w:rsidRDefault="00595F3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Status of Recommendations</w:t>
            </w:r>
            <w:r w:rsidR="00A07FA9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ITU-T </w:t>
            </w:r>
            <w:r w:rsidR="0093602E" w:rsidRPr="00864CFB">
              <w:rPr>
                <w:rFonts w:cs="Calibri"/>
                <w:b/>
                <w:sz w:val="22"/>
                <w:szCs w:val="22"/>
              </w:rPr>
              <w:t>Y.4506 (ex</w:t>
            </w:r>
            <w:r w:rsidR="0093602E">
              <w:rPr>
                <w:rFonts w:cs="Calibri"/>
                <w:b/>
                <w:sz w:val="22"/>
                <w:szCs w:val="22"/>
              </w:rPr>
              <w:t> </w:t>
            </w:r>
            <w:r w:rsidR="0093602E" w:rsidRPr="00864CFB">
              <w:rPr>
                <w:rFonts w:cs="Calibri"/>
                <w:b/>
                <w:sz w:val="22"/>
                <w:szCs w:val="22"/>
              </w:rPr>
              <w:t xml:space="preserve">Y.DRI-arch), Y.4229 (ex </w:t>
            </w:r>
            <w:proofErr w:type="spellStart"/>
            <w:r w:rsidR="0093602E" w:rsidRPr="00864CFB">
              <w:rPr>
                <w:rFonts w:cs="Calibri"/>
                <w:b/>
                <w:sz w:val="22"/>
                <w:szCs w:val="22"/>
              </w:rPr>
              <w:t>Y.IoT</w:t>
            </w:r>
            <w:proofErr w:type="spellEnd"/>
            <w:r w:rsidR="0093602E" w:rsidRPr="00864CFB">
              <w:rPr>
                <w:rFonts w:cs="Calibri"/>
                <w:b/>
                <w:sz w:val="22"/>
                <w:szCs w:val="22"/>
              </w:rPr>
              <w:t xml:space="preserve">-SFFS), Y.4230 (ex Y.EV-charging), Y.4231 (ex </w:t>
            </w:r>
            <w:proofErr w:type="spellStart"/>
            <w:r w:rsidR="0093602E" w:rsidRPr="00864CFB">
              <w:rPr>
                <w:rFonts w:cs="Calibri"/>
                <w:b/>
                <w:sz w:val="22"/>
                <w:szCs w:val="22"/>
              </w:rPr>
              <w:t>Y.IoT-Vreqs</w:t>
            </w:r>
            <w:proofErr w:type="spellEnd"/>
            <w:r w:rsidR="0093602E" w:rsidRPr="00864CFB">
              <w:rPr>
                <w:rFonts w:cs="Calibri"/>
                <w:b/>
                <w:sz w:val="22"/>
                <w:szCs w:val="22"/>
              </w:rPr>
              <w:t xml:space="preserve">), Y.4232 (ex </w:t>
            </w:r>
            <w:proofErr w:type="spellStart"/>
            <w:r w:rsidR="0093602E" w:rsidRPr="00864CFB">
              <w:rPr>
                <w:rFonts w:cs="Calibri"/>
                <w:b/>
                <w:sz w:val="22"/>
                <w:szCs w:val="22"/>
              </w:rPr>
              <w:t>Y.IoT</w:t>
            </w:r>
            <w:proofErr w:type="spellEnd"/>
            <w:r w:rsidR="0093602E" w:rsidRPr="00864CFB">
              <w:rPr>
                <w:rFonts w:cs="Calibri"/>
                <w:b/>
                <w:sz w:val="22"/>
                <w:szCs w:val="22"/>
              </w:rPr>
              <w:t xml:space="preserve">-RTPS), Y.4233 (ex Y.FSPH), Y.4234 (ex </w:t>
            </w:r>
            <w:proofErr w:type="spellStart"/>
            <w:r w:rsidR="0093602E" w:rsidRPr="00864CFB">
              <w:rPr>
                <w:rFonts w:cs="Calibri"/>
                <w:b/>
                <w:sz w:val="22"/>
                <w:szCs w:val="22"/>
              </w:rPr>
              <w:t>Y.RemoteEd</w:t>
            </w:r>
            <w:proofErr w:type="spellEnd"/>
            <w:r w:rsidR="0093602E" w:rsidRPr="00864CFB">
              <w:rPr>
                <w:rFonts w:cs="Calibri"/>
                <w:b/>
                <w:sz w:val="22"/>
                <w:szCs w:val="22"/>
              </w:rPr>
              <w:t xml:space="preserve">), Y.4222 (ex </w:t>
            </w:r>
            <w:proofErr w:type="spellStart"/>
            <w:r w:rsidR="0093602E" w:rsidRPr="00864CFB">
              <w:rPr>
                <w:rFonts w:cs="Calibri"/>
                <w:b/>
                <w:sz w:val="22"/>
                <w:szCs w:val="22"/>
              </w:rPr>
              <w:t>Y.smart</w:t>
            </w:r>
            <w:proofErr w:type="spellEnd"/>
            <w:r w:rsidR="0093602E" w:rsidRPr="00864CFB">
              <w:rPr>
                <w:rFonts w:cs="Calibri"/>
                <w:b/>
                <w:sz w:val="22"/>
                <w:szCs w:val="22"/>
              </w:rPr>
              <w:t>-evacuation), Y.4507 (ex Y.arc-</w:t>
            </w:r>
            <w:proofErr w:type="spellStart"/>
            <w:r w:rsidR="0093602E" w:rsidRPr="00864CFB">
              <w:rPr>
                <w:rFonts w:cs="Calibri"/>
                <w:b/>
                <w:sz w:val="22"/>
                <w:szCs w:val="22"/>
              </w:rPr>
              <w:t>psfws</w:t>
            </w:r>
            <w:proofErr w:type="spellEnd"/>
            <w:r w:rsidR="0093602E" w:rsidRPr="00864CFB">
              <w:rPr>
                <w:rFonts w:cs="Calibri"/>
                <w:b/>
                <w:sz w:val="22"/>
                <w:szCs w:val="22"/>
              </w:rPr>
              <w:t>), Y.4508 (ex</w:t>
            </w:r>
            <w:r w:rsidR="00503F59">
              <w:rPr>
                <w:rFonts w:cs="Calibri"/>
                <w:b/>
                <w:sz w:val="22"/>
                <w:szCs w:val="22"/>
              </w:rPr>
              <w:t> </w:t>
            </w:r>
            <w:r w:rsidR="0093602E" w:rsidRPr="00864CFB">
              <w:rPr>
                <w:rFonts w:cs="Calibri"/>
                <w:b/>
                <w:sz w:val="22"/>
                <w:szCs w:val="22"/>
              </w:rPr>
              <w:t>Y.DPM-</w:t>
            </w:r>
            <w:proofErr w:type="spellStart"/>
            <w:r w:rsidR="0093602E" w:rsidRPr="00864CFB">
              <w:rPr>
                <w:rFonts w:cs="Calibri"/>
                <w:b/>
                <w:sz w:val="22"/>
                <w:szCs w:val="22"/>
              </w:rPr>
              <w:t>alm</w:t>
            </w:r>
            <w:proofErr w:type="spellEnd"/>
            <w:r w:rsidR="0093602E" w:rsidRPr="00864CFB">
              <w:rPr>
                <w:rFonts w:cs="Calibri"/>
                <w:b/>
                <w:sz w:val="22"/>
                <w:szCs w:val="22"/>
              </w:rPr>
              <w:t>-</w:t>
            </w:r>
            <w:proofErr w:type="spellStart"/>
            <w:r w:rsidR="0093602E" w:rsidRPr="00864CFB">
              <w:rPr>
                <w:rFonts w:cs="Calibri"/>
                <w:b/>
                <w:sz w:val="22"/>
                <w:szCs w:val="22"/>
              </w:rPr>
              <w:t>fra</w:t>
            </w:r>
            <w:proofErr w:type="spellEnd"/>
            <w:r w:rsidR="0093602E" w:rsidRPr="00864CFB">
              <w:rPr>
                <w:rFonts w:cs="Calibri"/>
                <w:b/>
                <w:sz w:val="22"/>
                <w:szCs w:val="22"/>
              </w:rPr>
              <w:t xml:space="preserve">), Y.4706 (ex </w:t>
            </w:r>
            <w:proofErr w:type="spellStart"/>
            <w:r w:rsidR="0093602E" w:rsidRPr="00864CFB">
              <w:rPr>
                <w:rFonts w:cs="Calibri"/>
                <w:b/>
                <w:sz w:val="22"/>
                <w:szCs w:val="22"/>
              </w:rPr>
              <w:t>Y.dem</w:t>
            </w:r>
            <w:proofErr w:type="spellEnd"/>
            <w:r w:rsidR="0093602E" w:rsidRPr="00864CFB">
              <w:rPr>
                <w:rFonts w:cs="Calibri"/>
                <w:b/>
                <w:sz w:val="22"/>
                <w:szCs w:val="22"/>
              </w:rPr>
              <w:t>-IoT) and Y.4499 (ex</w:t>
            </w:r>
            <w:r w:rsidR="0093602E">
              <w:rPr>
                <w:rFonts w:cs="Calibri"/>
                <w:b/>
                <w:sz w:val="22"/>
                <w:szCs w:val="22"/>
              </w:rPr>
              <w:t> </w:t>
            </w:r>
            <w:r w:rsidR="0093602E" w:rsidRPr="00864CFB">
              <w:rPr>
                <w:rFonts w:cs="Calibri"/>
                <w:b/>
                <w:sz w:val="22"/>
                <w:szCs w:val="22"/>
              </w:rPr>
              <w:t>Y.UIM-cs-framework)</w:t>
            </w:r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after the ITU-T Study Group 20 meeting</w:t>
            </w:r>
            <w:r w:rsidR="002D02DC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8503FD"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Geneva, </w:t>
            </w:r>
            <w:r w:rsidR="0093602E">
              <w:rPr>
                <w:rFonts w:asciiTheme="minorHAnsi" w:hAnsiTheme="minorHAnsi" w:cstheme="minorHAnsi"/>
                <w:b/>
                <w:sz w:val="22"/>
                <w:szCs w:val="22"/>
              </w:rPr>
              <w:t>15-24 January 2025</w:t>
            </w:r>
            <w:r w:rsidRPr="00813DA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89B0325" w14:textId="0B3223D0" w:rsidR="00FA46A0" w:rsidRPr="00813DA0" w:rsidRDefault="00B61012" w:rsidP="009A3D7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sz w:val="22"/>
          <w:szCs w:val="22"/>
        </w:rPr>
        <w:t>Dear Sir/Madam,</w:t>
      </w:r>
    </w:p>
    <w:p w14:paraId="6225C2AB" w14:textId="52E6AB55" w:rsidR="00595F30" w:rsidRPr="00813DA0" w:rsidRDefault="00595F30" w:rsidP="002D02D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1</w:t>
      </w:r>
      <w:r w:rsidRPr="00813DA0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9" w:history="1">
        <w:r w:rsidR="008503FD" w:rsidRPr="00813DA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TSB Circular </w:t>
        </w:r>
        <w:r w:rsidR="0093602E">
          <w:rPr>
            <w:rStyle w:val="Hyperlink"/>
            <w:rFonts w:asciiTheme="minorHAnsi" w:hAnsiTheme="minorHAnsi" w:cstheme="minorHAnsi"/>
            <w:sz w:val="22"/>
            <w:szCs w:val="22"/>
          </w:rPr>
          <w:t>236</w:t>
        </w:r>
      </w:hyperlink>
      <w:r w:rsidR="00813DA0" w:rsidRPr="00813DA0">
        <w:rPr>
          <w:rFonts w:asciiTheme="minorHAnsi" w:hAnsiTheme="minorHAnsi" w:cstheme="minorHAnsi"/>
          <w:sz w:val="22"/>
          <w:szCs w:val="22"/>
        </w:rPr>
        <w:t xml:space="preserve"> of </w:t>
      </w:r>
      <w:r w:rsidR="0093602E">
        <w:rPr>
          <w:sz w:val="22"/>
          <w:szCs w:val="22"/>
        </w:rPr>
        <w:t>27</w:t>
      </w:r>
      <w:r w:rsidR="00813DA0" w:rsidRPr="00813DA0">
        <w:rPr>
          <w:sz w:val="22"/>
          <w:szCs w:val="22"/>
        </w:rPr>
        <w:t xml:space="preserve"> </w:t>
      </w:r>
      <w:r w:rsidR="0093602E">
        <w:rPr>
          <w:sz w:val="22"/>
          <w:szCs w:val="22"/>
        </w:rPr>
        <w:t>September</w:t>
      </w:r>
      <w:r w:rsidR="00813DA0" w:rsidRPr="00813DA0">
        <w:rPr>
          <w:sz w:val="22"/>
          <w:szCs w:val="22"/>
        </w:rPr>
        <w:t xml:space="preserve"> 202</w:t>
      </w:r>
      <w:r w:rsidR="0093602E">
        <w:rPr>
          <w:sz w:val="22"/>
          <w:szCs w:val="22"/>
        </w:rPr>
        <w:t>4</w:t>
      </w:r>
      <w:r w:rsidRPr="00813DA0">
        <w:rPr>
          <w:rFonts w:asciiTheme="minorHAnsi" w:hAnsiTheme="minorHAnsi" w:cstheme="minorHAnsi"/>
          <w:sz w:val="22"/>
          <w:szCs w:val="22"/>
        </w:rPr>
        <w:t>, and pursuant to 9.5 of Resolution 1 (</w:t>
      </w:r>
      <w:r w:rsidR="0010671D" w:rsidRPr="00813DA0">
        <w:rPr>
          <w:rFonts w:asciiTheme="minorHAnsi" w:hAnsiTheme="minorHAnsi" w:cstheme="minorHAnsi"/>
          <w:sz w:val="22"/>
          <w:szCs w:val="22"/>
        </w:rPr>
        <w:t>Rev. Geneva, 2022</w:t>
      </w:r>
      <w:r w:rsidRPr="00813DA0">
        <w:rPr>
          <w:rFonts w:asciiTheme="minorHAnsi" w:hAnsiTheme="minorHAnsi" w:cstheme="minorHAnsi"/>
          <w:sz w:val="22"/>
          <w:szCs w:val="22"/>
        </w:rPr>
        <w:t>), I hereby inform you that Study Group 20 reached the following decision during its Plenary session</w:t>
      </w:r>
      <w:r w:rsidR="00813DA0" w:rsidRPr="00813DA0">
        <w:rPr>
          <w:rFonts w:asciiTheme="minorHAnsi" w:hAnsiTheme="minorHAnsi" w:cstheme="minorHAnsi"/>
          <w:sz w:val="22"/>
          <w:szCs w:val="22"/>
        </w:rPr>
        <w:t>s</w:t>
      </w:r>
      <w:r w:rsidRPr="00813DA0">
        <w:rPr>
          <w:rFonts w:asciiTheme="minorHAnsi" w:hAnsiTheme="minorHAnsi" w:cstheme="minorHAnsi"/>
          <w:sz w:val="22"/>
          <w:szCs w:val="22"/>
        </w:rPr>
        <w:t xml:space="preserve"> held on </w:t>
      </w:r>
      <w:r w:rsidR="0093602E">
        <w:rPr>
          <w:rFonts w:asciiTheme="minorHAnsi" w:hAnsiTheme="minorHAnsi" w:cstheme="minorHAnsi"/>
          <w:sz w:val="22"/>
          <w:szCs w:val="22"/>
        </w:rPr>
        <w:t>15 January 2025</w:t>
      </w:r>
      <w:r w:rsidR="00813DA0" w:rsidRPr="00813DA0">
        <w:rPr>
          <w:rFonts w:asciiTheme="minorHAnsi" w:hAnsiTheme="minorHAnsi" w:cstheme="minorHAnsi"/>
          <w:sz w:val="22"/>
          <w:szCs w:val="22"/>
        </w:rPr>
        <w:t xml:space="preserve"> and </w:t>
      </w:r>
      <w:r w:rsidR="0093602E">
        <w:rPr>
          <w:rFonts w:asciiTheme="minorHAnsi" w:hAnsiTheme="minorHAnsi" w:cstheme="minorHAnsi"/>
          <w:sz w:val="22"/>
          <w:szCs w:val="22"/>
        </w:rPr>
        <w:t>22 January 2025</w:t>
      </w:r>
      <w:r w:rsidR="0093602E" w:rsidRPr="00813DA0">
        <w:rPr>
          <w:rFonts w:asciiTheme="minorHAnsi" w:hAnsiTheme="minorHAnsi" w:cstheme="minorHAnsi"/>
          <w:sz w:val="22"/>
          <w:szCs w:val="22"/>
        </w:rPr>
        <w:t xml:space="preserve"> </w:t>
      </w:r>
      <w:r w:rsidR="0010671D" w:rsidRPr="00813DA0">
        <w:rPr>
          <w:rFonts w:asciiTheme="minorHAnsi" w:hAnsiTheme="minorHAnsi" w:cstheme="minorHAnsi"/>
          <w:sz w:val="22"/>
          <w:szCs w:val="22"/>
        </w:rPr>
        <w:t xml:space="preserve">in </w:t>
      </w:r>
      <w:r w:rsidR="008503FD" w:rsidRPr="00813DA0">
        <w:rPr>
          <w:rFonts w:asciiTheme="minorHAnsi" w:hAnsiTheme="minorHAnsi" w:cstheme="minorHAnsi"/>
          <w:sz w:val="22"/>
          <w:szCs w:val="22"/>
        </w:rPr>
        <w:t>Geneva</w:t>
      </w:r>
      <w:r w:rsidR="0010671D" w:rsidRPr="00813DA0">
        <w:rPr>
          <w:rFonts w:asciiTheme="minorHAnsi" w:hAnsiTheme="minorHAnsi" w:cstheme="minorHAnsi"/>
          <w:sz w:val="22"/>
          <w:szCs w:val="22"/>
        </w:rPr>
        <w:t xml:space="preserve">, </w:t>
      </w:r>
      <w:r w:rsidRPr="00813DA0">
        <w:rPr>
          <w:rFonts w:asciiTheme="minorHAnsi" w:hAnsiTheme="minorHAnsi" w:cstheme="minorHAnsi"/>
          <w:sz w:val="22"/>
          <w:szCs w:val="22"/>
        </w:rPr>
        <w:t>concerning the following draft ITU-T texts: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595F30" w:rsidRPr="00813DA0" w14:paraId="148706F7" w14:textId="77777777" w:rsidTr="006E21FA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A087D" w14:textId="77777777" w:rsidR="00595F30" w:rsidRPr="00813DA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lastRenderedPageBreak/>
              <w:t>Number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4929A" w14:textId="77777777" w:rsidR="00595F30" w:rsidRPr="00813DA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490D11" w14:textId="77777777" w:rsidR="00595F30" w:rsidRPr="00813DA0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813DA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813DA0" w:rsidRPr="00813DA0" w14:paraId="0DD4DB41" w14:textId="77777777" w:rsidTr="008E05E0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4172F402" w14:textId="47FCD97B" w:rsidR="00813DA0" w:rsidRPr="0093602E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Y.4506 </w:t>
            </w:r>
            <w:r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(ex</w:t>
            </w:r>
            <w:r>
              <w:rPr>
                <w:rFonts w:cs="Calibri"/>
                <w:b/>
                <w:sz w:val="22"/>
                <w:szCs w:val="22"/>
                <w:lang w:val="es-ES"/>
              </w:rPr>
              <w:t xml:space="preserve"> </w:t>
            </w: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Y.DRI-</w:t>
            </w:r>
            <w:proofErr w:type="spellStart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arch</w:t>
            </w:r>
            <w:proofErr w:type="spell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207C984" w14:textId="22CB1D08" w:rsidR="00813DA0" w:rsidRPr="0093602E" w:rsidRDefault="0093602E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Reference architecture for the interworking of autonomous urban delivery robots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CAB029" w14:textId="0060AEFC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028C99F3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2429FD6" w14:textId="27A5D60F" w:rsidR="00813DA0" w:rsidRPr="0093602E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Y.4229 </w:t>
            </w:r>
            <w:r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(ex </w:t>
            </w:r>
            <w:proofErr w:type="spellStart"/>
            <w:proofErr w:type="gramStart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Y.IoT</w:t>
            </w:r>
            <w:proofErr w:type="spellEnd"/>
            <w:proofErr w:type="gram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-SFFS)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0FA9AA7" w14:textId="53FAAAD3" w:rsidR="00813DA0" w:rsidRPr="0093602E" w:rsidRDefault="0093602E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Requirements and reference functional model for an Internet of things-based smart forest </w:t>
            </w:r>
            <w:proofErr w:type="spellStart"/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firefightin</w:t>
            </w:r>
            <w:proofErr w:type="spellEnd"/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​g system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0BBE33" w14:textId="18259F5A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6742796E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CD11555" w14:textId="6612D3D9" w:rsidR="00813DA0" w:rsidRPr="00813DA0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 xml:space="preserve">ITU-T Y.4230 </w:t>
            </w:r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br/>
              <w:t xml:space="preserve">(ex </w:t>
            </w:r>
            <w:proofErr w:type="gramStart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Y.EV</w:t>
            </w:r>
            <w:proofErr w:type="gramEnd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-</w:t>
            </w:r>
            <w:proofErr w:type="spellStart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charging</w:t>
            </w:r>
            <w:proofErr w:type="spellEnd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C2C0C7C" w14:textId="48D5E1BE" w:rsidR="00813DA0" w:rsidRPr="00813DA0" w:rsidRDefault="0093602E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503F59">
              <w:rPr>
                <w:rFonts w:asciiTheme="minorHAnsi" w:hAnsiTheme="minorHAnsi" w:cstheme="minorHAnsi"/>
                <w:sz w:val="22"/>
                <w:szCs w:val="22"/>
                <w:lang w:val="fr-CH" w:eastAsia="ko-KR"/>
              </w:rPr>
              <w:tab/>
            </w: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 and capability framework for a public smart charging service for electric vehicles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0E7CA23" w14:textId="765EF874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6CB0CBE9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4D762F" w14:textId="7B5619C0" w:rsidR="00813DA0" w:rsidRPr="0093602E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Y.4231 </w:t>
            </w:r>
            <w:r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(ex </w:t>
            </w:r>
            <w:proofErr w:type="spellStart"/>
            <w:proofErr w:type="gramStart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Y.IoT</w:t>
            </w:r>
            <w:proofErr w:type="gram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-Vreqs</w:t>
            </w:r>
            <w:proofErr w:type="spell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CBBA11F" w14:textId="288DD8EF" w:rsidR="00813DA0" w:rsidRPr="0093602E" w:rsidRDefault="0093602E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 and capability framework of the Internet of things for vision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520F701" w14:textId="346E65E8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192DF0AC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EF86828" w14:textId="3126C680" w:rsidR="00813DA0" w:rsidRPr="0093602E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Y.4232 </w:t>
            </w:r>
            <w:r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(ex </w:t>
            </w:r>
            <w:proofErr w:type="spellStart"/>
            <w:proofErr w:type="gramStart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Y.IoT</w:t>
            </w:r>
            <w:proofErr w:type="spellEnd"/>
            <w:proofErr w:type="gram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-RTPS)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AC08372" w14:textId="4FF2D019" w:rsidR="00813DA0" w:rsidRPr="0093602E" w:rsidRDefault="0093602E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val="es-ES" w:eastAsia="ko-KR"/>
              </w:rPr>
              <w:tab/>
            </w: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Requirements, capabilities and use cases of Internet of things infrastructures in roadside traffic perception system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7FA01A" w14:textId="53C73CFB" w:rsidR="00813DA0" w:rsidRPr="00813DA0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2AF90694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7018D0D" w14:textId="3799D7C5" w:rsidR="00813DA0" w:rsidRPr="00813DA0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Y.4233 </w:t>
            </w:r>
            <w:r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(ex </w:t>
            </w:r>
            <w:proofErr w:type="gramStart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Y.FSPH</w:t>
            </w:r>
            <w:proofErr w:type="gram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18D0471" w14:textId="2193BDD0" w:rsidR="00813DA0" w:rsidRPr="0093602E" w:rsidRDefault="0093602E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Framework for smart public health emergency management in smart and sustainable cities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9F018ED" w14:textId="130A6A32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73F3A150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68742E8" w14:textId="2CC3D0CC" w:rsidR="00813DA0" w:rsidRPr="00813DA0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</w:t>
            </w:r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 xml:space="preserve">Y.4234/ F.742.3 </w:t>
            </w:r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br/>
              <w:t xml:space="preserve">(ex </w:t>
            </w:r>
            <w:proofErr w:type="spellStart"/>
            <w:proofErr w:type="gramStart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Y.RemoteEd</w:t>
            </w:r>
            <w:proofErr w:type="spellEnd"/>
            <w:proofErr w:type="gramEnd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E1EAA8D" w14:textId="6262FE8D" w:rsidR="00813DA0" w:rsidRPr="00813DA0" w:rsidRDefault="0093602E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Requirements, capabilities and deployment models for e-learning in remote classrooms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981CF1F" w14:textId="1198BB6F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4CFECDFD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CC85DDC" w14:textId="66456ECA" w:rsidR="00813DA0" w:rsidRPr="00813DA0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</w:t>
            </w:r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 xml:space="preserve">Y.4222 </w:t>
            </w:r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br/>
              <w:t xml:space="preserve">(ex </w:t>
            </w:r>
            <w:proofErr w:type="spellStart"/>
            <w:proofErr w:type="gramStart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Y.smart</w:t>
            </w:r>
            <w:proofErr w:type="gramEnd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-evacuation</w:t>
            </w:r>
            <w:proofErr w:type="spellEnd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C591D8" w14:textId="14CBA1C8" w:rsidR="00813DA0" w:rsidRPr="00813DA0" w:rsidRDefault="0093602E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503F59">
              <w:rPr>
                <w:rFonts w:asciiTheme="minorHAnsi" w:hAnsiTheme="minorHAnsi" w:cstheme="minorHAnsi"/>
                <w:sz w:val="22"/>
                <w:szCs w:val="22"/>
                <w:lang w:val="fr-CH" w:eastAsia="ko-KR"/>
              </w:rPr>
              <w:tab/>
            </w: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Framework of smart evacuation in a disaster or emergency in smart cities and communities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78EBE7" w14:textId="1D98F0E1" w:rsidR="00813DA0" w:rsidRPr="00813DA0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813DA0" w:rsidRPr="00813DA0" w14:paraId="5A9F4D50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0E6EE6A" w14:textId="10B83093" w:rsidR="00813DA0" w:rsidRPr="0093602E" w:rsidRDefault="0093602E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Y.4507 </w:t>
            </w:r>
            <w:r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(ex Y.arc-</w:t>
            </w:r>
            <w:proofErr w:type="spellStart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psfws</w:t>
            </w:r>
            <w:proofErr w:type="spell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553411" w14:textId="4F5516EA" w:rsidR="00813DA0" w:rsidRPr="0093602E" w:rsidRDefault="0093602E" w:rsidP="00813DA0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A functional architecture of power supply facilities warning system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BB6F08" w14:textId="6B50B144" w:rsidR="00813DA0" w:rsidRPr="00813DA0" w:rsidRDefault="00813DA0" w:rsidP="00813DA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93602E" w:rsidRPr="0093602E" w14:paraId="4F0EDBAC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D0F352F" w14:textId="052C2E2E" w:rsidR="0093602E" w:rsidRPr="0093602E" w:rsidRDefault="0093602E" w:rsidP="0093602E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Y.4508 </w:t>
            </w:r>
            <w:r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(ex Y.DPM-</w:t>
            </w:r>
            <w:proofErr w:type="spellStart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alm</w:t>
            </w:r>
            <w:proofErr w:type="spell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-</w:t>
            </w:r>
            <w:proofErr w:type="spellStart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fra</w:t>
            </w:r>
            <w:proofErr w:type="spell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B783BCB" w14:textId="439D29A3" w:rsidR="0093602E" w:rsidRPr="0093602E" w:rsidRDefault="0093602E" w:rsidP="0093602E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Functional requirements and architecture of blockchain-based activity log management for Internet of things (IoT) data processing and management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E9AADEB" w14:textId="6500DEF7" w:rsidR="0093602E" w:rsidRPr="0093602E" w:rsidRDefault="0093602E" w:rsidP="0093602E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12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93602E" w:rsidRPr="0093602E" w14:paraId="4F8F02C1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79A0934" w14:textId="0AF445B9" w:rsidR="0093602E" w:rsidRPr="0093602E" w:rsidRDefault="0093602E" w:rsidP="0093602E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ITU-T Y.4706 </w:t>
            </w:r>
            <w:r>
              <w:rPr>
                <w:rFonts w:cs="Calibri"/>
                <w:b/>
                <w:sz w:val="22"/>
                <w:szCs w:val="22"/>
                <w:lang w:val="es-ES"/>
              </w:rPr>
              <w:br/>
            </w:r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 xml:space="preserve">(ex </w:t>
            </w:r>
            <w:proofErr w:type="spellStart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Y.dem-IoT</w:t>
            </w:r>
            <w:proofErr w:type="spellEnd"/>
            <w:r w:rsidRPr="0093602E">
              <w:rPr>
                <w:rFonts w:cs="Calibri"/>
                <w:b/>
                <w:sz w:val="22"/>
                <w:szCs w:val="22"/>
                <w:lang w:val="es-ES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B5FBD27" w14:textId="43D77B9A" w:rsidR="0093602E" w:rsidRPr="0093602E" w:rsidRDefault="0093602E" w:rsidP="0093602E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Data exchange model for Internet of things (IoT) devices in power transmission and transformation equipment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2E8298D" w14:textId="6D76A583" w:rsidR="0093602E" w:rsidRPr="0093602E" w:rsidRDefault="0093602E" w:rsidP="0093602E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12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93602E" w:rsidRPr="0093602E" w14:paraId="2FDC4F3C" w14:textId="77777777" w:rsidTr="00D6137F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AEBC643" w14:textId="4E3E6330" w:rsidR="0093602E" w:rsidRPr="00503F59" w:rsidRDefault="0093602E" w:rsidP="0093602E">
            <w:pPr>
              <w:keepNext/>
              <w:keepLines/>
              <w:spacing w:before="0"/>
              <w:jc w:val="center"/>
              <w:rPr>
                <w:rFonts w:cs="Calibri"/>
                <w:b/>
                <w:sz w:val="22"/>
                <w:szCs w:val="22"/>
                <w:lang w:val="fr-CH"/>
              </w:rPr>
            </w:pPr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ITU-T Y.4499</w:t>
            </w:r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br/>
              <w:t>(ex Y.UIM-</w:t>
            </w:r>
            <w:proofErr w:type="spellStart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cs</w:t>
            </w:r>
            <w:proofErr w:type="spellEnd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-</w:t>
            </w:r>
            <w:proofErr w:type="spellStart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framework</w:t>
            </w:r>
            <w:proofErr w:type="spellEnd"/>
            <w:r w:rsidRPr="00503F59">
              <w:rPr>
                <w:rFonts w:cs="Calibri"/>
                <w:b/>
                <w:sz w:val="22"/>
                <w:szCs w:val="22"/>
                <w:lang w:val="fr-CH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221F17F" w14:textId="43A45878" w:rsidR="0093602E" w:rsidRPr="0093602E" w:rsidRDefault="0093602E" w:rsidP="0093602E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3602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Framework for urban infrastructure monitoring based on crowdsourcing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3A8A67" w14:textId="7BB88620" w:rsidR="0093602E" w:rsidRPr="0093602E" w:rsidRDefault="0093602E" w:rsidP="0093602E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12A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</w:tbl>
    <w:p w14:paraId="6E475E0E" w14:textId="06132BD8" w:rsidR="00595F30" w:rsidRPr="00813DA0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2</w:t>
      </w:r>
      <w:r w:rsidRPr="00813DA0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0" w:history="1">
        <w:r w:rsidRPr="00813DA0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813DA0">
        <w:rPr>
          <w:rFonts w:asciiTheme="minorHAnsi" w:hAnsiTheme="minorHAnsi" w:cstheme="minorHAnsi"/>
          <w:sz w:val="22"/>
          <w:szCs w:val="22"/>
        </w:rPr>
        <w:t>.</w:t>
      </w:r>
    </w:p>
    <w:p w14:paraId="42F0206B" w14:textId="5B0E0822" w:rsidR="00595F30" w:rsidRPr="00813DA0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3</w:t>
      </w:r>
      <w:r w:rsidRPr="00813DA0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Recommendations will be available on the ITU-T website at </w:t>
      </w:r>
      <w:hyperlink r:id="rId11" w:history="1">
        <w:r w:rsidRPr="00813DA0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813DA0">
        <w:rPr>
          <w:rFonts w:asciiTheme="minorHAnsi" w:hAnsiTheme="minorHAnsi" w:cstheme="minorHAnsi"/>
          <w:sz w:val="22"/>
          <w:szCs w:val="22"/>
        </w:rPr>
        <w:t>.</w:t>
      </w:r>
    </w:p>
    <w:p w14:paraId="60A4F10F" w14:textId="16F81425" w:rsidR="00595F30" w:rsidRPr="00813DA0" w:rsidRDefault="00595F30" w:rsidP="009A3D71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bCs/>
          <w:sz w:val="22"/>
          <w:szCs w:val="22"/>
        </w:rPr>
        <w:t>4</w:t>
      </w:r>
      <w:r w:rsidRPr="00813DA0">
        <w:rPr>
          <w:rFonts w:asciiTheme="minorHAnsi" w:hAnsiTheme="minorHAnsi" w:cstheme="minorHAnsi"/>
          <w:sz w:val="22"/>
          <w:szCs w:val="22"/>
        </w:rPr>
        <w:tab/>
        <w:t>The text of the Approved Recommendations will be published by ITU as soon as possible.</w:t>
      </w:r>
    </w:p>
    <w:p w14:paraId="4A171111" w14:textId="5809CE2E" w:rsidR="00595F30" w:rsidRDefault="00B61012" w:rsidP="00722D8C">
      <w:pPr>
        <w:rPr>
          <w:rFonts w:asciiTheme="minorHAnsi" w:hAnsiTheme="minorHAnsi" w:cstheme="minorHAnsi"/>
          <w:sz w:val="22"/>
          <w:szCs w:val="22"/>
        </w:rPr>
      </w:pPr>
      <w:r w:rsidRPr="00813DA0">
        <w:rPr>
          <w:rFonts w:asciiTheme="minorHAnsi" w:hAnsiTheme="minorHAnsi" w:cstheme="minorHAnsi"/>
          <w:sz w:val="22"/>
          <w:szCs w:val="22"/>
        </w:rPr>
        <w:t>Yours faithfully,</w:t>
      </w:r>
    </w:p>
    <w:p w14:paraId="55C707B7" w14:textId="5E9B2714" w:rsidR="00D62702" w:rsidRPr="00AB7921" w:rsidRDefault="006D6A93" w:rsidP="00722D8C">
      <w:pPr>
        <w:spacing w:before="8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1370070" wp14:editId="3954F438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711237" cy="368319"/>
            <wp:effectExtent l="0" t="0" r="0" b="0"/>
            <wp:wrapNone/>
            <wp:docPr id="1837698225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98225" name="Picture 2" descr="A black text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37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659" w:rsidRPr="00813DA0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824659" w:rsidRPr="00813DA0">
        <w:rPr>
          <w:rFonts w:asciiTheme="minorHAnsi" w:hAnsiTheme="minorHAnsi" w:cstheme="minorHAnsi"/>
          <w:sz w:val="22"/>
          <w:szCs w:val="22"/>
        </w:rPr>
        <w:t xml:space="preserve"> </w:t>
      </w:r>
      <w:r w:rsidR="00B61012" w:rsidRPr="00813DA0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813DA0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AB7921" w:rsidSect="00FA46A0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8F899" w14:textId="77777777" w:rsidR="00595F30" w:rsidRDefault="00595F30">
      <w:r>
        <w:separator/>
      </w:r>
    </w:p>
  </w:endnote>
  <w:endnote w:type="continuationSeparator" w:id="0">
    <w:p w14:paraId="18F54C64" w14:textId="77777777" w:rsidR="00595F30" w:rsidRDefault="0059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CF99" w14:textId="57E88FF3" w:rsidR="00FA46A0" w:rsidRPr="009A3D71" w:rsidRDefault="009A3D71" w:rsidP="009A3D7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F98B" w14:textId="77777777" w:rsidR="00595F30" w:rsidRDefault="00595F30">
      <w:r>
        <w:t>____________________</w:t>
      </w:r>
    </w:p>
  </w:footnote>
  <w:footnote w:type="continuationSeparator" w:id="0">
    <w:p w14:paraId="01BB82AE" w14:textId="77777777" w:rsidR="00595F30" w:rsidRDefault="0059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F618A" w14:textId="4AAC9442" w:rsidR="00FA46A0" w:rsidRDefault="00B61012">
    <w:pPr>
      <w:pStyle w:val="Header"/>
    </w:pPr>
    <w:r w:rsidRPr="00235A62">
      <w:t xml:space="preserve">- </w:t>
    </w:r>
    <w:r w:rsidR="00FA46A0" w:rsidRPr="00235A62">
      <w:fldChar w:fldCharType="begin"/>
    </w:r>
    <w:r w:rsidRPr="00235A62">
      <w:instrText xml:space="preserve"> PAGE   \* MERGEFORMAT </w:instrText>
    </w:r>
    <w:r w:rsidR="00FA46A0" w:rsidRPr="00235A62">
      <w:fldChar w:fldCharType="separate"/>
    </w:r>
    <w:r w:rsidR="00D62702" w:rsidRPr="00235A62">
      <w:rPr>
        <w:noProof/>
      </w:rPr>
      <w:t>2</w:t>
    </w:r>
    <w:r w:rsidR="00FA46A0" w:rsidRPr="00235A62">
      <w:rPr>
        <w:noProof/>
      </w:rPr>
      <w:fldChar w:fldCharType="end"/>
    </w:r>
    <w:r w:rsidRPr="00235A62">
      <w:rPr>
        <w:noProof/>
      </w:rPr>
      <w:t xml:space="preserve"> -</w:t>
    </w:r>
    <w:r w:rsidR="00503ADB" w:rsidRPr="00235A62">
      <w:rPr>
        <w:noProof/>
      </w:rPr>
      <w:br/>
      <w:t xml:space="preserve">TSB Circular </w:t>
    </w:r>
    <w:r w:rsidR="0093602E">
      <w:rPr>
        <w:noProof/>
      </w:rPr>
      <w:t>15</w:t>
    </w:r>
  </w:p>
  <w:p w14:paraId="09EDD3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766112">
    <w:abstractNumId w:val="9"/>
  </w:num>
  <w:num w:numId="2" w16cid:durableId="459958743">
    <w:abstractNumId w:val="7"/>
  </w:num>
  <w:num w:numId="3" w16cid:durableId="1720396161">
    <w:abstractNumId w:val="6"/>
  </w:num>
  <w:num w:numId="4" w16cid:durableId="1338925039">
    <w:abstractNumId w:val="5"/>
  </w:num>
  <w:num w:numId="5" w16cid:durableId="1081484887">
    <w:abstractNumId w:val="4"/>
  </w:num>
  <w:num w:numId="6" w16cid:durableId="982125971">
    <w:abstractNumId w:val="8"/>
  </w:num>
  <w:num w:numId="7" w16cid:durableId="599065328">
    <w:abstractNumId w:val="3"/>
  </w:num>
  <w:num w:numId="8" w16cid:durableId="333605334">
    <w:abstractNumId w:val="2"/>
  </w:num>
  <w:num w:numId="9" w16cid:durableId="148715609">
    <w:abstractNumId w:val="1"/>
  </w:num>
  <w:num w:numId="10" w16cid:durableId="1032269460">
    <w:abstractNumId w:val="0"/>
  </w:num>
  <w:num w:numId="11" w16cid:durableId="271593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22E6B"/>
    <w:rsid w:val="000B15C8"/>
    <w:rsid w:val="001018E1"/>
    <w:rsid w:val="0010671D"/>
    <w:rsid w:val="00112F37"/>
    <w:rsid w:val="001A34EC"/>
    <w:rsid w:val="001E6D8C"/>
    <w:rsid w:val="002352C8"/>
    <w:rsid w:val="00235A62"/>
    <w:rsid w:val="00264817"/>
    <w:rsid w:val="002C04F9"/>
    <w:rsid w:val="002C587E"/>
    <w:rsid w:val="002D02DC"/>
    <w:rsid w:val="002D49BB"/>
    <w:rsid w:val="002F70DF"/>
    <w:rsid w:val="00334618"/>
    <w:rsid w:val="00356B73"/>
    <w:rsid w:val="003746A5"/>
    <w:rsid w:val="003A72CE"/>
    <w:rsid w:val="003B01DA"/>
    <w:rsid w:val="003D4690"/>
    <w:rsid w:val="00453CEA"/>
    <w:rsid w:val="0047760D"/>
    <w:rsid w:val="00487330"/>
    <w:rsid w:val="0049682E"/>
    <w:rsid w:val="004D5669"/>
    <w:rsid w:val="00503ADB"/>
    <w:rsid w:val="00503F59"/>
    <w:rsid w:val="005158C6"/>
    <w:rsid w:val="005943FB"/>
    <w:rsid w:val="00595F30"/>
    <w:rsid w:val="005E003C"/>
    <w:rsid w:val="006673CD"/>
    <w:rsid w:val="006737F1"/>
    <w:rsid w:val="006C300D"/>
    <w:rsid w:val="006D6A93"/>
    <w:rsid w:val="006F6E9C"/>
    <w:rsid w:val="00722D8C"/>
    <w:rsid w:val="00730A58"/>
    <w:rsid w:val="0079763E"/>
    <w:rsid w:val="007A65E8"/>
    <w:rsid w:val="007C60C9"/>
    <w:rsid w:val="007F4DA5"/>
    <w:rsid w:val="00813DA0"/>
    <w:rsid w:val="00824659"/>
    <w:rsid w:val="008503FD"/>
    <w:rsid w:val="008E2635"/>
    <w:rsid w:val="0093602E"/>
    <w:rsid w:val="00943564"/>
    <w:rsid w:val="00963900"/>
    <w:rsid w:val="009747C5"/>
    <w:rsid w:val="0098134B"/>
    <w:rsid w:val="009A3D71"/>
    <w:rsid w:val="009B2EB5"/>
    <w:rsid w:val="00A009A4"/>
    <w:rsid w:val="00A07FA9"/>
    <w:rsid w:val="00A24168"/>
    <w:rsid w:val="00A72C30"/>
    <w:rsid w:val="00AB7921"/>
    <w:rsid w:val="00AD1AF0"/>
    <w:rsid w:val="00B2488F"/>
    <w:rsid w:val="00B4669D"/>
    <w:rsid w:val="00B47A08"/>
    <w:rsid w:val="00B61012"/>
    <w:rsid w:val="00C21918"/>
    <w:rsid w:val="00C95BF6"/>
    <w:rsid w:val="00D62702"/>
    <w:rsid w:val="00E2699F"/>
    <w:rsid w:val="00E5620D"/>
    <w:rsid w:val="00EA2114"/>
    <w:rsid w:val="00EC15F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E57621"/>
  <w15:docId w15:val="{8E2D9D6C-3C3D-4B81-B966-024DE38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2-TSB-CIR-0236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Braud, Olivia</cp:lastModifiedBy>
  <cp:revision>5</cp:revision>
  <cp:lastPrinted>2025-01-28T07:48:00Z</cp:lastPrinted>
  <dcterms:created xsi:type="dcterms:W3CDTF">2025-01-27T08:55:00Z</dcterms:created>
  <dcterms:modified xsi:type="dcterms:W3CDTF">2025-01-28T07:49:00Z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