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0FEE708" w14:textId="77777777" w:rsidTr="00D517B2">
        <w:trPr>
          <w:cantSplit/>
          <w:trHeight w:val="1134"/>
        </w:trPr>
        <w:tc>
          <w:tcPr>
            <w:tcW w:w="798" w:type="pct"/>
          </w:tcPr>
          <w:p w14:paraId="2EFFD8DC" w14:textId="77777777" w:rsidR="00D517B2" w:rsidRPr="00D517B2" w:rsidRDefault="00D517B2" w:rsidP="00D517B2">
            <w:pPr>
              <w:spacing w:before="0" w:line="240" w:lineRule="auto"/>
              <w:rPr>
                <w:b/>
                <w:bCs/>
                <w:rtl/>
                <w:lang w:bidi="ar-EG"/>
              </w:rPr>
            </w:pPr>
            <w:r w:rsidRPr="00D517B2">
              <w:rPr>
                <w:noProof/>
              </w:rPr>
              <w:drawing>
                <wp:inline distT="0" distB="0" distL="0" distR="0" wp14:anchorId="470F99C7" wp14:editId="3C8B4AB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82F3E1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76D23B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2"/>
        <w:gridCol w:w="3684"/>
        <w:gridCol w:w="4393"/>
      </w:tblGrid>
      <w:tr w:rsidR="00D517B2" w:rsidRPr="00D517B2" w14:paraId="3A0C7411" w14:textId="77777777" w:rsidTr="000E5392">
        <w:trPr>
          <w:cantSplit/>
          <w:jc w:val="center"/>
        </w:trPr>
        <w:tc>
          <w:tcPr>
            <w:tcW w:w="810" w:type="pct"/>
          </w:tcPr>
          <w:p w14:paraId="7DF224C6" w14:textId="77777777" w:rsidR="00D517B2" w:rsidRPr="00D517B2" w:rsidRDefault="00D517B2" w:rsidP="00BB0F08">
            <w:pPr>
              <w:spacing w:line="300" w:lineRule="exact"/>
              <w:jc w:val="left"/>
              <w:rPr>
                <w:position w:val="2"/>
              </w:rPr>
            </w:pPr>
          </w:p>
        </w:tc>
        <w:tc>
          <w:tcPr>
            <w:tcW w:w="1911" w:type="pct"/>
          </w:tcPr>
          <w:p w14:paraId="4D79BE55" w14:textId="77777777" w:rsidR="00D517B2" w:rsidRPr="00D517B2" w:rsidRDefault="00D517B2" w:rsidP="00BB0F08">
            <w:pPr>
              <w:spacing w:line="300" w:lineRule="exact"/>
              <w:jc w:val="left"/>
              <w:rPr>
                <w:position w:val="2"/>
              </w:rPr>
            </w:pPr>
          </w:p>
        </w:tc>
        <w:tc>
          <w:tcPr>
            <w:tcW w:w="2279" w:type="pct"/>
          </w:tcPr>
          <w:p w14:paraId="5287AD34" w14:textId="77777777" w:rsidR="00D517B2" w:rsidRPr="00873469" w:rsidRDefault="00D517B2" w:rsidP="00BB0F08">
            <w:pPr>
              <w:spacing w:line="300" w:lineRule="exact"/>
              <w:jc w:val="left"/>
              <w:rPr>
                <w:position w:val="2"/>
                <w:lang w:bidi="ar-EG"/>
              </w:rPr>
            </w:pPr>
          </w:p>
        </w:tc>
      </w:tr>
      <w:tr w:rsidR="00D517B2" w:rsidRPr="00D517B2" w14:paraId="50F0AAC4" w14:textId="77777777" w:rsidTr="000E5392">
        <w:trPr>
          <w:cantSplit/>
          <w:jc w:val="center"/>
        </w:trPr>
        <w:tc>
          <w:tcPr>
            <w:tcW w:w="810" w:type="pct"/>
          </w:tcPr>
          <w:p w14:paraId="0ACD714B" w14:textId="77777777" w:rsidR="00D517B2" w:rsidRPr="00D517B2" w:rsidRDefault="00D517B2" w:rsidP="006019C6">
            <w:pPr>
              <w:spacing w:before="80" w:after="120" w:line="300" w:lineRule="exact"/>
              <w:jc w:val="left"/>
              <w:rPr>
                <w:position w:val="2"/>
              </w:rPr>
            </w:pPr>
          </w:p>
        </w:tc>
        <w:tc>
          <w:tcPr>
            <w:tcW w:w="1911" w:type="pct"/>
          </w:tcPr>
          <w:p w14:paraId="067FF7CE" w14:textId="77777777" w:rsidR="00D517B2" w:rsidRPr="00D517B2" w:rsidRDefault="00D517B2" w:rsidP="006019C6">
            <w:pPr>
              <w:spacing w:before="80" w:after="120" w:line="300" w:lineRule="exact"/>
              <w:jc w:val="left"/>
              <w:rPr>
                <w:position w:val="2"/>
                <w:lang w:bidi="ar-EG"/>
              </w:rPr>
            </w:pPr>
          </w:p>
        </w:tc>
        <w:tc>
          <w:tcPr>
            <w:tcW w:w="2279" w:type="pct"/>
          </w:tcPr>
          <w:p w14:paraId="76525E18" w14:textId="282932DB" w:rsidR="00D517B2" w:rsidRPr="00D517B2" w:rsidRDefault="00873469" w:rsidP="006019C6">
            <w:pPr>
              <w:spacing w:before="80" w:after="120" w:line="300" w:lineRule="exact"/>
              <w:jc w:val="left"/>
              <w:rPr>
                <w:position w:val="2"/>
                <w:rtl/>
                <w:lang w:bidi="ar-EG"/>
              </w:rPr>
            </w:pPr>
            <w:r w:rsidRPr="00D517B2">
              <w:rPr>
                <w:rFonts w:hint="cs"/>
                <w:position w:val="2"/>
                <w:rtl/>
              </w:rPr>
              <w:t xml:space="preserve">جنيف، </w:t>
            </w:r>
            <w:r w:rsidR="000E5392">
              <w:rPr>
                <w:rFonts w:hint="cs"/>
                <w:position w:val="2"/>
                <w:rtl/>
              </w:rPr>
              <w:t>7 يناير</w:t>
            </w:r>
            <w:r w:rsidR="007139D8">
              <w:rPr>
                <w:rFonts w:hint="cs"/>
                <w:position w:val="2"/>
                <w:rtl/>
              </w:rPr>
              <w:t xml:space="preserve"> </w:t>
            </w:r>
            <w:r w:rsidR="007139D8">
              <w:rPr>
                <w:position w:val="2"/>
              </w:rPr>
              <w:t>2025</w:t>
            </w:r>
          </w:p>
        </w:tc>
      </w:tr>
      <w:tr w:rsidR="001E2788" w:rsidRPr="00D517B2" w14:paraId="6717D913" w14:textId="77777777" w:rsidTr="000E5392">
        <w:trPr>
          <w:cantSplit/>
          <w:jc w:val="center"/>
        </w:trPr>
        <w:tc>
          <w:tcPr>
            <w:tcW w:w="810" w:type="pct"/>
          </w:tcPr>
          <w:p w14:paraId="3BD3F858" w14:textId="77777777" w:rsidR="001E2788" w:rsidRPr="00A9156F" w:rsidRDefault="001E2788" w:rsidP="00D517B2">
            <w:pPr>
              <w:spacing w:before="80" w:after="60" w:line="300" w:lineRule="exact"/>
              <w:jc w:val="left"/>
              <w:rPr>
                <w:b/>
                <w:bCs/>
                <w:position w:val="2"/>
              </w:rPr>
            </w:pPr>
            <w:r w:rsidRPr="00A9156F">
              <w:rPr>
                <w:rFonts w:hint="cs"/>
                <w:b/>
                <w:bCs/>
                <w:position w:val="2"/>
                <w:rtl/>
              </w:rPr>
              <w:t>المرجع:</w:t>
            </w:r>
          </w:p>
        </w:tc>
        <w:tc>
          <w:tcPr>
            <w:tcW w:w="1911" w:type="pct"/>
          </w:tcPr>
          <w:p w14:paraId="4DEB2B53" w14:textId="7D08D6FC" w:rsidR="001E2788" w:rsidRPr="000E5392" w:rsidRDefault="000E5392" w:rsidP="000E5392">
            <w:pPr>
              <w:spacing w:before="80" w:after="60" w:line="300" w:lineRule="exact"/>
              <w:jc w:val="left"/>
              <w:rPr>
                <w:b/>
                <w:bCs/>
                <w:position w:val="2"/>
                <w:lang w:val="en-GB"/>
              </w:rPr>
            </w:pPr>
            <w:r w:rsidRPr="000E5392">
              <w:rPr>
                <w:b/>
                <w:bCs/>
                <w:position w:val="2"/>
                <w:lang w:val="en-GB"/>
              </w:rPr>
              <w:t>TSB Circular 13</w:t>
            </w:r>
            <w:r>
              <w:rPr>
                <w:b/>
                <w:bCs/>
                <w:position w:val="2"/>
                <w:rtl/>
                <w:lang w:val="en-GB"/>
              </w:rPr>
              <w:br/>
            </w:r>
            <w:r w:rsidRPr="000E5392">
              <w:rPr>
                <w:bCs/>
                <w:position w:val="2"/>
                <w:lang w:val="en-GB"/>
              </w:rPr>
              <w:t>TSB Events/HO</w:t>
            </w:r>
          </w:p>
        </w:tc>
        <w:tc>
          <w:tcPr>
            <w:tcW w:w="2279" w:type="pct"/>
            <w:vMerge w:val="restart"/>
          </w:tcPr>
          <w:p w14:paraId="51E9E372" w14:textId="77777777" w:rsidR="001E2788" w:rsidRPr="000E5392" w:rsidRDefault="001E2788" w:rsidP="001E2788">
            <w:pPr>
              <w:tabs>
                <w:tab w:val="clear" w:pos="794"/>
                <w:tab w:val="left" w:pos="284"/>
              </w:tabs>
              <w:spacing w:before="80" w:after="60" w:line="300" w:lineRule="exact"/>
              <w:jc w:val="left"/>
              <w:rPr>
                <w:b/>
                <w:bCs/>
                <w:position w:val="2"/>
                <w:rtl/>
                <w:lang w:bidi="ar-EG"/>
              </w:rPr>
            </w:pPr>
            <w:r w:rsidRPr="000E5392">
              <w:rPr>
                <w:rFonts w:hint="cs"/>
                <w:b/>
                <w:bCs/>
                <w:position w:val="2"/>
                <w:rtl/>
              </w:rPr>
              <w:t>إلى:</w:t>
            </w:r>
          </w:p>
          <w:p w14:paraId="2D2620AC" w14:textId="50DB06E0" w:rsidR="000E5392" w:rsidRPr="000E5392" w:rsidRDefault="001E2788" w:rsidP="000E5392">
            <w:pPr>
              <w:tabs>
                <w:tab w:val="clear" w:pos="794"/>
                <w:tab w:val="left" w:pos="284"/>
              </w:tabs>
              <w:spacing w:before="80" w:after="60" w:line="300" w:lineRule="exact"/>
              <w:ind w:left="284" w:hanging="284"/>
              <w:jc w:val="left"/>
              <w:rPr>
                <w:position w:val="2"/>
              </w:rPr>
            </w:pPr>
            <w:r w:rsidRPr="000E5392">
              <w:rPr>
                <w:rFonts w:hint="cs"/>
                <w:position w:val="2"/>
                <w:rtl/>
              </w:rPr>
              <w:t>-</w:t>
            </w:r>
            <w:r w:rsidRPr="000E5392">
              <w:rPr>
                <w:position w:val="2"/>
                <w:rtl/>
              </w:rPr>
              <w:tab/>
            </w:r>
            <w:r w:rsidR="000E5392" w:rsidRPr="000E5392">
              <w:rPr>
                <w:rFonts w:eastAsia="MS Mincho"/>
                <w:b/>
                <w:bCs/>
                <w:rtl/>
              </w:rPr>
              <w:t xml:space="preserve"> </w:t>
            </w:r>
            <w:r w:rsidR="000E5392" w:rsidRPr="000E5392">
              <w:rPr>
                <w:position w:val="2"/>
                <w:rtl/>
              </w:rPr>
              <w:t>إدارات الدول الأعضاء في الاتحاد؛</w:t>
            </w:r>
          </w:p>
          <w:p w14:paraId="2AC02533" w14:textId="48EBFF45" w:rsidR="000E5392" w:rsidRPr="000E5392" w:rsidRDefault="000E5392" w:rsidP="000E5392">
            <w:pPr>
              <w:tabs>
                <w:tab w:val="clear" w:pos="794"/>
                <w:tab w:val="left" w:pos="284"/>
              </w:tabs>
              <w:spacing w:before="80" w:after="60" w:line="300" w:lineRule="exact"/>
              <w:ind w:left="284" w:hanging="284"/>
              <w:jc w:val="left"/>
              <w:rPr>
                <w:position w:val="2"/>
              </w:rPr>
            </w:pPr>
            <w:r w:rsidRPr="000E5392">
              <w:rPr>
                <w:rFonts w:hint="cs"/>
                <w:position w:val="2"/>
                <w:rtl/>
              </w:rPr>
              <w:t>-</w:t>
            </w:r>
            <w:r w:rsidRPr="000E5392">
              <w:rPr>
                <w:position w:val="2"/>
                <w:rtl/>
              </w:rPr>
              <w:tab/>
              <w:t>أعضاء قطاع تقييس الاتصالات؛</w:t>
            </w:r>
          </w:p>
          <w:p w14:paraId="285FF0A4" w14:textId="21FC74F0" w:rsidR="000E5392" w:rsidRPr="000E5392" w:rsidRDefault="000E5392" w:rsidP="000E5392">
            <w:pPr>
              <w:tabs>
                <w:tab w:val="clear" w:pos="794"/>
                <w:tab w:val="left" w:pos="284"/>
              </w:tabs>
              <w:spacing w:before="80" w:after="60" w:line="300" w:lineRule="exact"/>
              <w:ind w:left="284" w:hanging="284"/>
              <w:jc w:val="left"/>
              <w:rPr>
                <w:position w:val="2"/>
              </w:rPr>
            </w:pPr>
            <w:r w:rsidRPr="000E5392">
              <w:rPr>
                <w:rFonts w:hint="cs"/>
                <w:position w:val="2"/>
                <w:rtl/>
              </w:rPr>
              <w:t>-</w:t>
            </w:r>
            <w:r w:rsidRPr="000E5392">
              <w:rPr>
                <w:position w:val="2"/>
                <w:rtl/>
              </w:rPr>
              <w:tab/>
              <w:t>المنتسبين إلى قطاع تقييس الاتصالات؛</w:t>
            </w:r>
          </w:p>
          <w:p w14:paraId="214B76C3" w14:textId="22A3D022" w:rsidR="001E2788" w:rsidRPr="000E5392" w:rsidRDefault="000E5392" w:rsidP="000E5392">
            <w:pPr>
              <w:tabs>
                <w:tab w:val="clear" w:pos="794"/>
                <w:tab w:val="left" w:pos="284"/>
              </w:tabs>
              <w:spacing w:before="80" w:after="60" w:line="300" w:lineRule="exact"/>
              <w:ind w:left="284" w:hanging="284"/>
              <w:jc w:val="left"/>
              <w:rPr>
                <w:position w:val="2"/>
                <w:rtl/>
              </w:rPr>
            </w:pPr>
            <w:r w:rsidRPr="000E5392">
              <w:rPr>
                <w:rFonts w:hint="cs"/>
                <w:position w:val="2"/>
                <w:rtl/>
              </w:rPr>
              <w:t>-</w:t>
            </w:r>
            <w:r w:rsidRPr="000E5392">
              <w:rPr>
                <w:position w:val="2"/>
                <w:rtl/>
              </w:rPr>
              <w:tab/>
              <w:t>الهيئات الأكاديمية المنضمة إلى الاتحاد</w:t>
            </w:r>
          </w:p>
        </w:tc>
      </w:tr>
      <w:tr w:rsidR="000E5392" w:rsidRPr="00D517B2" w14:paraId="018CCD86" w14:textId="77777777" w:rsidTr="000E5392">
        <w:trPr>
          <w:cantSplit/>
          <w:jc w:val="center"/>
        </w:trPr>
        <w:tc>
          <w:tcPr>
            <w:tcW w:w="810" w:type="pct"/>
          </w:tcPr>
          <w:p w14:paraId="18EF9DA0" w14:textId="77777777" w:rsidR="000E5392" w:rsidRPr="00A9156F" w:rsidRDefault="000E5392" w:rsidP="000E5392">
            <w:pPr>
              <w:spacing w:before="80" w:after="60" w:line="300" w:lineRule="exact"/>
              <w:jc w:val="left"/>
              <w:rPr>
                <w:b/>
                <w:bCs/>
                <w:position w:val="2"/>
                <w:lang w:bidi="ar-EG"/>
              </w:rPr>
            </w:pPr>
            <w:r>
              <w:rPr>
                <w:rFonts w:hint="cs"/>
                <w:b/>
                <w:bCs/>
                <w:position w:val="2"/>
                <w:rtl/>
                <w:lang w:bidi="ar-EG"/>
              </w:rPr>
              <w:t>للاتصال:</w:t>
            </w:r>
          </w:p>
        </w:tc>
        <w:tc>
          <w:tcPr>
            <w:tcW w:w="1911" w:type="pct"/>
          </w:tcPr>
          <w:p w14:paraId="3B7EAFEF" w14:textId="4A2EC2BA" w:rsidR="000E5392" w:rsidRPr="00D517B2" w:rsidRDefault="000E5392" w:rsidP="000E5392">
            <w:pPr>
              <w:spacing w:before="80" w:after="60" w:line="300" w:lineRule="exact"/>
              <w:jc w:val="left"/>
              <w:rPr>
                <w:b/>
                <w:position w:val="2"/>
              </w:rPr>
            </w:pPr>
            <w:r w:rsidRPr="00BC70C5">
              <w:rPr>
                <w:b/>
                <w:iCs/>
              </w:rPr>
              <w:t>Hiroshi Ota</w:t>
            </w:r>
          </w:p>
        </w:tc>
        <w:tc>
          <w:tcPr>
            <w:tcW w:w="2279" w:type="pct"/>
            <w:vMerge/>
          </w:tcPr>
          <w:p w14:paraId="06302F22" w14:textId="77777777" w:rsidR="000E5392" w:rsidRPr="000E5392" w:rsidRDefault="000E5392" w:rsidP="000E5392">
            <w:pPr>
              <w:spacing w:before="80" w:after="60" w:line="300" w:lineRule="exact"/>
              <w:jc w:val="left"/>
              <w:rPr>
                <w:position w:val="2"/>
                <w:rtl/>
              </w:rPr>
            </w:pPr>
          </w:p>
        </w:tc>
      </w:tr>
      <w:tr w:rsidR="000E5392" w:rsidRPr="00D517B2" w14:paraId="3D146BCD" w14:textId="77777777" w:rsidTr="000E5392">
        <w:trPr>
          <w:cantSplit/>
          <w:jc w:val="center"/>
        </w:trPr>
        <w:tc>
          <w:tcPr>
            <w:tcW w:w="810" w:type="pct"/>
          </w:tcPr>
          <w:p w14:paraId="11B53A91" w14:textId="77777777" w:rsidR="000E5392" w:rsidRDefault="000E5392" w:rsidP="000E5392">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11" w:type="pct"/>
          </w:tcPr>
          <w:p w14:paraId="70947895" w14:textId="07B564A8" w:rsidR="000E5392" w:rsidRDefault="000E5392" w:rsidP="000E5392">
            <w:pPr>
              <w:spacing w:before="80" w:after="60" w:line="300" w:lineRule="exact"/>
              <w:jc w:val="left"/>
              <w:rPr>
                <w:b/>
                <w:bCs/>
                <w:position w:val="2"/>
                <w:rtl/>
                <w:lang w:bidi="ar-EG"/>
              </w:rPr>
            </w:pPr>
            <w:r w:rsidRPr="00BC70C5">
              <w:t>+41 22 730 6356</w:t>
            </w:r>
          </w:p>
        </w:tc>
        <w:tc>
          <w:tcPr>
            <w:tcW w:w="2279" w:type="pct"/>
            <w:vMerge/>
          </w:tcPr>
          <w:p w14:paraId="0AE2E268" w14:textId="77777777" w:rsidR="000E5392" w:rsidRPr="000E5392" w:rsidRDefault="000E5392" w:rsidP="000E5392">
            <w:pPr>
              <w:spacing w:before="80" w:after="60" w:line="300" w:lineRule="exact"/>
              <w:jc w:val="left"/>
              <w:rPr>
                <w:position w:val="2"/>
                <w:rtl/>
              </w:rPr>
            </w:pPr>
          </w:p>
        </w:tc>
      </w:tr>
      <w:tr w:rsidR="000E5392" w:rsidRPr="00D517B2" w14:paraId="5EC8CDA5" w14:textId="77777777" w:rsidTr="000E5392">
        <w:trPr>
          <w:cantSplit/>
          <w:jc w:val="center"/>
        </w:trPr>
        <w:tc>
          <w:tcPr>
            <w:tcW w:w="810" w:type="pct"/>
          </w:tcPr>
          <w:p w14:paraId="53785DE8" w14:textId="77777777" w:rsidR="000E5392" w:rsidRPr="00A9156F" w:rsidRDefault="000E5392" w:rsidP="000E5392">
            <w:pPr>
              <w:spacing w:before="80" w:after="60" w:line="300" w:lineRule="exact"/>
              <w:jc w:val="left"/>
              <w:rPr>
                <w:b/>
                <w:bCs/>
                <w:position w:val="2"/>
                <w:rtl/>
              </w:rPr>
            </w:pPr>
            <w:r w:rsidRPr="00A9156F">
              <w:rPr>
                <w:rFonts w:hint="cs"/>
                <w:b/>
                <w:bCs/>
                <w:position w:val="2"/>
                <w:rtl/>
              </w:rPr>
              <w:t>الفاكس:</w:t>
            </w:r>
          </w:p>
        </w:tc>
        <w:tc>
          <w:tcPr>
            <w:tcW w:w="1911" w:type="pct"/>
          </w:tcPr>
          <w:p w14:paraId="4BB75D3B" w14:textId="28DE4DDE" w:rsidR="000E5392" w:rsidRPr="00D517B2" w:rsidRDefault="000E5392" w:rsidP="000E5392">
            <w:pPr>
              <w:spacing w:before="80" w:after="60" w:line="300" w:lineRule="exact"/>
              <w:jc w:val="left"/>
              <w:rPr>
                <w:position w:val="2"/>
              </w:rPr>
            </w:pPr>
            <w:r w:rsidRPr="00BC70C5">
              <w:t>+41 22 730 5853</w:t>
            </w:r>
          </w:p>
        </w:tc>
        <w:tc>
          <w:tcPr>
            <w:tcW w:w="2279" w:type="pct"/>
            <w:vMerge/>
          </w:tcPr>
          <w:p w14:paraId="54807301" w14:textId="77777777" w:rsidR="000E5392" w:rsidRPr="000E5392" w:rsidRDefault="000E5392" w:rsidP="000E5392">
            <w:pPr>
              <w:spacing w:before="80" w:after="60" w:line="300" w:lineRule="exact"/>
              <w:jc w:val="left"/>
              <w:rPr>
                <w:position w:val="2"/>
                <w:rtl/>
              </w:rPr>
            </w:pPr>
          </w:p>
        </w:tc>
      </w:tr>
      <w:tr w:rsidR="000E5392" w:rsidRPr="00D517B2" w14:paraId="3B25A822" w14:textId="77777777" w:rsidTr="000E5392">
        <w:trPr>
          <w:cantSplit/>
          <w:jc w:val="center"/>
        </w:trPr>
        <w:tc>
          <w:tcPr>
            <w:tcW w:w="810" w:type="pct"/>
          </w:tcPr>
          <w:p w14:paraId="58861C70" w14:textId="77777777" w:rsidR="000E5392" w:rsidRPr="00A9156F" w:rsidRDefault="000E5392" w:rsidP="000E5392">
            <w:pPr>
              <w:spacing w:before="80" w:after="60" w:line="300" w:lineRule="exact"/>
              <w:jc w:val="left"/>
              <w:rPr>
                <w:b/>
                <w:bCs/>
                <w:position w:val="2"/>
                <w:rtl/>
              </w:rPr>
            </w:pPr>
            <w:r w:rsidRPr="00A9156F">
              <w:rPr>
                <w:rFonts w:hint="cs"/>
                <w:b/>
                <w:bCs/>
                <w:position w:val="2"/>
                <w:rtl/>
              </w:rPr>
              <w:t>البريد الإلكتروني:</w:t>
            </w:r>
          </w:p>
        </w:tc>
        <w:tc>
          <w:tcPr>
            <w:tcW w:w="1911" w:type="pct"/>
          </w:tcPr>
          <w:p w14:paraId="2BFDEB4D" w14:textId="7C02A4B7" w:rsidR="000E5392" w:rsidRPr="006E1BAD" w:rsidRDefault="000E5392" w:rsidP="000E5392">
            <w:pPr>
              <w:spacing w:before="80" w:after="60" w:line="300" w:lineRule="exact"/>
              <w:jc w:val="left"/>
              <w:rPr>
                <w:position w:val="2"/>
                <w:highlight w:val="magenta"/>
                <w:rtl/>
                <w:lang w:bidi="ar-EG"/>
              </w:rPr>
            </w:pPr>
            <w:hyperlink r:id="rId9" w:history="1">
              <w:r w:rsidRPr="00BC70C5">
                <w:rPr>
                  <w:rStyle w:val="Hyperlink"/>
                </w:rPr>
                <w:t>tsbevents@itu.int</w:t>
              </w:r>
            </w:hyperlink>
          </w:p>
        </w:tc>
        <w:tc>
          <w:tcPr>
            <w:tcW w:w="2279" w:type="pct"/>
          </w:tcPr>
          <w:p w14:paraId="4738B10E" w14:textId="77777777" w:rsidR="000E5392" w:rsidRPr="000E5392" w:rsidRDefault="000E5392" w:rsidP="000E5392">
            <w:pPr>
              <w:tabs>
                <w:tab w:val="clear" w:pos="794"/>
                <w:tab w:val="left" w:pos="284"/>
              </w:tabs>
              <w:spacing w:before="80" w:after="60" w:line="300" w:lineRule="exact"/>
              <w:ind w:left="284" w:hanging="284"/>
              <w:jc w:val="left"/>
              <w:rPr>
                <w:b/>
                <w:bCs/>
                <w:position w:val="2"/>
                <w:rtl/>
              </w:rPr>
            </w:pPr>
            <w:r w:rsidRPr="000E5392">
              <w:rPr>
                <w:rFonts w:hint="cs"/>
                <w:b/>
                <w:bCs/>
                <w:position w:val="2"/>
                <w:rtl/>
              </w:rPr>
              <w:t>نسخة إلى:</w:t>
            </w:r>
          </w:p>
          <w:p w14:paraId="5631E5C4" w14:textId="0B00E242" w:rsidR="000E5392" w:rsidRPr="000E5392" w:rsidRDefault="000E5392" w:rsidP="000E5392">
            <w:pPr>
              <w:tabs>
                <w:tab w:val="left" w:pos="284"/>
                <w:tab w:val="left" w:pos="4111"/>
              </w:tabs>
              <w:spacing w:before="0" w:line="340" w:lineRule="exact"/>
              <w:ind w:left="284" w:hanging="284"/>
              <w:rPr>
                <w:rFonts w:eastAsia="Times New Roman"/>
                <w:position w:val="2"/>
                <w:lang w:eastAsia="en-US"/>
              </w:rPr>
            </w:pPr>
            <w:r w:rsidRPr="000E5392">
              <w:rPr>
                <w:rFonts w:hint="cs"/>
                <w:position w:val="2"/>
                <w:rtl/>
              </w:rPr>
              <w:t>-</w:t>
            </w:r>
            <w:r w:rsidRPr="000E5392">
              <w:rPr>
                <w:position w:val="2"/>
                <w:rtl/>
              </w:rPr>
              <w:tab/>
            </w:r>
            <w:r w:rsidRPr="000E5392">
              <w:rPr>
                <w:rFonts w:eastAsia="MS Mincho"/>
                <w:b/>
                <w:bCs/>
                <w:rtl/>
              </w:rPr>
              <w:t xml:space="preserve"> </w:t>
            </w:r>
            <w:r w:rsidRPr="000E5392">
              <w:rPr>
                <w:rFonts w:eastAsia="Times New Roman"/>
                <w:position w:val="2"/>
                <w:rtl/>
                <w:lang w:eastAsia="en-US"/>
              </w:rPr>
              <w:t>رؤساء لجان دراسات قطاع تقييس الاتصالات ونوابهم؛</w:t>
            </w:r>
          </w:p>
          <w:p w14:paraId="534861A6" w14:textId="102CA3C2" w:rsidR="000E5392" w:rsidRPr="000E5392" w:rsidRDefault="000E5392" w:rsidP="000E5392">
            <w:pPr>
              <w:tabs>
                <w:tab w:val="left" w:pos="284"/>
                <w:tab w:val="left" w:pos="4111"/>
              </w:tabs>
              <w:spacing w:before="0" w:line="340" w:lineRule="exact"/>
              <w:ind w:left="284" w:hanging="284"/>
              <w:rPr>
                <w:rFonts w:eastAsia="Times New Roman"/>
                <w:position w:val="2"/>
                <w:lang w:eastAsia="en-US"/>
              </w:rPr>
            </w:pPr>
            <w:r>
              <w:rPr>
                <w:rFonts w:eastAsia="Times New Roman" w:hint="cs"/>
                <w:position w:val="2"/>
                <w:rtl/>
                <w:lang w:eastAsia="en-US"/>
              </w:rPr>
              <w:t>-</w:t>
            </w:r>
            <w:r>
              <w:rPr>
                <w:rFonts w:eastAsia="Times New Roman"/>
                <w:position w:val="2"/>
                <w:rtl/>
                <w:lang w:eastAsia="en-US"/>
              </w:rPr>
              <w:tab/>
            </w:r>
            <w:r w:rsidRPr="000E5392">
              <w:rPr>
                <w:rFonts w:eastAsia="Times New Roman"/>
                <w:position w:val="2"/>
                <w:rtl/>
                <w:lang w:eastAsia="en-US"/>
              </w:rPr>
              <w:t>مدير مكتب تنمية الاتصالات؛</w:t>
            </w:r>
          </w:p>
          <w:p w14:paraId="5645499B" w14:textId="6F302322" w:rsidR="000E5392" w:rsidRPr="000E5392" w:rsidRDefault="000E5392" w:rsidP="000E5392">
            <w:pPr>
              <w:tabs>
                <w:tab w:val="left" w:pos="284"/>
                <w:tab w:val="left" w:pos="4111"/>
              </w:tabs>
              <w:spacing w:before="0" w:line="340" w:lineRule="exact"/>
              <w:ind w:left="284" w:hanging="284"/>
              <w:rPr>
                <w:position w:val="2"/>
                <w:rtl/>
              </w:rPr>
            </w:pPr>
            <w:r>
              <w:rPr>
                <w:rFonts w:eastAsia="Times New Roman" w:hint="cs"/>
                <w:position w:val="2"/>
                <w:rtl/>
                <w:lang w:eastAsia="en-US"/>
              </w:rPr>
              <w:t>-</w:t>
            </w:r>
            <w:r>
              <w:rPr>
                <w:rFonts w:eastAsia="Times New Roman"/>
                <w:position w:val="2"/>
                <w:rtl/>
                <w:lang w:eastAsia="en-US"/>
              </w:rPr>
              <w:tab/>
            </w:r>
            <w:r w:rsidRPr="000E5392">
              <w:rPr>
                <w:rFonts w:eastAsia="Times New Roman"/>
                <w:position w:val="2"/>
                <w:rtl/>
                <w:lang w:eastAsia="en-US"/>
              </w:rPr>
              <w:t>مدير مكتب الاتصالات الراديوية</w:t>
            </w:r>
          </w:p>
        </w:tc>
      </w:tr>
      <w:tr w:rsidR="00CE1C08" w:rsidRPr="00D517B2" w14:paraId="000CE286" w14:textId="77777777" w:rsidTr="000E5392">
        <w:trPr>
          <w:cantSplit/>
          <w:jc w:val="center"/>
        </w:trPr>
        <w:tc>
          <w:tcPr>
            <w:tcW w:w="810" w:type="pct"/>
          </w:tcPr>
          <w:p w14:paraId="2EAFFE9D" w14:textId="77777777" w:rsidR="00CE1C08" w:rsidRPr="00A9156F" w:rsidRDefault="00CE1C08" w:rsidP="00CE1C08">
            <w:pPr>
              <w:spacing w:before="80" w:after="60" w:line="300" w:lineRule="exact"/>
              <w:jc w:val="left"/>
              <w:rPr>
                <w:b/>
                <w:bCs/>
                <w:position w:val="2"/>
                <w:rtl/>
                <w:lang w:bidi="ar-EG"/>
              </w:rPr>
            </w:pPr>
          </w:p>
        </w:tc>
        <w:tc>
          <w:tcPr>
            <w:tcW w:w="1911" w:type="pct"/>
          </w:tcPr>
          <w:p w14:paraId="30C793D8" w14:textId="77777777" w:rsidR="00CE1C08" w:rsidRPr="00D517B2" w:rsidRDefault="00CE1C08" w:rsidP="00CE1C08">
            <w:pPr>
              <w:spacing w:before="80" w:after="60" w:line="300" w:lineRule="exact"/>
              <w:jc w:val="left"/>
              <w:rPr>
                <w:position w:val="2"/>
              </w:rPr>
            </w:pPr>
          </w:p>
        </w:tc>
        <w:tc>
          <w:tcPr>
            <w:tcW w:w="2279" w:type="pct"/>
          </w:tcPr>
          <w:p w14:paraId="737F91E5" w14:textId="77777777" w:rsidR="00CE1C08" w:rsidRPr="00D517B2" w:rsidRDefault="00CE1C08" w:rsidP="00CE1C08">
            <w:pPr>
              <w:spacing w:before="80" w:after="60" w:line="300" w:lineRule="exact"/>
              <w:jc w:val="left"/>
              <w:rPr>
                <w:position w:val="2"/>
                <w:rtl/>
              </w:rPr>
            </w:pPr>
          </w:p>
        </w:tc>
      </w:tr>
      <w:tr w:rsidR="00CE1C08" w:rsidRPr="00D517B2" w14:paraId="09CE07B2" w14:textId="77777777" w:rsidTr="001E2788">
        <w:trPr>
          <w:cantSplit/>
          <w:jc w:val="center"/>
        </w:trPr>
        <w:tc>
          <w:tcPr>
            <w:tcW w:w="810" w:type="pct"/>
          </w:tcPr>
          <w:p w14:paraId="095AEA8D"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190" w:type="pct"/>
            <w:gridSpan w:val="2"/>
          </w:tcPr>
          <w:p w14:paraId="7FE4DBB7" w14:textId="523278CD" w:rsidR="00CE1C08" w:rsidRPr="000E5392" w:rsidRDefault="000E5392" w:rsidP="000E5392">
            <w:pPr>
              <w:spacing w:before="80" w:after="60" w:line="300" w:lineRule="exact"/>
              <w:rPr>
                <w:spacing w:val="-4"/>
                <w:position w:val="2"/>
                <w:rtl/>
              </w:rPr>
            </w:pPr>
            <w:r w:rsidRPr="000E5392">
              <w:rPr>
                <w:b/>
                <w:bCs/>
                <w:spacing w:val="-4"/>
                <w:position w:val="2"/>
                <w:rtl/>
              </w:rPr>
              <w:t>ورشة العمل العاشرة بشأن كبلات</w:t>
            </w:r>
            <w:r w:rsidRPr="000E5392">
              <w:rPr>
                <w:b/>
                <w:bCs/>
                <w:spacing w:val="-4"/>
                <w:position w:val="2"/>
              </w:rPr>
              <w:t xml:space="preserve"> SMART </w:t>
            </w:r>
            <w:r w:rsidRPr="000E5392">
              <w:rPr>
                <w:b/>
                <w:bCs/>
                <w:spacing w:val="-4"/>
                <w:position w:val="2"/>
                <w:rtl/>
              </w:rPr>
              <w:t>(هونولولو، الولايات المتحدة الأمريكية، 23-24 يناير 2025)</w:t>
            </w:r>
          </w:p>
        </w:tc>
      </w:tr>
    </w:tbl>
    <w:p w14:paraId="4009DDA7" w14:textId="77777777" w:rsidR="00D517B2" w:rsidRPr="00D517B2" w:rsidRDefault="00D517B2" w:rsidP="006635B2">
      <w:pPr>
        <w:spacing w:before="600"/>
        <w:rPr>
          <w:lang w:bidi="ar-SY"/>
        </w:rPr>
      </w:pPr>
      <w:r w:rsidRPr="00D517B2">
        <w:rPr>
          <w:rFonts w:hint="cs"/>
          <w:rtl/>
          <w:lang w:bidi="ar-SY"/>
        </w:rPr>
        <w:t>حضرات السادة والسيدات،</w:t>
      </w:r>
    </w:p>
    <w:p w14:paraId="55892D07" w14:textId="77777777" w:rsidR="00D517B2" w:rsidRPr="00D517B2" w:rsidRDefault="00D517B2" w:rsidP="00D517B2">
      <w:pPr>
        <w:rPr>
          <w:rtl/>
          <w:lang w:bidi="ar-EG"/>
        </w:rPr>
      </w:pPr>
      <w:r w:rsidRPr="00D517B2">
        <w:rPr>
          <w:rFonts w:hint="cs"/>
          <w:rtl/>
        </w:rPr>
        <w:t>تحية طيبة وبعد،</w:t>
      </w:r>
    </w:p>
    <w:p w14:paraId="0F72A824" w14:textId="53DB8F27" w:rsidR="000E5392" w:rsidRPr="000E5392" w:rsidRDefault="000E5392" w:rsidP="000E5392">
      <w:pPr>
        <w:rPr>
          <w:lang w:val="ar-SA" w:bidi="ar-SY"/>
        </w:rPr>
      </w:pPr>
      <w:r w:rsidRPr="000E5392">
        <w:rPr>
          <w:rtl/>
        </w:rPr>
        <w:t>1</w:t>
      </w:r>
      <w:r w:rsidRPr="000E5392">
        <w:rPr>
          <w:rtl/>
        </w:rPr>
        <w:tab/>
        <w:t xml:space="preserve">ينظم فريق المهام المشترك بين الاتحاد الدولي للاتصالات </w:t>
      </w:r>
      <w:r w:rsidRPr="000E5392">
        <w:rPr>
          <w:lang w:bidi="ar-SY"/>
        </w:rPr>
        <w:t>(ITU</w:t>
      </w:r>
      <w:r>
        <w:t>)</w:t>
      </w:r>
      <w:r w:rsidRPr="000E5392">
        <w:rPr>
          <w:rtl/>
        </w:rPr>
        <w:t xml:space="preserve"> والمنظمة العالمية للأرصاد الجوية (</w:t>
      </w:r>
      <w:r w:rsidRPr="000E5392">
        <w:rPr>
          <w:lang w:bidi="ar-SY"/>
        </w:rPr>
        <w:t>WMO</w:t>
      </w:r>
      <w:r w:rsidRPr="000E5392">
        <w:rPr>
          <w:rtl/>
        </w:rPr>
        <w:t xml:space="preserve">) واللجنة الأوقيانوغرافية الحكومية الدولية التابعة لمنظمة الأمم المتحدة للتربية والعلم والثقافة (UNESCO IOC) والمعني </w:t>
      </w:r>
      <w:r w:rsidRPr="000E5392">
        <w:rPr>
          <w:b/>
          <w:bCs/>
          <w:rtl/>
        </w:rPr>
        <w:t>"بكبلات</w:t>
      </w:r>
      <w:r>
        <w:rPr>
          <w:rFonts w:hint="cs"/>
          <w:b/>
          <w:bCs/>
          <w:rtl/>
        </w:rPr>
        <w:t> </w:t>
      </w:r>
      <w:r w:rsidRPr="000E5392">
        <w:rPr>
          <w:b/>
          <w:bCs/>
          <w:lang w:bidi="ar-SY"/>
        </w:rPr>
        <w:t>SMART</w:t>
      </w:r>
      <w:r w:rsidRPr="000E5392">
        <w:rPr>
          <w:rtl/>
        </w:rPr>
        <w:t xml:space="preserve">" ورشة عمل يومي </w:t>
      </w:r>
      <w:r w:rsidRPr="000E5392">
        <w:rPr>
          <w:b/>
          <w:bCs/>
          <w:rtl/>
        </w:rPr>
        <w:t xml:space="preserve">23 و24 يناير 2025 </w:t>
      </w:r>
      <w:r w:rsidRPr="000E5392">
        <w:rPr>
          <w:rtl/>
        </w:rPr>
        <w:t xml:space="preserve">في قاعة كوني في مركز إيمين الدولي للمؤتمرات، مركز إيست ويست، جامعة هاواي في مانوا في هونولولو، </w:t>
      </w:r>
      <w:r w:rsidRPr="000E5392">
        <w:rPr>
          <w:b/>
          <w:bCs/>
          <w:rtl/>
        </w:rPr>
        <w:t>هاواي، الولايات المتحدة الأمريكية</w:t>
      </w:r>
      <w:r w:rsidRPr="000E5392">
        <w:rPr>
          <w:rtl/>
        </w:rPr>
        <w:t xml:space="preserve">، من الساعة </w:t>
      </w:r>
      <w:r>
        <w:rPr>
          <w:rFonts w:hint="cs"/>
          <w:rtl/>
          <w:lang w:bidi="ar-EG"/>
        </w:rPr>
        <w:t>0</w:t>
      </w:r>
      <w:r w:rsidRPr="000E5392">
        <w:rPr>
          <w:rtl/>
        </w:rPr>
        <w:t>8:00 يوم 23 يناير إلى الساعة 16:00 يوم 24 يناير (UTC -10). وستتاح المشاركة عن بُعد في ورشة العمل هذه.</w:t>
      </w:r>
    </w:p>
    <w:p w14:paraId="3CA924AD" w14:textId="290FA250" w:rsidR="000E5392" w:rsidRPr="000E5392" w:rsidRDefault="000E5392" w:rsidP="000E5392">
      <w:pPr>
        <w:rPr>
          <w:lang w:val="ar-SA" w:bidi="ar-EG"/>
        </w:rPr>
      </w:pPr>
      <w:r w:rsidRPr="000E5392">
        <w:rPr>
          <w:rtl/>
        </w:rPr>
        <w:t>2</w:t>
      </w:r>
      <w:r w:rsidRPr="000E5392">
        <w:rPr>
          <w:rtl/>
        </w:rPr>
        <w:tab/>
      </w:r>
      <w:r w:rsidRPr="000E5392">
        <w:rPr>
          <w:spacing w:val="-2"/>
          <w:rtl/>
        </w:rPr>
        <w:t xml:space="preserve">وتتمثل مهمة فريق المهام المشترك بين الاتحاد الدولي للاتصالات والمنظمة العالمية للأرصاد الجوية واللجنة الأوقيانوغرافية الحكومية الدولية التابعة لليونسكو والمعني بأنظمة الكبلات البحرية </w:t>
      </w:r>
      <w:r w:rsidRPr="000E5392">
        <w:rPr>
          <w:spacing w:val="-2"/>
          <w:lang w:bidi="ar-SY"/>
        </w:rPr>
        <w:t xml:space="preserve">SMART </w:t>
      </w:r>
      <w:r w:rsidRPr="000E5392">
        <w:rPr>
          <w:spacing w:val="-2"/>
          <w:rtl/>
        </w:rPr>
        <w:t xml:space="preserve"> (فريق المهام المشترك المعني بأنظمة كبلات المراقبة العلمية والاتصالات الموثوقة (</w:t>
      </w:r>
      <w:r w:rsidRPr="000E5392">
        <w:rPr>
          <w:spacing w:val="-2"/>
          <w:lang w:bidi="ar-SY"/>
        </w:rPr>
        <w:t>SMART</w:t>
      </w:r>
      <w:r w:rsidRPr="000E5392">
        <w:rPr>
          <w:spacing w:val="-2"/>
          <w:rtl/>
        </w:rPr>
        <w:t>)) في وضع استراتيجية وخارطة طريق مما يمكن أن يؤدي إلى إمكانية توافر وحدات تكرار بحرية مزودة بأجهزة استشعار علمية لمراقبة المحيطات والمناخ والحد من مخاطر الكوارث في حالات التسونامي. وبتركيب أنظمة جديدة للكبلات العابرة للمحيطات وكبلات الاتصالات الإقليمية المزودة بأجهزة استشعار، يمكن إنشاء شبكة عالمية توفر بيانات عشرية في الوقت الفعلي لرصد مناخ المحيطات والتخفيف من وطأة الكوارث، ولا سيما في حالات التسونامي.</w:t>
      </w:r>
    </w:p>
    <w:p w14:paraId="3FF0D225" w14:textId="7E4FBD56" w:rsidR="000E5392" w:rsidRPr="000E5392" w:rsidRDefault="000E5392" w:rsidP="000E5392">
      <w:pPr>
        <w:rPr>
          <w:lang w:val="ar-SA" w:bidi="ar-SY"/>
        </w:rPr>
      </w:pPr>
      <w:r w:rsidRPr="000E5392">
        <w:rPr>
          <w:rtl/>
        </w:rPr>
        <w:t>3</w:t>
      </w:r>
      <w:r w:rsidRPr="000E5392">
        <w:rPr>
          <w:rtl/>
        </w:rPr>
        <w:tab/>
        <w:t>يشمل الهدف من ورشة العمل هذه، على سبيل المثال لا الحصر</w:t>
      </w:r>
      <w:r>
        <w:rPr>
          <w:rFonts w:hint="cs"/>
          <w:rtl/>
          <w:lang w:bidi="ar-SY"/>
        </w:rPr>
        <w:t>:</w:t>
      </w:r>
    </w:p>
    <w:p w14:paraId="14BAB25B" w14:textId="4486FAFC" w:rsidR="000E5392" w:rsidRPr="000E5392" w:rsidRDefault="000E5392" w:rsidP="000E5392">
      <w:pPr>
        <w:pStyle w:val="enumlev1"/>
        <w:rPr>
          <w:lang w:val="ar-SA"/>
        </w:rPr>
      </w:pPr>
      <w:r>
        <w:rPr>
          <w:rFonts w:hint="cs"/>
          <w:rtl/>
        </w:rPr>
        <w:t>-</w:t>
      </w:r>
      <w:r>
        <w:rPr>
          <w:rtl/>
        </w:rPr>
        <w:tab/>
      </w:r>
      <w:r w:rsidRPr="000E5392">
        <w:rPr>
          <w:rtl/>
        </w:rPr>
        <w:t xml:space="preserve">عرض الوضع الحالي والمنظور المستقبلي للكابلات </w:t>
      </w:r>
      <w:r w:rsidRPr="000E5392">
        <w:t>SMART</w:t>
      </w:r>
      <w:r w:rsidRPr="000E5392">
        <w:rPr>
          <w:rtl/>
        </w:rPr>
        <w:t xml:space="preserve"> على الصعيد العالمي</w:t>
      </w:r>
    </w:p>
    <w:p w14:paraId="59590986" w14:textId="09577E60" w:rsidR="000E5392" w:rsidRPr="000E5392" w:rsidRDefault="000E5392" w:rsidP="000E5392">
      <w:pPr>
        <w:pStyle w:val="enumlev1"/>
        <w:rPr>
          <w:lang w:val="ar-SA"/>
        </w:rPr>
      </w:pPr>
      <w:r>
        <w:rPr>
          <w:rFonts w:hint="cs"/>
          <w:rtl/>
        </w:rPr>
        <w:t>-</w:t>
      </w:r>
      <w:r>
        <w:rPr>
          <w:rtl/>
        </w:rPr>
        <w:tab/>
      </w:r>
      <w:r w:rsidRPr="000E5392">
        <w:rPr>
          <w:rtl/>
        </w:rPr>
        <w:t>توليد أوجه التآزر بين صناعة الاتصالات البحرية والمجتمعات العلمية</w:t>
      </w:r>
    </w:p>
    <w:p w14:paraId="47CF49EC" w14:textId="6C4F97FF" w:rsidR="000E5392" w:rsidRPr="000E5392" w:rsidRDefault="000E5392" w:rsidP="000E5392">
      <w:pPr>
        <w:pStyle w:val="enumlev1"/>
        <w:rPr>
          <w:lang w:val="ar-SA"/>
        </w:rPr>
      </w:pPr>
      <w:r>
        <w:rPr>
          <w:rFonts w:hint="cs"/>
          <w:rtl/>
        </w:rPr>
        <w:t>-</w:t>
      </w:r>
      <w:r>
        <w:rPr>
          <w:rtl/>
        </w:rPr>
        <w:tab/>
      </w:r>
      <w:r w:rsidRPr="000E5392">
        <w:rPr>
          <w:rtl/>
        </w:rPr>
        <w:t xml:space="preserve">تعزيز إدماج أنظمة الكبلات </w:t>
      </w:r>
      <w:r w:rsidRPr="000E5392">
        <w:t>SMART</w:t>
      </w:r>
      <w:r w:rsidRPr="000E5392">
        <w:rPr>
          <w:rtl/>
        </w:rPr>
        <w:t xml:space="preserve"> في النظام العالمي لرصد المحيطات </w:t>
      </w:r>
      <w:r w:rsidRPr="000E5392">
        <w:t>(GOOS</w:t>
      </w:r>
      <w:r>
        <w:t>)</w:t>
      </w:r>
      <w:r w:rsidRPr="000E5392">
        <w:rPr>
          <w:rtl/>
        </w:rPr>
        <w:t>.</w:t>
      </w:r>
    </w:p>
    <w:p w14:paraId="7653C051" w14:textId="4CB22554" w:rsidR="000E5392" w:rsidRPr="000E5392" w:rsidRDefault="000E5392" w:rsidP="000E5392">
      <w:pPr>
        <w:rPr>
          <w:lang w:val="ar-SA" w:bidi="ar-SY"/>
        </w:rPr>
      </w:pPr>
      <w:r w:rsidRPr="000E5392">
        <w:rPr>
          <w:rtl/>
        </w:rPr>
        <w:t>4</w:t>
      </w:r>
      <w:r w:rsidRPr="000E5392">
        <w:rPr>
          <w:rtl/>
        </w:rPr>
        <w:tab/>
        <w:t xml:space="preserve">وورشة العمل مخصصة لأعضاء صناعة الكبلات والاتصالات (الموردون والمالكون أو المالكون المحتملون ومشغلو أنظمة الكبلات البحرية). كما يرحَب بحضور أعضاء الهيئات الأكاديمية والمجتمع العلمي الذين يسعون للإحاطة بالوضع الحالي للكبلات SMART. وباب المشاركة مفتوح أمام الدول الأعضاء في الاتحاد وأعضاء قطاعاته والمنتسبين إليها والمؤسسات </w:t>
      </w:r>
      <w:r w:rsidRPr="000E5392">
        <w:rPr>
          <w:rtl/>
        </w:rPr>
        <w:lastRenderedPageBreak/>
        <w:t>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وستجري ورشة العمل باللغة الإنكليزية فقط.</w:t>
      </w:r>
    </w:p>
    <w:p w14:paraId="0605DE9D" w14:textId="77777777" w:rsidR="000E5392" w:rsidRPr="000E5392" w:rsidRDefault="000E5392" w:rsidP="000E5392">
      <w:pPr>
        <w:rPr>
          <w:lang w:val="ar-SA" w:bidi="ar-SY"/>
        </w:rPr>
      </w:pPr>
      <w:r w:rsidRPr="000E5392">
        <w:rPr>
          <w:rtl/>
        </w:rPr>
        <w:t>5</w:t>
      </w:r>
      <w:r w:rsidRPr="000E5392">
        <w:rPr>
          <w:rtl/>
        </w:rPr>
        <w:tab/>
        <w:t>المشاركة في ورشة العمل مجانية، ولكن يرجى ملاحظة أن التسجيل إلزامي للحضور إما شخصياً أو عبر الإنترنت.</w:t>
      </w:r>
    </w:p>
    <w:p w14:paraId="2A39D1D4" w14:textId="32E83CD5" w:rsidR="000E5392" w:rsidRPr="000E5392" w:rsidRDefault="000E5392" w:rsidP="000E5392">
      <w:pPr>
        <w:rPr>
          <w:lang w:val="ar-SA" w:bidi="ar-SY"/>
        </w:rPr>
      </w:pPr>
      <w:r w:rsidRPr="000E5392">
        <w:rPr>
          <w:rtl/>
        </w:rPr>
        <w:t>6</w:t>
      </w:r>
      <w:r w:rsidRPr="000E5392">
        <w:rPr>
          <w:rtl/>
        </w:rPr>
        <w:tab/>
        <w:t>وستتاح جميع المعلومات ذات الصلة المتعلقة بورشة العمل، بما يشمل مشروع البرنامج، في الموقع الإلكتروني للحدث</w:t>
      </w:r>
      <w:r w:rsidRPr="000E5392">
        <w:rPr>
          <w:lang w:bidi="ar-SY"/>
        </w:rPr>
        <w:t>:</w:t>
      </w:r>
      <w:r w:rsidRPr="000E5392">
        <w:rPr>
          <w:rtl/>
        </w:rPr>
        <w:t xml:space="preserve"> </w:t>
      </w:r>
      <w:hyperlink r:id="rId10">
        <w:r w:rsidRPr="000E5392">
          <w:rPr>
            <w:rStyle w:val="Hyperlink"/>
            <w:lang w:val="en-GB"/>
          </w:rPr>
          <w:t>https://www.itu.int/en/ITU-T/Workshops-and-Semin</w:t>
        </w:r>
        <w:r w:rsidRPr="000E5392">
          <w:rPr>
            <w:rStyle w:val="Hyperlink"/>
            <w:lang w:val="en-GB"/>
          </w:rPr>
          <w:t>a</w:t>
        </w:r>
        <w:r w:rsidRPr="000E5392">
          <w:rPr>
            <w:rStyle w:val="Hyperlink"/>
            <w:lang w:val="en-GB"/>
          </w:rPr>
          <w:t>rs/2025/0123/Pages/default.aspx</w:t>
        </w:r>
      </w:hyperlink>
      <w:r w:rsidRPr="000E5392">
        <w:rPr>
          <w:rtl/>
        </w:rPr>
        <w:t>. وسيتم تحديث الصفحة الإلكترونية للحدث بانتظام كلما أتيح المزيد من المعلومات. ويرُجى من المشاركين المواظبة على زيارة الصفحة الإلكترونية للاطلاع على أحدث المعلومات.</w:t>
      </w:r>
    </w:p>
    <w:p w14:paraId="07336C9D" w14:textId="039B08F6" w:rsidR="000E5392" w:rsidRPr="000E5392" w:rsidRDefault="000E5392" w:rsidP="000E5392">
      <w:pPr>
        <w:rPr>
          <w:bCs/>
          <w:lang w:bidi="en-GB"/>
        </w:rPr>
      </w:pPr>
      <w:r w:rsidRPr="000E5392">
        <w:rPr>
          <w:rtl/>
        </w:rPr>
        <w:t>7</w:t>
      </w:r>
      <w:r w:rsidRPr="000E5392">
        <w:rPr>
          <w:rtl/>
        </w:rPr>
        <w:tab/>
        <w:t>ولتمكين مكتب تقييس الاتصالات من اتخاذ الترتيبات اللازمة لتنظيم ورشة العمل، أكون ممتناً لو تكرمتم بالتسجيل في أقرب وقت ممكن عبر الرابط التالي</w:t>
      </w:r>
      <w:r>
        <w:rPr>
          <w:rFonts w:hint="cs"/>
          <w:rtl/>
        </w:rPr>
        <w:t>:</w:t>
      </w:r>
      <w:r w:rsidRPr="000E5392">
        <w:rPr>
          <w:rtl/>
        </w:rPr>
        <w:t xml:space="preserve"> </w:t>
      </w:r>
      <w:r>
        <w:rPr>
          <w:rtl/>
        </w:rPr>
        <w:tab/>
      </w:r>
      <w:r>
        <w:rPr>
          <w:rtl/>
        </w:rPr>
        <w:br/>
      </w:r>
      <w:hyperlink r:id="rId11" w:history="1">
        <w:r w:rsidRPr="00C27832">
          <w:rPr>
            <w:rStyle w:val="Hyperlink"/>
            <w:bCs/>
            <w:lang w:val="en-GB"/>
          </w:rPr>
          <w:t>https://www.itu.int/net4/CRM/xreg/web/Login.aspx?src=Regis</w:t>
        </w:r>
        <w:r w:rsidRPr="00C27832">
          <w:rPr>
            <w:rStyle w:val="Hyperlink"/>
            <w:bCs/>
            <w:lang w:val="en-GB"/>
          </w:rPr>
          <w:t>t</w:t>
        </w:r>
        <w:r w:rsidRPr="00C27832">
          <w:rPr>
            <w:rStyle w:val="Hyperlink"/>
            <w:bCs/>
            <w:lang w:val="en-GB"/>
          </w:rPr>
          <w:t>ration&amp;Event=C-00014937</w:t>
        </w:r>
      </w:hyperlink>
      <w:r w:rsidRPr="000E5392">
        <w:rPr>
          <w:rtl/>
        </w:rPr>
        <w:t>.</w:t>
      </w:r>
      <w:r w:rsidRPr="000E5392">
        <w:rPr>
          <w:rFonts w:hint="cs"/>
          <w:spacing w:val="-4"/>
          <w:rtl/>
        </w:rPr>
        <w:t xml:space="preserve"> </w:t>
      </w:r>
      <w:r w:rsidRPr="000E5392">
        <w:rPr>
          <w:bCs/>
          <w:spacing w:val="-4"/>
          <w:rtl/>
        </w:rPr>
        <w:t>ويرجى</w:t>
      </w:r>
      <w:r w:rsidRPr="000E5392">
        <w:rPr>
          <w:rFonts w:hint="cs"/>
          <w:bCs/>
          <w:spacing w:val="-4"/>
          <w:rtl/>
        </w:rPr>
        <w:t xml:space="preserve"> </w:t>
      </w:r>
      <w:r w:rsidRPr="000E5392">
        <w:rPr>
          <w:bCs/>
          <w:spacing w:val="-4"/>
          <w:rtl/>
        </w:rPr>
        <w:t>ملاحظة</w:t>
      </w:r>
      <w:r w:rsidRPr="000E5392">
        <w:rPr>
          <w:rFonts w:hint="cs"/>
          <w:bCs/>
          <w:spacing w:val="-4"/>
          <w:rtl/>
        </w:rPr>
        <w:t xml:space="preserve"> </w:t>
      </w:r>
      <w:r w:rsidRPr="000E5392">
        <w:rPr>
          <w:bCs/>
          <w:spacing w:val="-4"/>
          <w:rtl/>
        </w:rPr>
        <w:t>أن</w:t>
      </w:r>
      <w:r w:rsidRPr="000E5392">
        <w:rPr>
          <w:rFonts w:hint="cs"/>
          <w:bCs/>
          <w:spacing w:val="-4"/>
          <w:rtl/>
        </w:rPr>
        <w:t xml:space="preserve"> </w:t>
      </w:r>
      <w:r w:rsidRPr="000E5392">
        <w:rPr>
          <w:bCs/>
          <w:spacing w:val="-4"/>
          <w:rtl/>
        </w:rPr>
        <w:t>التسجيل</w:t>
      </w:r>
      <w:r w:rsidRPr="000E5392">
        <w:rPr>
          <w:rFonts w:hint="cs"/>
          <w:bCs/>
          <w:spacing w:val="-4"/>
          <w:rtl/>
        </w:rPr>
        <w:t xml:space="preserve"> </w:t>
      </w:r>
      <w:r w:rsidRPr="000E5392">
        <w:rPr>
          <w:bCs/>
          <w:spacing w:val="-4"/>
          <w:rtl/>
        </w:rPr>
        <w:t>المسبق للمشاركة في ورش العمل إلزامي ويجري عبر الإنترنت.</w:t>
      </w:r>
    </w:p>
    <w:p w14:paraId="5ADA7828" w14:textId="6DB37E29" w:rsidR="000E5392" w:rsidRPr="000E5392" w:rsidRDefault="000E5392" w:rsidP="000E5392">
      <w:pPr>
        <w:rPr>
          <w:lang w:val="ar-SA" w:bidi="ar-SY"/>
        </w:rPr>
      </w:pPr>
      <w:r w:rsidRPr="000E5392">
        <w:rPr>
          <w:rtl/>
        </w:rPr>
        <w:t>8</w:t>
      </w:r>
      <w:r w:rsidRPr="000E5392">
        <w:rPr>
          <w:rtl/>
        </w:rPr>
        <w:tab/>
        <w:t>وأود أن أذكركم بأن على مواطني بعض البلدان الحصول على تأشيرة للدخول إلى الولايات المتحدة الأمريكية وقضاء بعض الوقت فيها. ويجب طلب التأشيرة من المكتب (السفارة أو القنصلية) الذي يمثل الولايات المتحدة الأمريكية في بلدكم، أو من أقرب مكتب من بلد المغادرة في حالة عدم وجود مثل هذا المكتب في بلدكم. ويتعين توجيه طلبات دعم الحصول على التأشيرة مباشرةً إلى الجهة المضيفة لورشة العمل.</w:t>
      </w:r>
    </w:p>
    <w:p w14:paraId="03168ECF"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0E17EDEF" w14:textId="6E83CF13" w:rsidR="00596808" w:rsidRPr="00D517B2" w:rsidRDefault="00902865" w:rsidP="004E457B">
      <w:pPr>
        <w:spacing w:before="840"/>
        <w:jc w:val="left"/>
      </w:pPr>
      <w:r>
        <w:rPr>
          <w:rFonts w:hint="cs"/>
          <w:noProof/>
          <w:rtl/>
          <w:lang w:val="ar-SY" w:bidi="ar-SY"/>
        </w:rPr>
        <w:drawing>
          <wp:anchor distT="0" distB="0" distL="114300" distR="114300" simplePos="0" relativeHeight="251658240" behindDoc="1" locked="0" layoutInCell="1" allowOverlap="1" wp14:anchorId="51AC0669" wp14:editId="6B64E5BE">
            <wp:simplePos x="0" y="0"/>
            <wp:positionH relativeFrom="margin">
              <wp:align>right</wp:align>
            </wp:positionH>
            <wp:positionV relativeFrom="paragraph">
              <wp:posOffset>76835</wp:posOffset>
            </wp:positionV>
            <wp:extent cx="768389" cy="368319"/>
            <wp:effectExtent l="0" t="0" r="0" b="0"/>
            <wp:wrapNone/>
            <wp:docPr id="179348556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85563"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8389" cy="368319"/>
                    </a:xfrm>
                    <a:prstGeom prst="rect">
                      <a:avLst/>
                    </a:prstGeom>
                  </pic:spPr>
                </pic:pic>
              </a:graphicData>
            </a:graphic>
          </wp:anchor>
        </w:drawing>
      </w:r>
      <w:r w:rsidR="00807031">
        <w:rPr>
          <w:rFonts w:hint="cs"/>
          <w:rtl/>
          <w:lang w:bidi="ar-SY"/>
        </w:rPr>
        <w:t>سيزو أونوي</w:t>
      </w:r>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sectPr w:rsidR="00596808" w:rsidRPr="00D517B2"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0D66A" w14:textId="77777777" w:rsidR="00C267BE" w:rsidRDefault="00C267BE" w:rsidP="006C3242">
      <w:pPr>
        <w:spacing w:before="0" w:line="240" w:lineRule="auto"/>
      </w:pPr>
      <w:r>
        <w:separator/>
      </w:r>
    </w:p>
  </w:endnote>
  <w:endnote w:type="continuationSeparator" w:id="0">
    <w:p w14:paraId="41D93CD9" w14:textId="77777777" w:rsidR="00C267BE" w:rsidRDefault="00C267B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10B9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E6F60" w14:textId="77777777" w:rsidR="00C267BE" w:rsidRDefault="00C267BE" w:rsidP="006C3242">
      <w:pPr>
        <w:spacing w:before="0" w:line="240" w:lineRule="auto"/>
      </w:pPr>
      <w:r>
        <w:separator/>
      </w:r>
    </w:p>
  </w:footnote>
  <w:footnote w:type="continuationSeparator" w:id="0">
    <w:p w14:paraId="1D7678A8" w14:textId="77777777" w:rsidR="00C267BE" w:rsidRDefault="00C267B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58F22" w14:textId="01217276" w:rsidR="00447F32" w:rsidRPr="00B963B7" w:rsidRDefault="00596808" w:rsidP="000E5392">
    <w:pPr>
      <w:pStyle w:val="Header"/>
      <w:spacing w:after="240" w:line="192" w:lineRule="auto"/>
      <w:jc w:val="center"/>
      <w:rPr>
        <w:sz w:val="18"/>
        <w:szCs w:val="18"/>
        <w:rtl/>
      </w:rPr>
    </w:pPr>
    <w:r w:rsidRPr="00B963B7">
      <w:rPr>
        <w:sz w:val="18"/>
        <w:szCs w:val="18"/>
      </w:rPr>
      <w:t xml:space="preserve">- </w:t>
    </w:r>
    <w:r w:rsidRPr="00B963B7">
      <w:rPr>
        <w:sz w:val="18"/>
        <w:szCs w:val="18"/>
      </w:rPr>
      <w:fldChar w:fldCharType="begin"/>
    </w:r>
    <w:r w:rsidRPr="00B963B7">
      <w:rPr>
        <w:sz w:val="18"/>
        <w:szCs w:val="18"/>
      </w:rPr>
      <w:instrText xml:space="preserve"> PAGE </w:instrText>
    </w:r>
    <w:r w:rsidRPr="00B963B7">
      <w:rPr>
        <w:sz w:val="18"/>
        <w:szCs w:val="18"/>
      </w:rPr>
      <w:fldChar w:fldCharType="separate"/>
    </w:r>
    <w:r w:rsidRPr="00B963B7">
      <w:rPr>
        <w:sz w:val="18"/>
        <w:szCs w:val="18"/>
      </w:rPr>
      <w:t>2</w:t>
    </w:r>
    <w:r w:rsidRPr="00B963B7">
      <w:rPr>
        <w:sz w:val="18"/>
        <w:szCs w:val="18"/>
      </w:rPr>
      <w:fldChar w:fldCharType="end"/>
    </w:r>
    <w:r w:rsidRPr="00B963B7">
      <w:rPr>
        <w:sz w:val="18"/>
        <w:szCs w:val="18"/>
      </w:rPr>
      <w:t xml:space="preserve"> -</w:t>
    </w:r>
    <w:r w:rsidR="00E84438" w:rsidRPr="00B963B7">
      <w:rPr>
        <w:sz w:val="18"/>
        <w:szCs w:val="18"/>
        <w:rtl/>
      </w:rPr>
      <w:br/>
    </w:r>
    <w:r w:rsidR="000E5392" w:rsidRPr="00B963B7">
      <w:rPr>
        <w:sz w:val="18"/>
        <w:szCs w:val="18"/>
        <w:lang w:val="en-GB" w:bidi="ar-EG"/>
      </w:rPr>
      <w:t>TSB Circular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B67EA4"/>
    <w:multiLevelType w:val="hybridMultilevel"/>
    <w:tmpl w:val="9EFC9EAC"/>
    <w:lvl w:ilvl="0" w:tplc="DA4AC728">
      <w:start w:val="1"/>
      <w:numFmt w:val="bullet"/>
      <w:lvlText w:val=""/>
      <w:lvlJc w:val="left"/>
      <w:pPr>
        <w:ind w:left="720" w:hanging="360"/>
      </w:pPr>
      <w:rPr>
        <w:rFonts w:ascii="Symbol" w:hAnsi="Symbol" w:hint="default"/>
      </w:rPr>
    </w:lvl>
    <w:lvl w:ilvl="1" w:tplc="CF56BB96">
      <w:start w:val="1"/>
      <w:numFmt w:val="bullet"/>
      <w:lvlText w:val="o"/>
      <w:lvlJc w:val="left"/>
      <w:pPr>
        <w:ind w:left="1440" w:hanging="360"/>
      </w:pPr>
      <w:rPr>
        <w:rFonts w:ascii="Courier New" w:hAnsi="Courier New" w:hint="default"/>
      </w:rPr>
    </w:lvl>
    <w:lvl w:ilvl="2" w:tplc="ECC61544">
      <w:start w:val="1"/>
      <w:numFmt w:val="bullet"/>
      <w:lvlText w:val=""/>
      <w:lvlJc w:val="left"/>
      <w:pPr>
        <w:ind w:left="2160" w:hanging="360"/>
      </w:pPr>
      <w:rPr>
        <w:rFonts w:ascii="Wingdings" w:hAnsi="Wingdings" w:hint="default"/>
      </w:rPr>
    </w:lvl>
    <w:lvl w:ilvl="3" w:tplc="5A1C4050">
      <w:start w:val="1"/>
      <w:numFmt w:val="bullet"/>
      <w:lvlText w:val=""/>
      <w:lvlJc w:val="left"/>
      <w:pPr>
        <w:ind w:left="2880" w:hanging="360"/>
      </w:pPr>
      <w:rPr>
        <w:rFonts w:ascii="Symbol" w:hAnsi="Symbol" w:hint="default"/>
      </w:rPr>
    </w:lvl>
    <w:lvl w:ilvl="4" w:tplc="91944538">
      <w:start w:val="1"/>
      <w:numFmt w:val="bullet"/>
      <w:lvlText w:val="o"/>
      <w:lvlJc w:val="left"/>
      <w:pPr>
        <w:ind w:left="3600" w:hanging="360"/>
      </w:pPr>
      <w:rPr>
        <w:rFonts w:ascii="Courier New" w:hAnsi="Courier New" w:hint="default"/>
      </w:rPr>
    </w:lvl>
    <w:lvl w:ilvl="5" w:tplc="EF5C4A9E">
      <w:start w:val="1"/>
      <w:numFmt w:val="bullet"/>
      <w:lvlText w:val=""/>
      <w:lvlJc w:val="left"/>
      <w:pPr>
        <w:ind w:left="4320" w:hanging="360"/>
      </w:pPr>
      <w:rPr>
        <w:rFonts w:ascii="Wingdings" w:hAnsi="Wingdings" w:hint="default"/>
      </w:rPr>
    </w:lvl>
    <w:lvl w:ilvl="6" w:tplc="DF1E1128">
      <w:start w:val="1"/>
      <w:numFmt w:val="bullet"/>
      <w:lvlText w:val=""/>
      <w:lvlJc w:val="left"/>
      <w:pPr>
        <w:ind w:left="5040" w:hanging="360"/>
      </w:pPr>
      <w:rPr>
        <w:rFonts w:ascii="Symbol" w:hAnsi="Symbol" w:hint="default"/>
      </w:rPr>
    </w:lvl>
    <w:lvl w:ilvl="7" w:tplc="66E4C05C">
      <w:start w:val="1"/>
      <w:numFmt w:val="bullet"/>
      <w:lvlText w:val="o"/>
      <w:lvlJc w:val="left"/>
      <w:pPr>
        <w:ind w:left="5760" w:hanging="360"/>
      </w:pPr>
      <w:rPr>
        <w:rFonts w:ascii="Courier New" w:hAnsi="Courier New" w:hint="default"/>
      </w:rPr>
    </w:lvl>
    <w:lvl w:ilvl="8" w:tplc="40E04338">
      <w:start w:val="1"/>
      <w:numFmt w:val="bullet"/>
      <w:lvlText w:val=""/>
      <w:lvlJc w:val="left"/>
      <w:pPr>
        <w:ind w:left="6480" w:hanging="360"/>
      </w:pPr>
      <w:rPr>
        <w:rFonts w:ascii="Wingdings" w:hAnsi="Wingdings" w:hint="default"/>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912810839">
    <w:abstractNumId w:val="11"/>
    <w:lvlOverride w:ilvl="0">
      <w:lvl w:ilvl="0" w:tplc="DA4AC728">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92"/>
    <w:rsid w:val="00002A63"/>
    <w:rsid w:val="0006468A"/>
    <w:rsid w:val="00090574"/>
    <w:rsid w:val="000C1C0E"/>
    <w:rsid w:val="000C548A"/>
    <w:rsid w:val="000E327F"/>
    <w:rsid w:val="000E5392"/>
    <w:rsid w:val="00146FE2"/>
    <w:rsid w:val="001C0169"/>
    <w:rsid w:val="001D1D50"/>
    <w:rsid w:val="001D6745"/>
    <w:rsid w:val="001E2788"/>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C7EDF"/>
    <w:rsid w:val="003F4B29"/>
    <w:rsid w:val="00400EC6"/>
    <w:rsid w:val="0042686F"/>
    <w:rsid w:val="004317D8"/>
    <w:rsid w:val="00434183"/>
    <w:rsid w:val="00443869"/>
    <w:rsid w:val="00447F32"/>
    <w:rsid w:val="004E11DC"/>
    <w:rsid w:val="004E457B"/>
    <w:rsid w:val="00525DDD"/>
    <w:rsid w:val="005409AC"/>
    <w:rsid w:val="0055516A"/>
    <w:rsid w:val="005731DD"/>
    <w:rsid w:val="0058491B"/>
    <w:rsid w:val="00592EA5"/>
    <w:rsid w:val="00595B52"/>
    <w:rsid w:val="00596808"/>
    <w:rsid w:val="005A3170"/>
    <w:rsid w:val="006019C6"/>
    <w:rsid w:val="00611444"/>
    <w:rsid w:val="006635B2"/>
    <w:rsid w:val="00677396"/>
    <w:rsid w:val="0069200F"/>
    <w:rsid w:val="006A65CB"/>
    <w:rsid w:val="006C1530"/>
    <w:rsid w:val="006C3242"/>
    <w:rsid w:val="006C7CC0"/>
    <w:rsid w:val="006E1BAD"/>
    <w:rsid w:val="006E6264"/>
    <w:rsid w:val="006F63F7"/>
    <w:rsid w:val="007025C7"/>
    <w:rsid w:val="00706D7A"/>
    <w:rsid w:val="007139D8"/>
    <w:rsid w:val="0071587D"/>
    <w:rsid w:val="00722F0D"/>
    <w:rsid w:val="0074420E"/>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91703"/>
    <w:rsid w:val="008A7F84"/>
    <w:rsid w:val="00902865"/>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B0BC9"/>
    <w:rsid w:val="00AF6B5C"/>
    <w:rsid w:val="00B03099"/>
    <w:rsid w:val="00B05BC8"/>
    <w:rsid w:val="00B64B47"/>
    <w:rsid w:val="00B916A7"/>
    <w:rsid w:val="00B963B7"/>
    <w:rsid w:val="00BB0F08"/>
    <w:rsid w:val="00C002DE"/>
    <w:rsid w:val="00C267B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B6F53"/>
  <w15:chartTrackingRefBased/>
  <w15:docId w15:val="{01843A7C-639A-4720-9167-55EAEEC8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B96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Login.aspx?src=Registration&amp;Event=C-000149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5/0123/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13</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Braud, Olivia</cp:lastModifiedBy>
  <cp:revision>4</cp:revision>
  <cp:lastPrinted>2025-01-29T10:58:00Z</cp:lastPrinted>
  <dcterms:created xsi:type="dcterms:W3CDTF">2025-01-28T13:58:00Z</dcterms:created>
  <dcterms:modified xsi:type="dcterms:W3CDTF">2025-01-29T10:59:00Z</dcterms:modified>
</cp:coreProperties>
</file>