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0" w:type="dxa"/>
        <w:tblCellMar>
          <w:left w:w="0" w:type="dxa"/>
          <w:right w:w="0" w:type="dxa"/>
        </w:tblCellMar>
        <w:tblLook w:val="0000" w:firstRow="0" w:lastRow="0" w:firstColumn="0" w:lastColumn="0" w:noHBand="0" w:noVBand="0"/>
      </w:tblPr>
      <w:tblGrid>
        <w:gridCol w:w="1295"/>
        <w:gridCol w:w="3248"/>
        <w:gridCol w:w="5276"/>
      </w:tblGrid>
      <w:tr w:rsidR="00EF6A23" w:rsidRPr="009D1B1A" w14:paraId="3FDAE1F3" w14:textId="77777777" w:rsidTr="00093B71">
        <w:trPr>
          <w:cantSplit/>
        </w:trPr>
        <w:tc>
          <w:tcPr>
            <w:tcW w:w="1369" w:type="dxa"/>
            <w:vAlign w:val="center"/>
          </w:tcPr>
          <w:p w14:paraId="3DE42CAA" w14:textId="77777777" w:rsidR="00EF6A23" w:rsidRPr="009D1B1A" w:rsidRDefault="00EF6A23" w:rsidP="00D14F31">
            <w:pPr>
              <w:tabs>
                <w:tab w:val="right" w:pos="8732"/>
              </w:tabs>
              <w:spacing w:before="0"/>
              <w:rPr>
                <w:b/>
                <w:bCs/>
                <w:iCs/>
                <w:color w:val="FFFFFF"/>
                <w:sz w:val="30"/>
                <w:szCs w:val="30"/>
              </w:rPr>
            </w:pPr>
            <w:r w:rsidRPr="009D1B1A">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9D1B1A" w:rsidRDefault="00EF6A23" w:rsidP="00EF6A23">
            <w:pPr>
              <w:spacing w:before="0"/>
              <w:rPr>
                <w:rFonts w:cs="Times New Roman Bold"/>
                <w:b/>
                <w:bCs/>
                <w:iCs/>
                <w:smallCaps/>
                <w:sz w:val="34"/>
                <w:szCs w:val="34"/>
              </w:rPr>
            </w:pPr>
            <w:r w:rsidRPr="009D1B1A">
              <w:rPr>
                <w:rFonts w:cs="Times New Roman Bold"/>
                <w:b/>
                <w:bCs/>
                <w:iCs/>
                <w:smallCaps/>
                <w:sz w:val="34"/>
                <w:szCs w:val="34"/>
              </w:rPr>
              <w:t>Union internationale des télécommunications</w:t>
            </w:r>
          </w:p>
          <w:p w14:paraId="089E66D0" w14:textId="77777777" w:rsidR="00EF6A23" w:rsidRPr="009D1B1A" w:rsidRDefault="00EF6A23" w:rsidP="00EF6A23">
            <w:pPr>
              <w:spacing w:before="0"/>
              <w:rPr>
                <w:color w:val="FFFFFF"/>
                <w:sz w:val="26"/>
                <w:szCs w:val="26"/>
              </w:rPr>
            </w:pPr>
            <w:r w:rsidRPr="009D1B1A">
              <w:rPr>
                <w:rFonts w:cs="Times New Roman Bold"/>
                <w:b/>
                <w:bCs/>
                <w:iCs/>
                <w:smallCaps/>
                <w:sz w:val="28"/>
                <w:szCs w:val="28"/>
              </w:rPr>
              <w:t>B</w:t>
            </w:r>
            <w:r w:rsidRPr="009D1B1A">
              <w:rPr>
                <w:b/>
                <w:bCs/>
                <w:iCs/>
                <w:smallCaps/>
                <w:sz w:val="28"/>
                <w:szCs w:val="28"/>
              </w:rPr>
              <w:t>ureau de la Normalisation des Télécommunications</w:t>
            </w:r>
          </w:p>
        </w:tc>
      </w:tr>
      <w:tr w:rsidR="00036F4F" w:rsidRPr="009F2C34" w14:paraId="18B25741" w14:textId="77777777" w:rsidTr="00093B71">
        <w:trPr>
          <w:cantSplit/>
          <w:trHeight w:val="612"/>
        </w:trPr>
        <w:tc>
          <w:tcPr>
            <w:tcW w:w="1369" w:type="dxa"/>
          </w:tcPr>
          <w:p w14:paraId="4B1AFD72" w14:textId="77777777" w:rsidR="00036F4F" w:rsidRPr="009F2C34" w:rsidRDefault="00036F4F" w:rsidP="00A5280F">
            <w:pPr>
              <w:tabs>
                <w:tab w:val="left" w:pos="4111"/>
              </w:tabs>
              <w:spacing w:before="10"/>
              <w:ind w:left="57"/>
              <w:rPr>
                <w:sz w:val="22"/>
                <w:szCs w:val="22"/>
              </w:rPr>
            </w:pPr>
          </w:p>
        </w:tc>
        <w:tc>
          <w:tcPr>
            <w:tcW w:w="3288" w:type="dxa"/>
          </w:tcPr>
          <w:p w14:paraId="6579D3E8" w14:textId="77777777" w:rsidR="00036F4F" w:rsidRPr="009F2C34" w:rsidRDefault="00036F4F" w:rsidP="00A5280F">
            <w:pPr>
              <w:tabs>
                <w:tab w:val="left" w:pos="4111"/>
              </w:tabs>
              <w:spacing w:before="10"/>
              <w:ind w:left="57"/>
              <w:rPr>
                <w:b/>
                <w:sz w:val="22"/>
                <w:szCs w:val="22"/>
              </w:rPr>
            </w:pPr>
          </w:p>
        </w:tc>
        <w:tc>
          <w:tcPr>
            <w:tcW w:w="5162" w:type="dxa"/>
          </w:tcPr>
          <w:p w14:paraId="0DC34ECA" w14:textId="6BEE1B49" w:rsidR="00036F4F" w:rsidRPr="009F2C34" w:rsidRDefault="00036F4F" w:rsidP="008F01FA">
            <w:pPr>
              <w:tabs>
                <w:tab w:val="clear" w:pos="794"/>
                <w:tab w:val="clear" w:pos="1191"/>
                <w:tab w:val="clear" w:pos="1588"/>
                <w:tab w:val="clear" w:pos="1985"/>
                <w:tab w:val="left" w:pos="284"/>
              </w:tabs>
              <w:spacing w:after="120"/>
              <w:ind w:left="284" w:hanging="227"/>
              <w:rPr>
                <w:sz w:val="22"/>
                <w:szCs w:val="22"/>
              </w:rPr>
            </w:pPr>
            <w:r w:rsidRPr="009F2C34">
              <w:rPr>
                <w:sz w:val="22"/>
                <w:szCs w:val="22"/>
              </w:rPr>
              <w:t>Genève, le</w:t>
            </w:r>
            <w:r w:rsidR="004419E9" w:rsidRPr="009F2C34">
              <w:rPr>
                <w:sz w:val="22"/>
                <w:szCs w:val="22"/>
              </w:rPr>
              <w:t xml:space="preserve"> </w:t>
            </w:r>
            <w:r w:rsidR="008F01FA" w:rsidRPr="009F2C34">
              <w:rPr>
                <w:sz w:val="22"/>
                <w:szCs w:val="22"/>
              </w:rPr>
              <w:t>2</w:t>
            </w:r>
            <w:r w:rsidR="00A33464" w:rsidRPr="009F2C34">
              <w:rPr>
                <w:sz w:val="22"/>
                <w:szCs w:val="22"/>
              </w:rPr>
              <w:t>9</w:t>
            </w:r>
            <w:r w:rsidR="008F01FA" w:rsidRPr="009F2C34">
              <w:rPr>
                <w:sz w:val="22"/>
                <w:szCs w:val="22"/>
              </w:rPr>
              <w:t xml:space="preserve"> janvier</w:t>
            </w:r>
            <w:r w:rsidR="00CE7DF2" w:rsidRPr="009F2C34">
              <w:rPr>
                <w:sz w:val="22"/>
                <w:szCs w:val="22"/>
              </w:rPr>
              <w:t xml:space="preserve"> 2025</w:t>
            </w:r>
          </w:p>
        </w:tc>
      </w:tr>
      <w:tr w:rsidR="00445B68" w:rsidRPr="009F2C34" w14:paraId="16CDDFEF" w14:textId="77777777" w:rsidTr="00093B71">
        <w:trPr>
          <w:cantSplit/>
          <w:trHeight w:val="340"/>
        </w:trPr>
        <w:tc>
          <w:tcPr>
            <w:tcW w:w="1369" w:type="dxa"/>
          </w:tcPr>
          <w:p w14:paraId="3EFF375D" w14:textId="58556577" w:rsidR="00445B68" w:rsidRPr="009F2C34" w:rsidRDefault="00445B68" w:rsidP="00307FB4">
            <w:pPr>
              <w:tabs>
                <w:tab w:val="left" w:pos="4111"/>
              </w:tabs>
              <w:spacing w:before="10"/>
              <w:ind w:left="57"/>
              <w:rPr>
                <w:b/>
                <w:bCs/>
                <w:sz w:val="22"/>
                <w:szCs w:val="22"/>
              </w:rPr>
            </w:pPr>
            <w:proofErr w:type="gramStart"/>
            <w:r w:rsidRPr="009F2C34">
              <w:rPr>
                <w:b/>
                <w:bCs/>
                <w:sz w:val="22"/>
                <w:szCs w:val="22"/>
              </w:rPr>
              <w:t>Réf.:</w:t>
            </w:r>
            <w:proofErr w:type="gramEnd"/>
          </w:p>
        </w:tc>
        <w:tc>
          <w:tcPr>
            <w:tcW w:w="3288" w:type="dxa"/>
          </w:tcPr>
          <w:p w14:paraId="5FFBBC9B" w14:textId="34EAF1BD" w:rsidR="00445B68" w:rsidRPr="009F2C34" w:rsidRDefault="00445B68" w:rsidP="00A5280F">
            <w:pPr>
              <w:tabs>
                <w:tab w:val="left" w:pos="4111"/>
              </w:tabs>
              <w:spacing w:before="10"/>
              <w:ind w:left="57"/>
              <w:rPr>
                <w:b/>
                <w:sz w:val="22"/>
                <w:szCs w:val="22"/>
              </w:rPr>
            </w:pPr>
            <w:r w:rsidRPr="009F2C34">
              <w:rPr>
                <w:b/>
                <w:sz w:val="22"/>
                <w:szCs w:val="22"/>
              </w:rPr>
              <w:t xml:space="preserve">Circulaire TSB </w:t>
            </w:r>
            <w:r w:rsidR="00A37431" w:rsidRPr="009F2C34">
              <w:rPr>
                <w:b/>
                <w:sz w:val="22"/>
                <w:szCs w:val="22"/>
              </w:rPr>
              <w:t>12</w:t>
            </w:r>
          </w:p>
          <w:p w14:paraId="577F6DA2" w14:textId="7B9D0BA2" w:rsidR="00445B68" w:rsidRPr="009F2C34" w:rsidRDefault="00A37431" w:rsidP="00307FB4">
            <w:pPr>
              <w:tabs>
                <w:tab w:val="left" w:pos="4111"/>
              </w:tabs>
              <w:spacing w:before="10"/>
              <w:ind w:left="57"/>
              <w:rPr>
                <w:sz w:val="22"/>
                <w:szCs w:val="22"/>
              </w:rPr>
            </w:pPr>
            <w:r w:rsidRPr="009F2C34">
              <w:rPr>
                <w:sz w:val="22"/>
                <w:szCs w:val="22"/>
              </w:rPr>
              <w:t>Manifestations du TSB/VM</w:t>
            </w:r>
          </w:p>
        </w:tc>
        <w:tc>
          <w:tcPr>
            <w:tcW w:w="5162" w:type="dxa"/>
            <w:vMerge w:val="restart"/>
          </w:tcPr>
          <w:p w14:paraId="56FFB697" w14:textId="77777777" w:rsidR="00307FB4" w:rsidRPr="009F2C34" w:rsidRDefault="00307FB4" w:rsidP="00073E75">
            <w:pPr>
              <w:tabs>
                <w:tab w:val="clear" w:pos="794"/>
                <w:tab w:val="clear" w:pos="1191"/>
                <w:tab w:val="clear" w:pos="1588"/>
                <w:tab w:val="clear" w:pos="1985"/>
                <w:tab w:val="left" w:pos="284"/>
              </w:tabs>
              <w:spacing w:before="0"/>
              <w:ind w:left="284" w:hanging="227"/>
              <w:rPr>
                <w:b/>
                <w:bCs/>
                <w:sz w:val="22"/>
                <w:szCs w:val="22"/>
              </w:rPr>
            </w:pPr>
            <w:bookmarkStart w:id="0" w:name="Addressee_F"/>
            <w:bookmarkEnd w:id="0"/>
            <w:proofErr w:type="gramStart"/>
            <w:r w:rsidRPr="009F2C34">
              <w:rPr>
                <w:b/>
                <w:bCs/>
                <w:sz w:val="22"/>
                <w:szCs w:val="22"/>
              </w:rPr>
              <w:t>Aux:</w:t>
            </w:r>
            <w:proofErr w:type="gramEnd"/>
          </w:p>
          <w:p w14:paraId="35271D8E" w14:textId="536C0CE8" w:rsidR="00307FB4" w:rsidRPr="009F2C34" w:rsidRDefault="00307FB4"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 xml:space="preserve">Administrations des États Membres de </w:t>
            </w:r>
            <w:proofErr w:type="gramStart"/>
            <w:r w:rsidRPr="009F2C34">
              <w:rPr>
                <w:sz w:val="22"/>
                <w:szCs w:val="22"/>
              </w:rPr>
              <w:t>l'Union;</w:t>
            </w:r>
            <w:proofErr w:type="gramEnd"/>
          </w:p>
          <w:p w14:paraId="38A5A6AE" w14:textId="47344D7B" w:rsidR="00307FB4" w:rsidRPr="009F2C34" w:rsidRDefault="00307FB4"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Membres du Secteur de l'UIT-</w:t>
            </w:r>
            <w:proofErr w:type="gramStart"/>
            <w:r w:rsidRPr="009F2C34">
              <w:rPr>
                <w:sz w:val="22"/>
                <w:szCs w:val="22"/>
              </w:rPr>
              <w:t>T;</w:t>
            </w:r>
            <w:proofErr w:type="gramEnd"/>
          </w:p>
          <w:p w14:paraId="45F82FBC" w14:textId="7313CB0A" w:rsidR="00307FB4" w:rsidRPr="009F2C34" w:rsidRDefault="00307FB4"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Associés de l'UIT-</w:t>
            </w:r>
            <w:proofErr w:type="gramStart"/>
            <w:r w:rsidRPr="009F2C34">
              <w:rPr>
                <w:sz w:val="22"/>
                <w:szCs w:val="22"/>
              </w:rPr>
              <w:t>T;</w:t>
            </w:r>
            <w:proofErr w:type="gramEnd"/>
          </w:p>
          <w:p w14:paraId="461460AE" w14:textId="5666B808" w:rsidR="00445B68" w:rsidRPr="009F2C34" w:rsidRDefault="00307FB4"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Établissements universitaires participant aux travaux de l'UIT</w:t>
            </w:r>
          </w:p>
        </w:tc>
      </w:tr>
      <w:tr w:rsidR="00307FB4" w:rsidRPr="009F2C34" w14:paraId="06A3F0E7" w14:textId="77777777" w:rsidTr="00093B71">
        <w:trPr>
          <w:cantSplit/>
          <w:trHeight w:val="340"/>
        </w:trPr>
        <w:tc>
          <w:tcPr>
            <w:tcW w:w="1369" w:type="dxa"/>
          </w:tcPr>
          <w:p w14:paraId="5CF43A7B" w14:textId="47991DC8" w:rsidR="00307FB4" w:rsidRPr="009F2C34" w:rsidRDefault="00307FB4" w:rsidP="00A5280F">
            <w:pPr>
              <w:tabs>
                <w:tab w:val="left" w:pos="4111"/>
              </w:tabs>
              <w:spacing w:before="10"/>
              <w:ind w:left="57"/>
              <w:rPr>
                <w:b/>
                <w:bCs/>
                <w:sz w:val="22"/>
                <w:szCs w:val="22"/>
              </w:rPr>
            </w:pPr>
          </w:p>
        </w:tc>
        <w:tc>
          <w:tcPr>
            <w:tcW w:w="3288" w:type="dxa"/>
          </w:tcPr>
          <w:p w14:paraId="2074781F" w14:textId="0FA1A73A" w:rsidR="00307FB4" w:rsidRPr="009F2C34" w:rsidRDefault="00307FB4" w:rsidP="00A5280F">
            <w:pPr>
              <w:tabs>
                <w:tab w:val="left" w:pos="4111"/>
              </w:tabs>
              <w:spacing w:before="10"/>
              <w:ind w:left="57"/>
              <w:rPr>
                <w:bCs/>
                <w:sz w:val="22"/>
                <w:szCs w:val="22"/>
              </w:rPr>
            </w:pPr>
          </w:p>
        </w:tc>
        <w:tc>
          <w:tcPr>
            <w:tcW w:w="5162" w:type="dxa"/>
            <w:vMerge/>
          </w:tcPr>
          <w:p w14:paraId="2F310545" w14:textId="77777777" w:rsidR="00307FB4" w:rsidRPr="009F2C34" w:rsidRDefault="00307FB4" w:rsidP="00073E75">
            <w:pPr>
              <w:tabs>
                <w:tab w:val="clear" w:pos="794"/>
                <w:tab w:val="clear" w:pos="1191"/>
                <w:tab w:val="clear" w:pos="1588"/>
                <w:tab w:val="clear" w:pos="1985"/>
                <w:tab w:val="left" w:pos="284"/>
              </w:tabs>
              <w:spacing w:before="0"/>
              <w:ind w:left="284" w:hanging="227"/>
              <w:rPr>
                <w:sz w:val="22"/>
                <w:szCs w:val="22"/>
              </w:rPr>
            </w:pPr>
          </w:p>
        </w:tc>
      </w:tr>
      <w:tr w:rsidR="00445B68" w:rsidRPr="009F2C34" w14:paraId="724FD23E" w14:textId="77777777" w:rsidTr="00093B71">
        <w:trPr>
          <w:cantSplit/>
        </w:trPr>
        <w:tc>
          <w:tcPr>
            <w:tcW w:w="1369" w:type="dxa"/>
          </w:tcPr>
          <w:p w14:paraId="73149CCD" w14:textId="77777777" w:rsidR="00445B68" w:rsidRPr="009F2C34" w:rsidRDefault="00445B68" w:rsidP="00A5280F">
            <w:pPr>
              <w:tabs>
                <w:tab w:val="left" w:pos="4111"/>
              </w:tabs>
              <w:spacing w:before="10"/>
              <w:ind w:left="57"/>
              <w:rPr>
                <w:b/>
                <w:bCs/>
                <w:sz w:val="22"/>
                <w:szCs w:val="22"/>
              </w:rPr>
            </w:pPr>
            <w:proofErr w:type="gramStart"/>
            <w:r w:rsidRPr="009F2C34">
              <w:rPr>
                <w:b/>
                <w:bCs/>
                <w:sz w:val="22"/>
                <w:szCs w:val="22"/>
              </w:rPr>
              <w:t>Tél.:</w:t>
            </w:r>
            <w:proofErr w:type="gramEnd"/>
          </w:p>
        </w:tc>
        <w:tc>
          <w:tcPr>
            <w:tcW w:w="3288" w:type="dxa"/>
          </w:tcPr>
          <w:p w14:paraId="78D06186" w14:textId="6151DEDE" w:rsidR="00445B68" w:rsidRPr="009F2C34" w:rsidRDefault="00445B68" w:rsidP="00A5280F">
            <w:pPr>
              <w:tabs>
                <w:tab w:val="left" w:pos="4111"/>
              </w:tabs>
              <w:spacing w:before="0"/>
              <w:ind w:left="57"/>
              <w:rPr>
                <w:sz w:val="22"/>
                <w:szCs w:val="22"/>
              </w:rPr>
            </w:pPr>
            <w:r w:rsidRPr="009F2C34">
              <w:rPr>
                <w:sz w:val="22"/>
                <w:szCs w:val="22"/>
              </w:rPr>
              <w:t>+41 22 730</w:t>
            </w:r>
            <w:r w:rsidR="00307FB4" w:rsidRPr="009F2C34">
              <w:rPr>
                <w:sz w:val="22"/>
                <w:szCs w:val="22"/>
              </w:rPr>
              <w:t xml:space="preserve"> </w:t>
            </w:r>
            <w:r w:rsidR="008F01FA" w:rsidRPr="009F2C34">
              <w:rPr>
                <w:sz w:val="22"/>
                <w:szCs w:val="22"/>
              </w:rPr>
              <w:t>6356</w:t>
            </w:r>
          </w:p>
        </w:tc>
        <w:tc>
          <w:tcPr>
            <w:tcW w:w="5162" w:type="dxa"/>
            <w:vMerge/>
          </w:tcPr>
          <w:p w14:paraId="6D3A5806" w14:textId="77777777" w:rsidR="00445B68" w:rsidRPr="009F2C34" w:rsidRDefault="00445B68" w:rsidP="00073E75">
            <w:pPr>
              <w:tabs>
                <w:tab w:val="left" w:pos="226"/>
                <w:tab w:val="left" w:pos="4111"/>
              </w:tabs>
              <w:spacing w:before="0"/>
              <w:ind w:left="226" w:hanging="226"/>
              <w:rPr>
                <w:b/>
                <w:sz w:val="22"/>
                <w:szCs w:val="22"/>
              </w:rPr>
            </w:pPr>
          </w:p>
        </w:tc>
      </w:tr>
      <w:tr w:rsidR="00307FB4" w:rsidRPr="009F2C34" w14:paraId="030F9AE5" w14:textId="77777777" w:rsidTr="00093B71">
        <w:trPr>
          <w:cantSplit/>
          <w:trHeight w:val="586"/>
        </w:trPr>
        <w:tc>
          <w:tcPr>
            <w:tcW w:w="1369" w:type="dxa"/>
          </w:tcPr>
          <w:p w14:paraId="7B417C4C" w14:textId="77777777" w:rsidR="00307FB4" w:rsidRPr="009F2C34" w:rsidRDefault="00307FB4" w:rsidP="00A5280F">
            <w:pPr>
              <w:tabs>
                <w:tab w:val="left" w:pos="4111"/>
              </w:tabs>
              <w:spacing w:before="10"/>
              <w:ind w:left="57"/>
              <w:rPr>
                <w:b/>
                <w:bCs/>
                <w:sz w:val="22"/>
                <w:szCs w:val="22"/>
              </w:rPr>
            </w:pPr>
            <w:proofErr w:type="gramStart"/>
            <w:r w:rsidRPr="009F2C34">
              <w:rPr>
                <w:b/>
                <w:bCs/>
                <w:sz w:val="22"/>
                <w:szCs w:val="22"/>
              </w:rPr>
              <w:t>Télécopie:</w:t>
            </w:r>
            <w:proofErr w:type="gramEnd"/>
          </w:p>
        </w:tc>
        <w:tc>
          <w:tcPr>
            <w:tcW w:w="3288" w:type="dxa"/>
          </w:tcPr>
          <w:p w14:paraId="1A4A5F7B" w14:textId="77777777" w:rsidR="00307FB4" w:rsidRPr="009F2C34" w:rsidRDefault="00307FB4" w:rsidP="00A5280F">
            <w:pPr>
              <w:tabs>
                <w:tab w:val="left" w:pos="4111"/>
              </w:tabs>
              <w:spacing w:before="0"/>
              <w:ind w:left="57"/>
              <w:rPr>
                <w:sz w:val="22"/>
                <w:szCs w:val="22"/>
              </w:rPr>
            </w:pPr>
            <w:r w:rsidRPr="009F2C34">
              <w:rPr>
                <w:sz w:val="22"/>
                <w:szCs w:val="22"/>
              </w:rPr>
              <w:t>+41 22 730 5853</w:t>
            </w:r>
          </w:p>
        </w:tc>
        <w:tc>
          <w:tcPr>
            <w:tcW w:w="5162" w:type="dxa"/>
            <w:vMerge/>
          </w:tcPr>
          <w:p w14:paraId="323DAC81" w14:textId="77777777" w:rsidR="00307FB4" w:rsidRPr="009F2C34" w:rsidRDefault="00307FB4" w:rsidP="00073E75">
            <w:pPr>
              <w:tabs>
                <w:tab w:val="left" w:pos="226"/>
                <w:tab w:val="left" w:pos="4111"/>
              </w:tabs>
              <w:spacing w:before="0"/>
              <w:ind w:left="226" w:hanging="226"/>
              <w:rPr>
                <w:b/>
                <w:sz w:val="22"/>
                <w:szCs w:val="22"/>
              </w:rPr>
            </w:pPr>
          </w:p>
        </w:tc>
      </w:tr>
      <w:tr w:rsidR="00307FB4" w:rsidRPr="009F2C34" w14:paraId="640FB6B9" w14:textId="77777777" w:rsidTr="00093B71">
        <w:trPr>
          <w:cantSplit/>
          <w:trHeight w:val="3006"/>
        </w:trPr>
        <w:tc>
          <w:tcPr>
            <w:tcW w:w="1369" w:type="dxa"/>
          </w:tcPr>
          <w:p w14:paraId="15527369" w14:textId="0865F49A" w:rsidR="00307FB4" w:rsidRPr="009F2C34" w:rsidRDefault="00307FB4" w:rsidP="00A5280F">
            <w:pPr>
              <w:tabs>
                <w:tab w:val="left" w:pos="4111"/>
              </w:tabs>
              <w:spacing w:before="10"/>
              <w:ind w:left="57"/>
              <w:rPr>
                <w:b/>
                <w:bCs/>
                <w:sz w:val="22"/>
                <w:szCs w:val="22"/>
              </w:rPr>
            </w:pPr>
            <w:proofErr w:type="gramStart"/>
            <w:r w:rsidRPr="009F2C34">
              <w:rPr>
                <w:b/>
                <w:bCs/>
                <w:sz w:val="22"/>
                <w:szCs w:val="22"/>
              </w:rPr>
              <w:t>Courriel:</w:t>
            </w:r>
            <w:proofErr w:type="gramEnd"/>
          </w:p>
        </w:tc>
        <w:tc>
          <w:tcPr>
            <w:tcW w:w="3288" w:type="dxa"/>
          </w:tcPr>
          <w:p w14:paraId="172249CE" w14:textId="5FF2AC1F" w:rsidR="00307FB4" w:rsidRPr="009F2C34" w:rsidRDefault="008F01FA" w:rsidP="00A5280F">
            <w:pPr>
              <w:tabs>
                <w:tab w:val="left" w:pos="4111"/>
              </w:tabs>
              <w:spacing w:before="0"/>
              <w:ind w:left="57"/>
              <w:rPr>
                <w:sz w:val="22"/>
                <w:szCs w:val="22"/>
              </w:rPr>
            </w:pPr>
            <w:hyperlink r:id="rId9" w:history="1">
              <w:r w:rsidRPr="009F2C34">
                <w:rPr>
                  <w:rStyle w:val="Hyperlink"/>
                  <w:sz w:val="22"/>
                  <w:szCs w:val="22"/>
                </w:rPr>
                <w:t>tsbfgcd@itu.int</w:t>
              </w:r>
            </w:hyperlink>
          </w:p>
        </w:tc>
        <w:tc>
          <w:tcPr>
            <w:tcW w:w="5162" w:type="dxa"/>
          </w:tcPr>
          <w:p w14:paraId="55E5D357" w14:textId="77777777" w:rsidR="00307FB4" w:rsidRPr="009F2C34" w:rsidRDefault="00307FB4" w:rsidP="00073E75">
            <w:pPr>
              <w:tabs>
                <w:tab w:val="clear" w:pos="794"/>
                <w:tab w:val="clear" w:pos="1191"/>
                <w:tab w:val="clear" w:pos="1588"/>
                <w:tab w:val="clear" w:pos="1985"/>
                <w:tab w:val="left" w:pos="284"/>
              </w:tabs>
              <w:spacing w:before="0"/>
              <w:ind w:left="284" w:hanging="227"/>
              <w:rPr>
                <w:b/>
                <w:bCs/>
                <w:sz w:val="22"/>
                <w:szCs w:val="22"/>
              </w:rPr>
            </w:pPr>
            <w:proofErr w:type="gramStart"/>
            <w:r w:rsidRPr="009F2C34">
              <w:rPr>
                <w:b/>
                <w:bCs/>
                <w:sz w:val="22"/>
                <w:szCs w:val="22"/>
              </w:rPr>
              <w:t>Copie:</w:t>
            </w:r>
            <w:proofErr w:type="gramEnd"/>
          </w:p>
          <w:p w14:paraId="6CE98CB1" w14:textId="30E34639" w:rsidR="00307FB4" w:rsidRPr="009F2C34" w:rsidRDefault="00307FB4"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 xml:space="preserve">Aux Présidents et Vice-Présidents des Commissions </w:t>
            </w:r>
            <w:proofErr w:type="gramStart"/>
            <w:r w:rsidRPr="009F2C34">
              <w:rPr>
                <w:sz w:val="22"/>
                <w:szCs w:val="22"/>
              </w:rPr>
              <w:t>d'études;</w:t>
            </w:r>
            <w:proofErr w:type="gramEnd"/>
          </w:p>
          <w:p w14:paraId="56C75C35" w14:textId="1A09D40C" w:rsidR="00307FB4" w:rsidRPr="009F2C34" w:rsidRDefault="00307FB4"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 xml:space="preserve">Au Directeur du Bureau de développement des </w:t>
            </w:r>
            <w:proofErr w:type="gramStart"/>
            <w:r w:rsidRPr="009F2C34">
              <w:rPr>
                <w:sz w:val="22"/>
                <w:szCs w:val="22"/>
              </w:rPr>
              <w:t>télécommunications;</w:t>
            </w:r>
            <w:proofErr w:type="gramEnd"/>
          </w:p>
          <w:p w14:paraId="3B32B506" w14:textId="23576FDD" w:rsidR="00307FB4" w:rsidRPr="009F2C34" w:rsidRDefault="00307FB4"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 xml:space="preserve">Au Directeur du Bureau des </w:t>
            </w:r>
            <w:proofErr w:type="gramStart"/>
            <w:r w:rsidRPr="009F2C34">
              <w:rPr>
                <w:sz w:val="22"/>
                <w:szCs w:val="22"/>
              </w:rPr>
              <w:t>radiocommunications</w:t>
            </w:r>
            <w:r w:rsidR="00A37431" w:rsidRPr="009F2C34">
              <w:rPr>
                <w:sz w:val="22"/>
                <w:szCs w:val="22"/>
              </w:rPr>
              <w:t>;</w:t>
            </w:r>
            <w:proofErr w:type="gramEnd"/>
          </w:p>
          <w:p w14:paraId="5CECFF47" w14:textId="7D2FE9C1" w:rsidR="00A37431" w:rsidRPr="009F2C34" w:rsidRDefault="00A37431"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Au Bureau régional de l'UIT pour l'Afrique, Addis-Abeba (Éthiopie</w:t>
            </w:r>
            <w:proofErr w:type="gramStart"/>
            <w:r w:rsidRPr="009F2C34">
              <w:rPr>
                <w:sz w:val="22"/>
                <w:szCs w:val="22"/>
              </w:rPr>
              <w:t>);</w:t>
            </w:r>
            <w:proofErr w:type="gramEnd"/>
          </w:p>
          <w:p w14:paraId="19762254" w14:textId="6CC705B6" w:rsidR="00A37431" w:rsidRPr="009F2C34" w:rsidRDefault="00A37431" w:rsidP="00093B71">
            <w:pPr>
              <w:tabs>
                <w:tab w:val="clear" w:pos="794"/>
                <w:tab w:val="clear" w:pos="1191"/>
                <w:tab w:val="clear" w:pos="1588"/>
                <w:tab w:val="clear" w:pos="1985"/>
              </w:tabs>
              <w:spacing w:before="0" w:after="40"/>
              <w:ind w:left="476" w:hanging="418"/>
              <w:rPr>
                <w:sz w:val="22"/>
                <w:szCs w:val="22"/>
              </w:rPr>
            </w:pPr>
            <w:r w:rsidRPr="009F2C34">
              <w:rPr>
                <w:sz w:val="22"/>
                <w:szCs w:val="22"/>
              </w:rPr>
              <w:t>–</w:t>
            </w:r>
            <w:r w:rsidRPr="009F2C34">
              <w:rPr>
                <w:sz w:val="22"/>
                <w:szCs w:val="22"/>
              </w:rPr>
              <w:tab/>
              <w:t>Au Bureau de zone de l'UIT pour l'Afrique centrale et Madagascar, Yaoundé (Cameroun)</w:t>
            </w:r>
          </w:p>
        </w:tc>
      </w:tr>
      <w:tr w:rsidR="00517A03" w:rsidRPr="009F2C34" w14:paraId="5435C04A" w14:textId="77777777" w:rsidTr="00093B71">
        <w:trPr>
          <w:cantSplit/>
          <w:trHeight w:val="397"/>
        </w:trPr>
        <w:tc>
          <w:tcPr>
            <w:tcW w:w="1369" w:type="dxa"/>
          </w:tcPr>
          <w:p w14:paraId="2A0B9B4F" w14:textId="77777777" w:rsidR="00517A03" w:rsidRPr="009F2C34" w:rsidRDefault="00517A03" w:rsidP="00307FB4">
            <w:pPr>
              <w:tabs>
                <w:tab w:val="left" w:pos="4111"/>
              </w:tabs>
              <w:ind w:left="57"/>
              <w:rPr>
                <w:b/>
                <w:bCs/>
                <w:sz w:val="22"/>
                <w:szCs w:val="22"/>
              </w:rPr>
            </w:pPr>
            <w:proofErr w:type="gramStart"/>
            <w:r w:rsidRPr="009F2C34">
              <w:rPr>
                <w:b/>
                <w:bCs/>
                <w:sz w:val="22"/>
                <w:szCs w:val="22"/>
              </w:rPr>
              <w:t>Objet:</w:t>
            </w:r>
            <w:proofErr w:type="gramEnd"/>
          </w:p>
        </w:tc>
        <w:tc>
          <w:tcPr>
            <w:tcW w:w="0" w:type="auto"/>
            <w:gridSpan w:val="2"/>
          </w:tcPr>
          <w:p w14:paraId="1A51EE75" w14:textId="1FECCAF9" w:rsidR="00517A03" w:rsidRPr="009F2C34" w:rsidRDefault="00A37431" w:rsidP="0048088B">
            <w:pPr>
              <w:tabs>
                <w:tab w:val="left" w:pos="4111"/>
              </w:tabs>
              <w:spacing w:after="120"/>
              <w:ind w:left="57"/>
              <w:rPr>
                <w:b/>
                <w:bCs/>
                <w:sz w:val="22"/>
                <w:szCs w:val="22"/>
              </w:rPr>
            </w:pPr>
            <w:r w:rsidRPr="009F2C34">
              <w:rPr>
                <w:b/>
                <w:bCs/>
                <w:sz w:val="22"/>
                <w:szCs w:val="22"/>
              </w:rPr>
              <w:t>Cinquième réunion du Groupe spécialisé de l'UIT-T sur les modèles d'établissement des coûts pour des services de données financièrement abordables (FG-CD) et Atelier de l'UIT sur les questions de politique générale et d'économie relatives aux télécommunications internationales/TIC (Libreville</w:t>
            </w:r>
            <w:r w:rsidR="00A33464" w:rsidRPr="009F2C34">
              <w:rPr>
                <w:b/>
                <w:bCs/>
                <w:sz w:val="22"/>
                <w:szCs w:val="22"/>
              </w:rPr>
              <w:t xml:space="preserve">, </w:t>
            </w:r>
            <w:r w:rsidRPr="009F2C34">
              <w:rPr>
                <w:b/>
                <w:bCs/>
                <w:sz w:val="22"/>
                <w:szCs w:val="22"/>
              </w:rPr>
              <w:t>Gabon, 17-18 février 2025)</w:t>
            </w:r>
          </w:p>
        </w:tc>
      </w:tr>
    </w:tbl>
    <w:p w14:paraId="2D1EC328" w14:textId="77777777" w:rsidR="00517A03" w:rsidRPr="009F2C34" w:rsidRDefault="00517A03" w:rsidP="00093B71">
      <w:pPr>
        <w:pStyle w:val="Normalaftertitle"/>
        <w:spacing w:before="120"/>
        <w:rPr>
          <w:sz w:val="22"/>
          <w:szCs w:val="22"/>
        </w:rPr>
      </w:pPr>
      <w:bookmarkStart w:id="1" w:name="StartTyping_F"/>
      <w:bookmarkEnd w:id="1"/>
      <w:r w:rsidRPr="009F2C34">
        <w:rPr>
          <w:sz w:val="22"/>
          <w:szCs w:val="22"/>
        </w:rPr>
        <w:t>Madame, Monsieur,</w:t>
      </w:r>
    </w:p>
    <w:p w14:paraId="74A0A238" w14:textId="1085D718" w:rsidR="00A37431" w:rsidRPr="009F2C34" w:rsidRDefault="00A37431" w:rsidP="00A37431">
      <w:pPr>
        <w:rPr>
          <w:sz w:val="22"/>
          <w:szCs w:val="22"/>
        </w:rPr>
      </w:pPr>
      <w:r w:rsidRPr="009F2C34">
        <w:rPr>
          <w:sz w:val="22"/>
          <w:szCs w:val="22"/>
        </w:rPr>
        <w:t>1</w:t>
      </w:r>
      <w:r w:rsidRPr="009F2C34">
        <w:rPr>
          <w:sz w:val="22"/>
          <w:szCs w:val="22"/>
        </w:rPr>
        <w:tab/>
        <w:t xml:space="preserve">La cinquième réunion du </w:t>
      </w:r>
      <w:hyperlink r:id="rId10" w:history="1">
        <w:r w:rsidRPr="009F2C34">
          <w:rPr>
            <w:rStyle w:val="Hyperlink"/>
            <w:sz w:val="22"/>
            <w:szCs w:val="22"/>
          </w:rPr>
          <w:t xml:space="preserve">Groupe spécialisé de l'UIT-T sur les </w:t>
        </w:r>
        <w:r w:rsidRPr="009F2C34">
          <w:rPr>
            <w:rStyle w:val="Hyperlink"/>
            <w:sz w:val="22"/>
            <w:szCs w:val="22"/>
          </w:rPr>
          <w:t>m</w:t>
        </w:r>
        <w:r w:rsidRPr="009F2C34">
          <w:rPr>
            <w:rStyle w:val="Hyperlink"/>
            <w:sz w:val="22"/>
            <w:szCs w:val="22"/>
          </w:rPr>
          <w:t>odèles de coûts pour des services de données financièrement abordables (FG-CD)</w:t>
        </w:r>
      </w:hyperlink>
      <w:r w:rsidRPr="009F2C34">
        <w:rPr>
          <w:sz w:val="22"/>
          <w:szCs w:val="22"/>
        </w:rPr>
        <w:t>, ainsi que l'Atelier de l'UIT sur les questions de politique générale et d'économie relatives aux télécommunications internationales/TIC se tiendront les 17 et 18 février 2025 à Libreville (Gabon), à l'aimable invitation de l'Autorité de régulation des communications électroniques et des postes (ARCEP).</w:t>
      </w:r>
    </w:p>
    <w:p w14:paraId="517C43B7" w14:textId="097B65DA" w:rsidR="00A37431" w:rsidRPr="009F2C34" w:rsidRDefault="00A37431" w:rsidP="00A37431">
      <w:pPr>
        <w:rPr>
          <w:sz w:val="22"/>
          <w:szCs w:val="22"/>
        </w:rPr>
      </w:pPr>
      <w:r w:rsidRPr="009F2C34">
        <w:rPr>
          <w:sz w:val="22"/>
          <w:szCs w:val="22"/>
        </w:rPr>
        <w:t>Ces manifestations se dérouleront juste avant la réunion du Groupe régional de la Commission</w:t>
      </w:r>
      <w:r w:rsidR="00A302F4" w:rsidRPr="009F2C34">
        <w:rPr>
          <w:sz w:val="22"/>
          <w:szCs w:val="22"/>
        </w:rPr>
        <w:t xml:space="preserve"> </w:t>
      </w:r>
      <w:r w:rsidRPr="009F2C34">
        <w:rPr>
          <w:sz w:val="22"/>
          <w:szCs w:val="22"/>
        </w:rPr>
        <w:t>d'études 3 de l'UIT-T pour l'Afrique (SG3RG-AFR), qui se tiendra du 19</w:t>
      </w:r>
      <w:r w:rsidR="00A302F4" w:rsidRPr="009F2C34">
        <w:rPr>
          <w:sz w:val="22"/>
          <w:szCs w:val="22"/>
        </w:rPr>
        <w:t xml:space="preserve"> au </w:t>
      </w:r>
      <w:r w:rsidRPr="009F2C34">
        <w:rPr>
          <w:sz w:val="22"/>
          <w:szCs w:val="22"/>
        </w:rPr>
        <w:t xml:space="preserve">21 février 2025 au même endroit (voir la </w:t>
      </w:r>
      <w:hyperlink r:id="rId11" w:history="1">
        <w:r w:rsidRPr="009F2C34">
          <w:rPr>
            <w:rStyle w:val="Hyperlink"/>
            <w:sz w:val="22"/>
            <w:szCs w:val="22"/>
          </w:rPr>
          <w:t>Lettre collective TSB 1/SG3RG-</w:t>
        </w:r>
        <w:r w:rsidRPr="009F2C34">
          <w:rPr>
            <w:rStyle w:val="Hyperlink"/>
            <w:sz w:val="22"/>
            <w:szCs w:val="22"/>
          </w:rPr>
          <w:t>A</w:t>
        </w:r>
        <w:r w:rsidRPr="009F2C34">
          <w:rPr>
            <w:rStyle w:val="Hyperlink"/>
            <w:sz w:val="22"/>
            <w:szCs w:val="22"/>
          </w:rPr>
          <w:t>FR</w:t>
        </w:r>
      </w:hyperlink>
      <w:r w:rsidRPr="009F2C34">
        <w:rPr>
          <w:sz w:val="22"/>
          <w:szCs w:val="22"/>
        </w:rPr>
        <w:t>).</w:t>
      </w:r>
    </w:p>
    <w:p w14:paraId="273EA99C" w14:textId="5548C04B" w:rsidR="00A37431" w:rsidRPr="009F2C34" w:rsidRDefault="00A37431" w:rsidP="00A37431">
      <w:pPr>
        <w:rPr>
          <w:sz w:val="22"/>
          <w:szCs w:val="22"/>
        </w:rPr>
      </w:pPr>
      <w:r w:rsidRPr="009F2C34">
        <w:rPr>
          <w:sz w:val="22"/>
          <w:szCs w:val="22"/>
        </w:rPr>
        <w:t>2</w:t>
      </w:r>
      <w:r w:rsidRPr="009F2C34">
        <w:rPr>
          <w:sz w:val="22"/>
          <w:szCs w:val="22"/>
        </w:rPr>
        <w:tab/>
        <w:t xml:space="preserve">Le mandat du Groupe FG-CD consiste à analyser la chaîne d'approvisionnement des télécommunications/TIC, ainsi que les différents modèles de coûts et les différentes stratégies de tarification utilisés pour les services de données mobiles et les services Internet, et à étudier les aspects liés aux politiques, à l'économie, à la réglementation et à la normalisation relatifs aux modèles d'établissement des coûts pour des services de données abordables, y compris les bonnes pratiques sur les méthodes d'établissement des coûts et les modèles économiques. Le Groupe spécialisé exerce ses activités conformément aux procédures exposées dans la </w:t>
      </w:r>
      <w:hyperlink r:id="rId12" w:history="1">
        <w:r w:rsidRPr="009F2C34">
          <w:rPr>
            <w:rStyle w:val="Hyperlink"/>
            <w:sz w:val="22"/>
            <w:szCs w:val="22"/>
          </w:rPr>
          <w:t>Recommandation </w:t>
        </w:r>
        <w:r w:rsidRPr="009F2C34">
          <w:rPr>
            <w:rStyle w:val="Hyperlink"/>
            <w:sz w:val="22"/>
            <w:szCs w:val="22"/>
          </w:rPr>
          <w:t>U</w:t>
        </w:r>
        <w:r w:rsidRPr="009F2C34">
          <w:rPr>
            <w:rStyle w:val="Hyperlink"/>
            <w:sz w:val="22"/>
            <w:szCs w:val="22"/>
          </w:rPr>
          <w:t>IT-T A.7</w:t>
        </w:r>
      </w:hyperlink>
      <w:r w:rsidRPr="009F2C34">
        <w:rPr>
          <w:sz w:val="22"/>
          <w:szCs w:val="22"/>
        </w:rPr>
        <w:t xml:space="preserve"> et dans le cadre du </w:t>
      </w:r>
      <w:hyperlink r:id="rId13" w:history="1">
        <w:r w:rsidRPr="009F2C34">
          <w:rPr>
            <w:rStyle w:val="Hyperlink"/>
            <w:sz w:val="22"/>
            <w:szCs w:val="22"/>
          </w:rPr>
          <w:t>ma</w:t>
        </w:r>
        <w:r w:rsidRPr="009F2C34">
          <w:rPr>
            <w:rStyle w:val="Hyperlink"/>
            <w:sz w:val="22"/>
            <w:szCs w:val="22"/>
          </w:rPr>
          <w:t>n</w:t>
        </w:r>
        <w:r w:rsidRPr="009F2C34">
          <w:rPr>
            <w:rStyle w:val="Hyperlink"/>
            <w:sz w:val="22"/>
            <w:szCs w:val="22"/>
          </w:rPr>
          <w:t>dat approuvé</w:t>
        </w:r>
      </w:hyperlink>
      <w:r w:rsidRPr="009F2C34">
        <w:rPr>
          <w:sz w:val="22"/>
          <w:szCs w:val="22"/>
        </w:rPr>
        <w:t>.</w:t>
      </w:r>
    </w:p>
    <w:p w14:paraId="29FD8F41" w14:textId="38F281B0" w:rsidR="00A37431" w:rsidRPr="009F2C34" w:rsidRDefault="00A37431" w:rsidP="00A37431">
      <w:pPr>
        <w:rPr>
          <w:sz w:val="22"/>
          <w:szCs w:val="22"/>
        </w:rPr>
      </w:pPr>
      <w:r w:rsidRPr="009F2C34">
        <w:rPr>
          <w:sz w:val="22"/>
          <w:szCs w:val="22"/>
        </w:rPr>
        <w:t>3</w:t>
      </w:r>
      <w:r w:rsidRPr="009F2C34">
        <w:rPr>
          <w:sz w:val="22"/>
          <w:szCs w:val="22"/>
        </w:rPr>
        <w:tab/>
        <w:t xml:space="preserve">La participation aux travaux du Groupe FG-CD est gratuite et ouverte aux experts à titre individuel et aux organisations œuvrant dans tous les secteurs et les domaines concernés. Les personnes qui souhaitent suivre ces travaux ou y participer sont invitées à s'inscrire sur une liste de diffusion dédiée. Des précisions sur les modalités d'inscription sont disponibles sur la </w:t>
      </w:r>
      <w:hyperlink r:id="rId14" w:history="1">
        <w:r w:rsidRPr="009F2C34">
          <w:rPr>
            <w:rStyle w:val="Hyperlink"/>
            <w:sz w:val="22"/>
            <w:szCs w:val="22"/>
          </w:rPr>
          <w:t>page d'accueil du Groupe FG-CD</w:t>
        </w:r>
      </w:hyperlink>
      <w:r w:rsidRPr="009F2C34">
        <w:rPr>
          <w:sz w:val="22"/>
          <w:szCs w:val="22"/>
        </w:rPr>
        <w:t>.</w:t>
      </w:r>
    </w:p>
    <w:p w14:paraId="7F6D7252" w14:textId="77777777" w:rsidR="00A37431" w:rsidRPr="009F2C34" w:rsidRDefault="00A37431" w:rsidP="00A37431">
      <w:pPr>
        <w:rPr>
          <w:sz w:val="22"/>
          <w:szCs w:val="22"/>
        </w:rPr>
      </w:pPr>
      <w:r w:rsidRPr="009F2C34">
        <w:rPr>
          <w:sz w:val="22"/>
          <w:szCs w:val="22"/>
        </w:rPr>
        <w:lastRenderedPageBreak/>
        <w:t>4</w:t>
      </w:r>
      <w:r w:rsidRPr="009F2C34">
        <w:rPr>
          <w:sz w:val="22"/>
          <w:szCs w:val="22"/>
        </w:rPr>
        <w:tab/>
        <w:t xml:space="preserve">Les objectifs de la troisième réunion du Groupe FG-CD seront les </w:t>
      </w:r>
      <w:proofErr w:type="gramStart"/>
      <w:r w:rsidRPr="009F2C34">
        <w:rPr>
          <w:sz w:val="22"/>
          <w:szCs w:val="22"/>
        </w:rPr>
        <w:t>suivants:</w:t>
      </w:r>
      <w:proofErr w:type="gramEnd"/>
    </w:p>
    <w:p w14:paraId="24C7BF75" w14:textId="49AA0BBF" w:rsidR="00A37431" w:rsidRPr="009F2C34" w:rsidRDefault="00A37431" w:rsidP="00A37431">
      <w:pPr>
        <w:pStyle w:val="enumlev1"/>
        <w:rPr>
          <w:sz w:val="22"/>
          <w:szCs w:val="22"/>
        </w:rPr>
      </w:pPr>
      <w:r w:rsidRPr="009F2C34">
        <w:rPr>
          <w:sz w:val="22"/>
          <w:szCs w:val="22"/>
        </w:rPr>
        <w:t>•</w:t>
      </w:r>
      <w:r w:rsidRPr="009F2C34">
        <w:rPr>
          <w:sz w:val="22"/>
          <w:szCs w:val="22"/>
        </w:rPr>
        <w:tab/>
        <w:t xml:space="preserve">présentation et examen des contributions écrites reçues pour la </w:t>
      </w:r>
      <w:proofErr w:type="gramStart"/>
      <w:r w:rsidRPr="009F2C34">
        <w:rPr>
          <w:sz w:val="22"/>
          <w:szCs w:val="22"/>
        </w:rPr>
        <w:t>réunion;</w:t>
      </w:r>
      <w:proofErr w:type="gramEnd"/>
      <w:r w:rsidRPr="009F2C34">
        <w:rPr>
          <w:sz w:val="22"/>
          <w:szCs w:val="22"/>
        </w:rPr>
        <w:t xml:space="preserve"> et</w:t>
      </w:r>
    </w:p>
    <w:p w14:paraId="1E08B529" w14:textId="38F18165" w:rsidR="00A37431" w:rsidRPr="009F2C34" w:rsidRDefault="00A37431" w:rsidP="00A37431">
      <w:pPr>
        <w:pStyle w:val="enumlev1"/>
        <w:rPr>
          <w:sz w:val="22"/>
          <w:szCs w:val="22"/>
        </w:rPr>
      </w:pPr>
      <w:r w:rsidRPr="009F2C34">
        <w:rPr>
          <w:sz w:val="22"/>
          <w:szCs w:val="22"/>
        </w:rPr>
        <w:t>•</w:t>
      </w:r>
      <w:r w:rsidRPr="009F2C34">
        <w:rPr>
          <w:sz w:val="22"/>
          <w:szCs w:val="22"/>
        </w:rPr>
        <w:tab/>
        <w:t>examen de l'état d'avancement des produits des deux groupes de travail créés à la première réunion des Groupes spécialisés.</w:t>
      </w:r>
    </w:p>
    <w:p w14:paraId="4F1AAE93" w14:textId="23FDD6FC" w:rsidR="00A37431" w:rsidRPr="009F2C34" w:rsidRDefault="00A37431" w:rsidP="00A37431">
      <w:pPr>
        <w:rPr>
          <w:sz w:val="22"/>
          <w:szCs w:val="22"/>
        </w:rPr>
      </w:pPr>
      <w:r w:rsidRPr="009F2C34">
        <w:rPr>
          <w:sz w:val="22"/>
          <w:szCs w:val="22"/>
        </w:rPr>
        <w:t>5</w:t>
      </w:r>
      <w:r w:rsidRPr="009F2C34">
        <w:rPr>
          <w:sz w:val="22"/>
          <w:szCs w:val="22"/>
        </w:rPr>
        <w:tab/>
        <w:t>Les contributions écrites propres à permettre au Groupe spécialisé de mener à bien ses travaux et conformes au mandat sont vivement encouragées en vue d'atteindre les objectifs présentés ci-dessus et d'établir un premier calendrier d'élaboration des produits.</w:t>
      </w:r>
    </w:p>
    <w:p w14:paraId="4DA81E95" w14:textId="0813175A" w:rsidR="00A37431" w:rsidRPr="009F2C34" w:rsidRDefault="00A37431" w:rsidP="00A37431">
      <w:pPr>
        <w:rPr>
          <w:sz w:val="22"/>
          <w:szCs w:val="22"/>
        </w:rPr>
      </w:pPr>
      <w:r w:rsidRPr="009F2C34">
        <w:rPr>
          <w:sz w:val="22"/>
          <w:szCs w:val="22"/>
        </w:rPr>
        <w:t>Ces contributions doivent être soumises au secrétariat du TSB (</w:t>
      </w:r>
      <w:hyperlink r:id="rId15" w:history="1">
        <w:r w:rsidRPr="009F2C34">
          <w:rPr>
            <w:rStyle w:val="Hyperlink"/>
            <w:sz w:val="22"/>
            <w:szCs w:val="22"/>
          </w:rPr>
          <w:t>tsbfgcd@itu.int</w:t>
        </w:r>
      </w:hyperlink>
      <w:r w:rsidRPr="009F2C34">
        <w:rPr>
          <w:sz w:val="22"/>
          <w:szCs w:val="22"/>
        </w:rPr>
        <w:t xml:space="preserve">) sous forme électronique à l'aide des gabarits disponibles sur la </w:t>
      </w:r>
      <w:hyperlink r:id="rId16" w:history="1">
        <w:r w:rsidRPr="009F2C34">
          <w:rPr>
            <w:rStyle w:val="Hyperlink"/>
            <w:sz w:val="22"/>
            <w:szCs w:val="22"/>
          </w:rPr>
          <w:t>page d'accueil du Groupe</w:t>
        </w:r>
        <w:r w:rsidRPr="009F2C34">
          <w:rPr>
            <w:rStyle w:val="Hyperlink"/>
            <w:sz w:val="22"/>
            <w:szCs w:val="22"/>
          </w:rPr>
          <w:t xml:space="preserve"> </w:t>
        </w:r>
        <w:r w:rsidRPr="009F2C34">
          <w:rPr>
            <w:rStyle w:val="Hyperlink"/>
            <w:sz w:val="22"/>
            <w:szCs w:val="22"/>
          </w:rPr>
          <w:t>FG-CD</w:t>
        </w:r>
      </w:hyperlink>
      <w:r w:rsidRPr="009F2C34">
        <w:rPr>
          <w:sz w:val="22"/>
          <w:szCs w:val="22"/>
        </w:rPr>
        <w:t xml:space="preserve">. </w:t>
      </w:r>
      <w:r w:rsidRPr="009F2C34">
        <w:rPr>
          <w:b/>
          <w:bCs/>
          <w:sz w:val="22"/>
          <w:szCs w:val="22"/>
        </w:rPr>
        <w:t>La date limite de soumission des contributions à la première réunion est fixée au 6 février 2025.</w:t>
      </w:r>
    </w:p>
    <w:p w14:paraId="45AA2A85" w14:textId="73DFD2C9" w:rsidR="00A37431" w:rsidRPr="009F2C34" w:rsidRDefault="00A37431" w:rsidP="00A37431">
      <w:pPr>
        <w:rPr>
          <w:sz w:val="22"/>
          <w:szCs w:val="22"/>
        </w:rPr>
      </w:pPr>
      <w:r w:rsidRPr="009F2C34">
        <w:rPr>
          <w:sz w:val="22"/>
          <w:szCs w:val="22"/>
        </w:rPr>
        <w:t>6</w:t>
      </w:r>
      <w:r w:rsidRPr="009F2C34">
        <w:rPr>
          <w:sz w:val="22"/>
          <w:szCs w:val="22"/>
        </w:rPr>
        <w:tab/>
        <w:t xml:space="preserve">L'ordre du jour de la réunion, les documents et d'autres informations pratiques seront disponibles sur la </w:t>
      </w:r>
      <w:hyperlink r:id="rId17" w:history="1">
        <w:r w:rsidRPr="009F2C34">
          <w:rPr>
            <w:rStyle w:val="Hyperlink"/>
            <w:sz w:val="22"/>
            <w:szCs w:val="22"/>
          </w:rPr>
          <w:t>page d'accueil du Gro</w:t>
        </w:r>
        <w:r w:rsidRPr="009F2C34">
          <w:rPr>
            <w:rStyle w:val="Hyperlink"/>
            <w:sz w:val="22"/>
            <w:szCs w:val="22"/>
          </w:rPr>
          <w:t>u</w:t>
        </w:r>
        <w:r w:rsidRPr="009F2C34">
          <w:rPr>
            <w:rStyle w:val="Hyperlink"/>
            <w:sz w:val="22"/>
            <w:szCs w:val="22"/>
          </w:rPr>
          <w:t>pe FG-CD</w:t>
        </w:r>
      </w:hyperlink>
      <w:r w:rsidRPr="009F2C34">
        <w:rPr>
          <w:sz w:val="22"/>
          <w:szCs w:val="22"/>
        </w:rPr>
        <w:t xml:space="preserve"> avant la réunion. Les débats se dérouleront uniquement en anglais. Des informations sur les modalités de participation à distance seront disponibles sur la page web du Groupe spécialisé (</w:t>
      </w:r>
      <w:hyperlink r:id="rId18" w:history="1">
        <w:r w:rsidRPr="009F2C34">
          <w:rPr>
            <w:rStyle w:val="Hyperlink"/>
            <w:sz w:val="22"/>
            <w:szCs w:val="22"/>
          </w:rPr>
          <w:t>http://www.itu.int/go/fgcd</w:t>
        </w:r>
      </w:hyperlink>
      <w:r w:rsidRPr="009F2C34">
        <w:rPr>
          <w:sz w:val="22"/>
          <w:szCs w:val="22"/>
        </w:rPr>
        <w:t>).</w:t>
      </w:r>
    </w:p>
    <w:p w14:paraId="2C2E1BD7" w14:textId="7F107BFC" w:rsidR="00A37431" w:rsidRPr="009F2C34" w:rsidRDefault="00A37431" w:rsidP="00A37431">
      <w:pPr>
        <w:rPr>
          <w:sz w:val="22"/>
          <w:szCs w:val="22"/>
        </w:rPr>
      </w:pPr>
      <w:r w:rsidRPr="009F2C34">
        <w:rPr>
          <w:sz w:val="22"/>
          <w:szCs w:val="22"/>
        </w:rPr>
        <w:t>7</w:t>
      </w:r>
      <w:r w:rsidRPr="009F2C34">
        <w:rPr>
          <w:sz w:val="22"/>
          <w:szCs w:val="22"/>
        </w:rPr>
        <w:tab/>
        <w:t>Le programme et d'autres informations sur l'</w:t>
      </w:r>
      <w:r w:rsidRPr="009F2C34">
        <w:rPr>
          <w:i/>
          <w:iCs/>
          <w:sz w:val="22"/>
          <w:szCs w:val="22"/>
        </w:rPr>
        <w:t>atelier de l'UIT sur les questions de politique générale et d'économie relatives aux télécommunications internationales/TIC</w:t>
      </w:r>
      <w:r w:rsidRPr="009F2C34">
        <w:rPr>
          <w:sz w:val="22"/>
          <w:szCs w:val="22"/>
        </w:rPr>
        <w:t xml:space="preserve"> sont disponibles sur la </w:t>
      </w:r>
      <w:hyperlink r:id="rId19" w:history="1">
        <w:r w:rsidRPr="009F2C34">
          <w:rPr>
            <w:rStyle w:val="Hyperlink"/>
            <w:sz w:val="22"/>
            <w:szCs w:val="22"/>
          </w:rPr>
          <w:t>page d'accueil du Groupe FG-CD</w:t>
        </w:r>
      </w:hyperlink>
      <w:r w:rsidRPr="009F2C34">
        <w:rPr>
          <w:sz w:val="22"/>
          <w:szCs w:val="22"/>
        </w:rPr>
        <w:t>.</w:t>
      </w:r>
    </w:p>
    <w:p w14:paraId="7FEED3AE" w14:textId="1DC4BBAA" w:rsidR="00A37431" w:rsidRPr="009F2C34" w:rsidRDefault="00A37431" w:rsidP="00A37431">
      <w:pPr>
        <w:rPr>
          <w:sz w:val="22"/>
          <w:szCs w:val="22"/>
        </w:rPr>
      </w:pPr>
      <w:r w:rsidRPr="009F2C34">
        <w:rPr>
          <w:sz w:val="22"/>
          <w:szCs w:val="22"/>
        </w:rPr>
        <w:t>8</w:t>
      </w:r>
      <w:r w:rsidRPr="009F2C34">
        <w:rPr>
          <w:sz w:val="22"/>
          <w:szCs w:val="22"/>
        </w:rPr>
        <w:tab/>
        <w:t xml:space="preserve">Pour permettre à l'UIT de prévoir les dispositions nécessaires, les participants sont invités à s'inscrire en ligne via la </w:t>
      </w:r>
      <w:hyperlink r:id="rId20" w:history="1">
        <w:r w:rsidRPr="009F2C34">
          <w:rPr>
            <w:rStyle w:val="Hyperlink"/>
            <w:sz w:val="22"/>
            <w:szCs w:val="22"/>
          </w:rPr>
          <w:t>page d'accueil du Group</w:t>
        </w:r>
        <w:r w:rsidRPr="009F2C34">
          <w:rPr>
            <w:rStyle w:val="Hyperlink"/>
            <w:sz w:val="22"/>
            <w:szCs w:val="22"/>
          </w:rPr>
          <w:t>e</w:t>
        </w:r>
        <w:r w:rsidRPr="009F2C34">
          <w:rPr>
            <w:rStyle w:val="Hyperlink"/>
            <w:sz w:val="22"/>
            <w:szCs w:val="22"/>
          </w:rPr>
          <w:t xml:space="preserve"> FG-CD</w:t>
        </w:r>
      </w:hyperlink>
      <w:r w:rsidRPr="009F2C34">
        <w:rPr>
          <w:sz w:val="22"/>
          <w:szCs w:val="22"/>
        </w:rPr>
        <w:t xml:space="preserve"> dès que possible. Le nombre de places est limité et les inscriptions seront traitées dans l'ordre des demandes. L'inscription est obligatoire à la fois pour la participation à distance et pour la participation en présentiel. Veuillez noter que l'inscription préalable des participants aux manifestations se fait exclusivement en ligne.</w:t>
      </w:r>
    </w:p>
    <w:p w14:paraId="083BAC7B" w14:textId="77777777" w:rsidR="00A37431" w:rsidRPr="009F2C34" w:rsidRDefault="00A37431" w:rsidP="00A37431">
      <w:pPr>
        <w:rPr>
          <w:sz w:val="22"/>
          <w:szCs w:val="22"/>
        </w:rPr>
      </w:pPr>
      <w:r w:rsidRPr="009F2C34">
        <w:rPr>
          <w:sz w:val="22"/>
          <w:szCs w:val="22"/>
        </w:rPr>
        <w:t>9</w:t>
      </w:r>
      <w:r w:rsidRPr="009F2C34">
        <w:rPr>
          <w:sz w:val="22"/>
          <w:szCs w:val="22"/>
        </w:rPr>
        <w:tab/>
        <w:t>Nous vous rappelons que, pour les ressortissants de certains pays, l'entrée et le séjour, quelle qu'en soit la durée, sur le territoire du Gabon sont soumis à l'obtention d'un visa. Si vous avez besoin d'un visa, celui-ci doit être demandé avant la date de votre arrivée et obtenu auprès de l'ambassade ou du consulat du Gabon dans votre pays ou, à défaut, dans le pays le plus proche de votre pays de départ. Les délais pouvant varier, nous vous suggérons de vous renseigner directement auprès de la représentation concernée et de formuler votre demande au plus tôt.</w:t>
      </w:r>
    </w:p>
    <w:p w14:paraId="74549E4E" w14:textId="77777777" w:rsidR="00A37431" w:rsidRPr="009F2C34" w:rsidRDefault="00A37431" w:rsidP="00A37431">
      <w:pPr>
        <w:rPr>
          <w:sz w:val="22"/>
          <w:szCs w:val="22"/>
        </w:rPr>
      </w:pPr>
      <w:r w:rsidRPr="009F2C34">
        <w:rPr>
          <w:sz w:val="22"/>
          <w:szCs w:val="22"/>
        </w:rPr>
        <w:t>Cette réunion étant organisée hors de Suisse, les demandes d'assistance pour l'obtention d'un visa doivent être adressées directement à l'organisme hôte.</w:t>
      </w:r>
    </w:p>
    <w:p w14:paraId="6D4A1C4E" w14:textId="3C840390" w:rsidR="00A37431" w:rsidRPr="009F2C34" w:rsidRDefault="00A37431" w:rsidP="00A37431">
      <w:pPr>
        <w:rPr>
          <w:sz w:val="22"/>
          <w:szCs w:val="22"/>
        </w:rPr>
      </w:pPr>
      <w:r w:rsidRPr="009F2C34">
        <w:rPr>
          <w:sz w:val="22"/>
          <w:szCs w:val="22"/>
        </w:rPr>
        <w:t xml:space="preserve">Des renseignements supplémentaires concernant les demandes de visas seront mis à disposition dans le document d'informations pratiques pour la réunion qui sera mis à disposition sur la </w:t>
      </w:r>
      <w:hyperlink r:id="rId21" w:history="1">
        <w:r w:rsidRPr="009F2C34">
          <w:rPr>
            <w:rStyle w:val="Hyperlink"/>
            <w:sz w:val="22"/>
            <w:szCs w:val="22"/>
          </w:rPr>
          <w:t>page d'accueil du Group</w:t>
        </w:r>
        <w:r w:rsidRPr="009F2C34">
          <w:rPr>
            <w:rStyle w:val="Hyperlink"/>
            <w:sz w:val="22"/>
            <w:szCs w:val="22"/>
          </w:rPr>
          <w:t>e</w:t>
        </w:r>
        <w:r w:rsidRPr="009F2C34">
          <w:rPr>
            <w:rStyle w:val="Hyperlink"/>
            <w:sz w:val="22"/>
            <w:szCs w:val="22"/>
          </w:rPr>
          <w:t xml:space="preserve"> FG-CD</w:t>
        </w:r>
      </w:hyperlink>
      <w:r w:rsidRPr="009F2C34">
        <w:rPr>
          <w:sz w:val="22"/>
          <w:szCs w:val="22"/>
        </w:rPr>
        <w:t>.</w:t>
      </w:r>
    </w:p>
    <w:p w14:paraId="4F2CD3D9" w14:textId="77777777" w:rsidR="00A37431" w:rsidRPr="009F2C34" w:rsidRDefault="00A37431" w:rsidP="00A37431">
      <w:pPr>
        <w:keepNext/>
        <w:keepLines/>
        <w:rPr>
          <w:sz w:val="22"/>
          <w:szCs w:val="22"/>
        </w:rPr>
      </w:pPr>
      <w:r w:rsidRPr="009F2C34">
        <w:rPr>
          <w:sz w:val="22"/>
          <w:szCs w:val="22"/>
        </w:rPr>
        <w:t>Je vous souhaite une réunion productive et agréable.</w:t>
      </w:r>
    </w:p>
    <w:p w14:paraId="1D02319E" w14:textId="51E58704" w:rsidR="00A37431" w:rsidRPr="009F2C34" w:rsidRDefault="00A37431" w:rsidP="00A37431">
      <w:pPr>
        <w:keepNext/>
        <w:keepLines/>
        <w:rPr>
          <w:sz w:val="22"/>
          <w:szCs w:val="22"/>
        </w:rPr>
      </w:pPr>
      <w:r w:rsidRPr="009F2C34">
        <w:rPr>
          <w:sz w:val="22"/>
          <w:szCs w:val="22"/>
        </w:rPr>
        <w:t>Veuillez agréer, Madame, Monsieur, l'assurance de ma considération distinguée.</w:t>
      </w:r>
    </w:p>
    <w:p w14:paraId="2DF612C1" w14:textId="6D79761F" w:rsidR="00073E75" w:rsidRPr="009F2C34" w:rsidRDefault="00501210" w:rsidP="00093B71">
      <w:pPr>
        <w:keepNext/>
        <w:keepLines/>
        <w:spacing w:before="840"/>
        <w:rPr>
          <w:sz w:val="22"/>
          <w:szCs w:val="22"/>
        </w:rPr>
      </w:pPr>
      <w:r>
        <w:rPr>
          <w:noProof/>
          <w:sz w:val="22"/>
          <w:szCs w:val="22"/>
        </w:rPr>
        <w:drawing>
          <wp:anchor distT="0" distB="0" distL="114300" distR="114300" simplePos="0" relativeHeight="251658240" behindDoc="1" locked="0" layoutInCell="1" allowOverlap="1" wp14:anchorId="0C8CEBA0" wp14:editId="216F4313">
            <wp:simplePos x="0" y="0"/>
            <wp:positionH relativeFrom="margin">
              <wp:align>left</wp:align>
            </wp:positionH>
            <wp:positionV relativeFrom="paragraph">
              <wp:posOffset>118745</wp:posOffset>
            </wp:positionV>
            <wp:extent cx="692186" cy="330217"/>
            <wp:effectExtent l="0" t="0" r="0" b="0"/>
            <wp:wrapNone/>
            <wp:docPr id="1636706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06212" name="Picture 1636706212"/>
                    <pic:cNvPicPr/>
                  </pic:nvPicPr>
                  <pic:blipFill>
                    <a:blip r:embed="rId22">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073E75" w:rsidRPr="009F2C34">
        <w:rPr>
          <w:sz w:val="22"/>
          <w:szCs w:val="22"/>
        </w:rPr>
        <w:t>Seizo Onoe</w:t>
      </w:r>
      <w:r w:rsidR="00231D6F" w:rsidRPr="009F2C34">
        <w:rPr>
          <w:sz w:val="22"/>
          <w:szCs w:val="22"/>
        </w:rPr>
        <w:br/>
      </w:r>
      <w:r w:rsidR="00073E75" w:rsidRPr="009F2C34">
        <w:rPr>
          <w:sz w:val="22"/>
          <w:szCs w:val="22"/>
        </w:rPr>
        <w:t>Directeur du Bureau de la normalisation</w:t>
      </w:r>
      <w:r w:rsidR="00231D6F" w:rsidRPr="009F2C34">
        <w:rPr>
          <w:sz w:val="22"/>
          <w:szCs w:val="22"/>
        </w:rPr>
        <w:br/>
      </w:r>
      <w:r w:rsidR="00073E75" w:rsidRPr="009F2C34">
        <w:rPr>
          <w:sz w:val="22"/>
          <w:szCs w:val="22"/>
        </w:rPr>
        <w:t>des télécommunications</w:t>
      </w:r>
    </w:p>
    <w:sectPr w:rsidR="00073E75" w:rsidRPr="009F2C34" w:rsidSect="00A15179">
      <w:headerReference w:type="default" r:id="rId23"/>
      <w:footerReference w:type="first" r:id="rId2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CE164" w14:textId="77777777" w:rsidR="00A578DA" w:rsidRDefault="00A578DA">
      <w:r>
        <w:separator/>
      </w:r>
    </w:p>
  </w:endnote>
  <w:endnote w:type="continuationSeparator" w:id="0">
    <w:p w14:paraId="3E30394C" w14:textId="77777777" w:rsidR="00A578DA" w:rsidRDefault="00A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0753" w14:textId="77777777" w:rsidR="00A578DA" w:rsidRDefault="00A578DA">
      <w:r>
        <w:t>____________________</w:t>
      </w:r>
    </w:p>
  </w:footnote>
  <w:footnote w:type="continuationSeparator" w:id="0">
    <w:p w14:paraId="086C2F68" w14:textId="77777777" w:rsidR="00A578DA" w:rsidRDefault="00A5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1E2E37E8" w:rsidR="00697BC1" w:rsidRPr="00697BC1" w:rsidRDefault="0050121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A33464">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A33464">
          <w:rPr>
            <w:noProof/>
            <w:sz w:val="18"/>
            <w:szCs w:val="16"/>
          </w:rPr>
          <w:t xml:space="preserve"> -</w:t>
        </w:r>
      </w:sdtContent>
    </w:sdt>
    <w:r w:rsidR="00AF0D7D">
      <w:rPr>
        <w:noProof/>
        <w:sz w:val="18"/>
        <w:szCs w:val="16"/>
      </w:rPr>
      <w:br/>
      <w:t xml:space="preserve">Circulaire TSB </w:t>
    </w:r>
    <w:r w:rsidR="00A37431">
      <w:rPr>
        <w:noProof/>
        <w:sz w:val="18"/>
        <w:szCs w:val="16"/>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3E75"/>
    <w:rsid w:val="000758B3"/>
    <w:rsid w:val="00085F5A"/>
    <w:rsid w:val="00093B71"/>
    <w:rsid w:val="000B0D96"/>
    <w:rsid w:val="000B59D8"/>
    <w:rsid w:val="000C1F6B"/>
    <w:rsid w:val="000C25CC"/>
    <w:rsid w:val="000C56BE"/>
    <w:rsid w:val="000D72E4"/>
    <w:rsid w:val="001026FD"/>
    <w:rsid w:val="001077FD"/>
    <w:rsid w:val="00115DD7"/>
    <w:rsid w:val="00167472"/>
    <w:rsid w:val="00167F92"/>
    <w:rsid w:val="00173738"/>
    <w:rsid w:val="001B79A3"/>
    <w:rsid w:val="002152A3"/>
    <w:rsid w:val="00231D6F"/>
    <w:rsid w:val="0023667A"/>
    <w:rsid w:val="002937DB"/>
    <w:rsid w:val="002D3CB4"/>
    <w:rsid w:val="002E395D"/>
    <w:rsid w:val="00306DC4"/>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01210"/>
    <w:rsid w:val="005120A2"/>
    <w:rsid w:val="0051210D"/>
    <w:rsid w:val="005136D2"/>
    <w:rsid w:val="00517A03"/>
    <w:rsid w:val="0057228C"/>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34219"/>
    <w:rsid w:val="00760063"/>
    <w:rsid w:val="00775E4B"/>
    <w:rsid w:val="00785597"/>
    <w:rsid w:val="0079553B"/>
    <w:rsid w:val="00795679"/>
    <w:rsid w:val="007A40FE"/>
    <w:rsid w:val="00810105"/>
    <w:rsid w:val="008157E0"/>
    <w:rsid w:val="00850477"/>
    <w:rsid w:val="00854E1D"/>
    <w:rsid w:val="00887FA6"/>
    <w:rsid w:val="008C4397"/>
    <w:rsid w:val="008C465A"/>
    <w:rsid w:val="008C79D1"/>
    <w:rsid w:val="008F01FA"/>
    <w:rsid w:val="008F2C9B"/>
    <w:rsid w:val="00923CD6"/>
    <w:rsid w:val="00935AA8"/>
    <w:rsid w:val="00971C9A"/>
    <w:rsid w:val="009D1B1A"/>
    <w:rsid w:val="009D51FA"/>
    <w:rsid w:val="009F1E23"/>
    <w:rsid w:val="009F2C34"/>
    <w:rsid w:val="00A15179"/>
    <w:rsid w:val="00A302F4"/>
    <w:rsid w:val="00A33464"/>
    <w:rsid w:val="00A37431"/>
    <w:rsid w:val="00A51537"/>
    <w:rsid w:val="00A5280F"/>
    <w:rsid w:val="00A5645A"/>
    <w:rsid w:val="00A578D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657B2"/>
    <w:rsid w:val="00C9028F"/>
    <w:rsid w:val="00CA0416"/>
    <w:rsid w:val="00CB1125"/>
    <w:rsid w:val="00CB4E80"/>
    <w:rsid w:val="00CD042E"/>
    <w:rsid w:val="00CE7DF2"/>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uiPriority w:val="39"/>
    <w:rsid w:val="00231D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D3CB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cd/Documents/ToRs_FGCostingData.pdf" TargetMode="External"/><Relationship Id="rId18" Type="http://schemas.openxmlformats.org/officeDocument/2006/relationships/hyperlink" Target="http://www.itu.int/go/fgc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focusgroups/cd/Pages/default.aspx" TargetMode="External"/><Relationship Id="rId7" Type="http://schemas.openxmlformats.org/officeDocument/2006/relationships/endnotes" Target="endnotes.xml"/><Relationship Id="rId12" Type="http://schemas.openxmlformats.org/officeDocument/2006/relationships/hyperlink" Target="https://www.itu.int/rec/T-REC-A.7/fr" TargetMode="External"/><Relationship Id="rId17" Type="http://schemas.openxmlformats.org/officeDocument/2006/relationships/hyperlink" Target="https://www.itu.int/en/ITU-T/focusgroups/cd/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cd/Pages/default.aspx" TargetMode="External"/><Relationship Id="rId20" Type="http://schemas.openxmlformats.org/officeDocument/2006/relationships/hyperlink" Target="https://www.itu.int/en/ITU-T/focusgroups/cd/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03RG.AFR-COL-0001/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fgcd@itu.int" TargetMode="External"/><Relationship Id="rId23" Type="http://schemas.openxmlformats.org/officeDocument/2006/relationships/header" Target="header1.xml"/><Relationship Id="rId10" Type="http://schemas.openxmlformats.org/officeDocument/2006/relationships/hyperlink" Target="https://www.itu.int/en/ITU-T/focusgroups/cd/Pages/default.aspx" TargetMode="External"/><Relationship Id="rId19" Type="http://schemas.openxmlformats.org/officeDocument/2006/relationships/hyperlink" Target="https://www.itu.int/en/ITU-T/focusgroups/cd/Pages/default.aspx" TargetMode="External"/><Relationship Id="rId4" Type="http://schemas.openxmlformats.org/officeDocument/2006/relationships/settings" Target="settings.xml"/><Relationship Id="rId9" Type="http://schemas.openxmlformats.org/officeDocument/2006/relationships/hyperlink" Target="mailto:tsbfgcd@itu.int" TargetMode="External"/><Relationship Id="rId14" Type="http://schemas.openxmlformats.org/officeDocument/2006/relationships/hyperlink" Target="https://www.itu.int/en/ITU-T/focusgroups/cd/Pages/default.aspx"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33</TotalTime>
  <Pages>2</Pages>
  <Words>873</Words>
  <Characters>5973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6833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13</cp:revision>
  <cp:lastPrinted>2025-01-29T10:30:00Z</cp:lastPrinted>
  <dcterms:created xsi:type="dcterms:W3CDTF">2025-01-22T13:46:00Z</dcterms:created>
  <dcterms:modified xsi:type="dcterms:W3CDTF">2025-01-29T10:31:00Z</dcterms:modified>
</cp:coreProperties>
</file>