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Look w:val="0000" w:firstRow="0" w:lastRow="0" w:firstColumn="0" w:lastColumn="0" w:noHBand="0" w:noVBand="0"/>
      </w:tblPr>
      <w:tblGrid>
        <w:gridCol w:w="284"/>
        <w:gridCol w:w="1276"/>
        <w:gridCol w:w="3402"/>
        <w:gridCol w:w="3119"/>
        <w:gridCol w:w="1984"/>
      </w:tblGrid>
      <w:tr w:rsidR="00FA46A0" w14:paraId="4557A839" w14:textId="77777777" w:rsidTr="009E08A6">
        <w:trPr>
          <w:gridBefore w:val="1"/>
          <w:wBefore w:w="284" w:type="dxa"/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39E6B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2839729" wp14:editId="1D4ADF4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8715AD7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FB6E07E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CF1B51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F539DD" w14:paraId="2222A766" w14:textId="77777777" w:rsidTr="009E08A6">
        <w:trPr>
          <w:cantSplit/>
          <w:trHeight w:val="640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4EDD7C95" w14:textId="77777777" w:rsidR="00FA46A0" w:rsidRPr="00F539DD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2012CDC" w14:textId="2ECACFFC" w:rsidR="00FA46A0" w:rsidRPr="00F539DD" w:rsidRDefault="00B61012" w:rsidP="00F539DD">
            <w:pPr>
              <w:pStyle w:val="Tabletext"/>
              <w:spacing w:before="120" w:after="120"/>
              <w:ind w:left="-108"/>
              <w:rPr>
                <w:sz w:val="22"/>
                <w:szCs w:val="22"/>
              </w:rPr>
            </w:pPr>
            <w:r w:rsidRPr="00F539DD">
              <w:rPr>
                <w:sz w:val="22"/>
                <w:szCs w:val="22"/>
              </w:rPr>
              <w:t>Geneva</w:t>
            </w:r>
            <w:r w:rsidR="00534857" w:rsidRPr="00F539DD">
              <w:rPr>
                <w:sz w:val="22"/>
                <w:szCs w:val="22"/>
              </w:rPr>
              <w:t xml:space="preserve">, </w:t>
            </w:r>
            <w:r w:rsidR="00EB1848">
              <w:rPr>
                <w:sz w:val="22"/>
                <w:szCs w:val="22"/>
                <w:lang w:eastAsia="zh-CN"/>
              </w:rPr>
              <w:t>1</w:t>
            </w:r>
            <w:r w:rsidR="009E08A6">
              <w:rPr>
                <w:sz w:val="22"/>
                <w:szCs w:val="22"/>
                <w:lang w:eastAsia="zh-CN"/>
              </w:rPr>
              <w:t>1</w:t>
            </w:r>
            <w:r w:rsidR="00534857" w:rsidRPr="00F539DD">
              <w:rPr>
                <w:sz w:val="22"/>
                <w:szCs w:val="22"/>
              </w:rPr>
              <w:t xml:space="preserve"> </w:t>
            </w:r>
            <w:r w:rsidR="006F03A0">
              <w:rPr>
                <w:sz w:val="22"/>
                <w:szCs w:val="22"/>
                <w:lang w:val="en-US" w:eastAsia="zh-CN"/>
              </w:rPr>
              <w:t xml:space="preserve">December </w:t>
            </w:r>
            <w:r w:rsidR="00534857" w:rsidRPr="00F539DD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="00534857" w:rsidRPr="00F539DD">
              <w:rPr>
                <w:sz w:val="22"/>
                <w:szCs w:val="22"/>
              </w:rPr>
              <w:t>024</w:t>
            </w:r>
          </w:p>
        </w:tc>
      </w:tr>
      <w:tr w:rsidR="00FA46A0" w:rsidRPr="00F539DD" w14:paraId="2F8A1B93" w14:textId="77777777" w:rsidTr="009E08A6">
        <w:trPr>
          <w:cantSplit/>
          <w:trHeight w:val="746"/>
        </w:trPr>
        <w:tc>
          <w:tcPr>
            <w:tcW w:w="1560" w:type="dxa"/>
            <w:gridSpan w:val="2"/>
          </w:tcPr>
          <w:p w14:paraId="42F3024B" w14:textId="77777777" w:rsidR="00F539DD" w:rsidRPr="00F539DD" w:rsidRDefault="00B61012" w:rsidP="009E08A6">
            <w:pPr>
              <w:pStyle w:val="Tabletext"/>
              <w:ind w:left="37"/>
              <w:rPr>
                <w:b/>
                <w:sz w:val="22"/>
                <w:szCs w:val="22"/>
              </w:rPr>
            </w:pPr>
            <w:r w:rsidRPr="00F539DD">
              <w:rPr>
                <w:b/>
                <w:sz w:val="22"/>
                <w:szCs w:val="22"/>
              </w:rPr>
              <w:t>Ref:</w:t>
            </w:r>
          </w:p>
          <w:p w14:paraId="7D758B2E" w14:textId="77777777" w:rsidR="00F539DD" w:rsidRPr="00F539DD" w:rsidRDefault="00F539DD" w:rsidP="009E08A6">
            <w:pPr>
              <w:pStyle w:val="Tabletext"/>
              <w:ind w:left="37"/>
              <w:rPr>
                <w:b/>
                <w:sz w:val="22"/>
                <w:szCs w:val="22"/>
              </w:rPr>
            </w:pPr>
          </w:p>
          <w:p w14:paraId="267CC5BA" w14:textId="7FABD0C8" w:rsidR="00FA46A0" w:rsidRPr="00F539DD" w:rsidRDefault="00534857" w:rsidP="009E08A6">
            <w:pPr>
              <w:pStyle w:val="Tabletext"/>
              <w:ind w:left="37"/>
              <w:rPr>
                <w:sz w:val="22"/>
                <w:szCs w:val="22"/>
              </w:rPr>
            </w:pPr>
            <w:r w:rsidRPr="00F539DD">
              <w:rPr>
                <w:b/>
                <w:sz w:val="22"/>
                <w:szCs w:val="22"/>
              </w:rPr>
              <w:t xml:space="preserve">Contact: </w:t>
            </w:r>
          </w:p>
        </w:tc>
        <w:tc>
          <w:tcPr>
            <w:tcW w:w="3402" w:type="dxa"/>
          </w:tcPr>
          <w:p w14:paraId="4332AD0B" w14:textId="7BB0105F" w:rsidR="00F539DD" w:rsidRPr="00F539DD" w:rsidRDefault="00B61012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F539DD">
              <w:rPr>
                <w:b/>
                <w:bCs/>
                <w:sz w:val="22"/>
                <w:szCs w:val="22"/>
              </w:rPr>
              <w:t xml:space="preserve">TSB Circular </w:t>
            </w:r>
            <w:r w:rsidR="00EB1848">
              <w:rPr>
                <w:b/>
                <w:bCs/>
                <w:sz w:val="22"/>
                <w:szCs w:val="22"/>
                <w:lang w:eastAsia="zh-CN"/>
              </w:rPr>
              <w:t>009</w:t>
            </w:r>
            <w:r w:rsidR="00534857" w:rsidRPr="00F539DD">
              <w:rPr>
                <w:b/>
                <w:bCs/>
                <w:sz w:val="22"/>
                <w:szCs w:val="22"/>
              </w:rPr>
              <w:br/>
            </w:r>
            <w:r w:rsidR="00534857" w:rsidRPr="00F539DD">
              <w:rPr>
                <w:sz w:val="22"/>
                <w:szCs w:val="22"/>
              </w:rPr>
              <w:t>TSB Events / FW</w:t>
            </w:r>
          </w:p>
          <w:p w14:paraId="1BBA49F6" w14:textId="7C8631D5" w:rsidR="00FA46A0" w:rsidRPr="00F539DD" w:rsidRDefault="00534857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F539DD">
              <w:rPr>
                <w:b/>
                <w:bCs/>
                <w:sz w:val="22"/>
                <w:szCs w:val="22"/>
              </w:rPr>
              <w:t>Fred Werner</w:t>
            </w:r>
          </w:p>
        </w:tc>
        <w:tc>
          <w:tcPr>
            <w:tcW w:w="5103" w:type="dxa"/>
            <w:gridSpan w:val="2"/>
            <w:vMerge w:val="restart"/>
          </w:tcPr>
          <w:p w14:paraId="54B43097" w14:textId="77777777" w:rsidR="00FF5729" w:rsidRPr="00F539DD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F539DD">
              <w:rPr>
                <w:b/>
                <w:sz w:val="22"/>
                <w:szCs w:val="22"/>
              </w:rPr>
              <w:t>To:</w:t>
            </w:r>
          </w:p>
          <w:p w14:paraId="481065D7" w14:textId="51C4F894" w:rsidR="002B4CD6" w:rsidRPr="00F539DD" w:rsidRDefault="002B4CD6" w:rsidP="009E08A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76" w:lineRule="auto"/>
              <w:ind w:left="283" w:hanging="391"/>
              <w:rPr>
                <w:sz w:val="22"/>
                <w:szCs w:val="22"/>
              </w:rPr>
            </w:pPr>
            <w:r w:rsidRPr="00F539DD">
              <w:rPr>
                <w:sz w:val="22"/>
                <w:szCs w:val="22"/>
              </w:rPr>
              <w:t>-</w:t>
            </w:r>
            <w:r w:rsidRPr="00F539DD">
              <w:rPr>
                <w:sz w:val="22"/>
                <w:szCs w:val="22"/>
              </w:rPr>
              <w:tab/>
              <w:t>ITU Member States</w:t>
            </w:r>
            <w:r w:rsidR="00F539DD">
              <w:rPr>
                <w:sz w:val="22"/>
                <w:szCs w:val="22"/>
              </w:rPr>
              <w:t>;</w:t>
            </w:r>
          </w:p>
          <w:p w14:paraId="381FBFF3" w14:textId="0C812767" w:rsidR="002B4CD6" w:rsidRPr="00F539DD" w:rsidRDefault="002B4CD6" w:rsidP="009E08A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76" w:lineRule="auto"/>
              <w:ind w:left="283" w:hanging="391"/>
              <w:rPr>
                <w:sz w:val="22"/>
                <w:szCs w:val="22"/>
              </w:rPr>
            </w:pPr>
            <w:r w:rsidRPr="00F539DD">
              <w:rPr>
                <w:sz w:val="22"/>
                <w:szCs w:val="22"/>
              </w:rPr>
              <w:t>-</w:t>
            </w:r>
            <w:r w:rsidRPr="00F539DD">
              <w:rPr>
                <w:sz w:val="22"/>
                <w:szCs w:val="22"/>
              </w:rPr>
              <w:tab/>
              <w:t>ITU Sector Members</w:t>
            </w:r>
            <w:r w:rsidR="00F539DD">
              <w:rPr>
                <w:sz w:val="22"/>
                <w:szCs w:val="22"/>
              </w:rPr>
              <w:t>;</w:t>
            </w:r>
          </w:p>
          <w:p w14:paraId="351394C3" w14:textId="51D14188" w:rsidR="002B4CD6" w:rsidRPr="00F539DD" w:rsidRDefault="002B4CD6" w:rsidP="009E08A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76" w:lineRule="auto"/>
              <w:ind w:left="283" w:hanging="391"/>
              <w:rPr>
                <w:sz w:val="22"/>
                <w:szCs w:val="22"/>
              </w:rPr>
            </w:pPr>
            <w:r w:rsidRPr="00F539DD">
              <w:rPr>
                <w:sz w:val="22"/>
                <w:szCs w:val="22"/>
              </w:rPr>
              <w:t>-</w:t>
            </w:r>
            <w:r w:rsidRPr="00F539DD">
              <w:rPr>
                <w:sz w:val="22"/>
                <w:szCs w:val="22"/>
              </w:rPr>
              <w:tab/>
              <w:t>ITU Associates and Academia</w:t>
            </w:r>
            <w:r w:rsidR="00F539DD">
              <w:rPr>
                <w:sz w:val="22"/>
                <w:szCs w:val="22"/>
              </w:rPr>
              <w:t>;</w:t>
            </w:r>
          </w:p>
          <w:p w14:paraId="4B3EBB41" w14:textId="654A6CDC" w:rsidR="002B4CD6" w:rsidRPr="00F539DD" w:rsidRDefault="002B4CD6" w:rsidP="009E08A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76" w:lineRule="auto"/>
              <w:ind w:left="283" w:hanging="391"/>
              <w:rPr>
                <w:sz w:val="22"/>
                <w:szCs w:val="22"/>
              </w:rPr>
            </w:pPr>
            <w:r w:rsidRPr="00F539DD">
              <w:rPr>
                <w:sz w:val="22"/>
                <w:szCs w:val="22"/>
              </w:rPr>
              <w:t>-</w:t>
            </w:r>
            <w:r w:rsidRPr="00F539DD">
              <w:rPr>
                <w:sz w:val="22"/>
                <w:szCs w:val="22"/>
              </w:rPr>
              <w:tab/>
              <w:t>Permanent Missions and Embassies in Geneva</w:t>
            </w:r>
            <w:r w:rsidR="00F539DD">
              <w:rPr>
                <w:sz w:val="22"/>
                <w:szCs w:val="22"/>
              </w:rPr>
              <w:t>;</w:t>
            </w:r>
          </w:p>
          <w:p w14:paraId="40A29237" w14:textId="77777777" w:rsidR="002B4CD6" w:rsidRPr="00F539DD" w:rsidRDefault="002B4CD6" w:rsidP="009E08A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76" w:lineRule="auto"/>
              <w:ind w:left="283" w:hanging="391"/>
              <w:rPr>
                <w:sz w:val="22"/>
                <w:szCs w:val="22"/>
              </w:rPr>
            </w:pPr>
            <w:r w:rsidRPr="00F539DD">
              <w:rPr>
                <w:sz w:val="22"/>
                <w:szCs w:val="22"/>
              </w:rPr>
              <w:t>-</w:t>
            </w:r>
            <w:r w:rsidRPr="00F539DD">
              <w:rPr>
                <w:sz w:val="22"/>
                <w:szCs w:val="22"/>
              </w:rPr>
              <w:tab/>
              <w:t>Relevant international, regional and</w:t>
            </w:r>
          </w:p>
          <w:p w14:paraId="37D02D82" w14:textId="733F1F5E" w:rsidR="002B4CD6" w:rsidRPr="00F539DD" w:rsidRDefault="002B4CD6" w:rsidP="009E08A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76" w:lineRule="auto"/>
              <w:ind w:left="283" w:hanging="391"/>
              <w:rPr>
                <w:sz w:val="22"/>
                <w:szCs w:val="22"/>
              </w:rPr>
            </w:pPr>
            <w:r w:rsidRPr="00F539DD">
              <w:rPr>
                <w:sz w:val="22"/>
                <w:szCs w:val="22"/>
              </w:rPr>
              <w:tab/>
              <w:t>national organisations</w:t>
            </w:r>
            <w:r w:rsidR="00F539DD">
              <w:rPr>
                <w:sz w:val="22"/>
                <w:szCs w:val="22"/>
              </w:rPr>
              <w:t>;</w:t>
            </w:r>
          </w:p>
          <w:p w14:paraId="486EB2C9" w14:textId="6E95469F" w:rsidR="002B4CD6" w:rsidRPr="00F539DD" w:rsidRDefault="002B4CD6" w:rsidP="009E08A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76" w:lineRule="auto"/>
              <w:ind w:left="283" w:hanging="391"/>
              <w:rPr>
                <w:sz w:val="22"/>
                <w:szCs w:val="22"/>
              </w:rPr>
            </w:pPr>
            <w:r w:rsidRPr="00F539DD">
              <w:rPr>
                <w:sz w:val="22"/>
                <w:szCs w:val="22"/>
              </w:rPr>
              <w:t>-</w:t>
            </w:r>
            <w:r w:rsidRPr="00F539DD">
              <w:rPr>
                <w:sz w:val="22"/>
                <w:szCs w:val="22"/>
              </w:rPr>
              <w:tab/>
              <w:t>Intergovernmental organizations operating satellite systems</w:t>
            </w:r>
            <w:r w:rsidR="00BB1DC4">
              <w:rPr>
                <w:sz w:val="22"/>
                <w:szCs w:val="22"/>
              </w:rPr>
              <w:t>;</w:t>
            </w:r>
          </w:p>
          <w:p w14:paraId="59CDABB3" w14:textId="6FC34615" w:rsidR="002B4CD6" w:rsidRPr="00F539DD" w:rsidRDefault="002B4CD6" w:rsidP="009E08A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76" w:lineRule="auto"/>
              <w:ind w:left="283" w:hanging="391"/>
              <w:rPr>
                <w:sz w:val="22"/>
                <w:szCs w:val="22"/>
              </w:rPr>
            </w:pPr>
            <w:r w:rsidRPr="00F539DD">
              <w:rPr>
                <w:sz w:val="22"/>
                <w:szCs w:val="22"/>
              </w:rPr>
              <w:t>-</w:t>
            </w:r>
            <w:r w:rsidRPr="00F539DD">
              <w:rPr>
                <w:sz w:val="22"/>
                <w:szCs w:val="22"/>
              </w:rPr>
              <w:tab/>
              <w:t>The United Nations</w:t>
            </w:r>
            <w:r w:rsidR="00BB1DC4">
              <w:rPr>
                <w:sz w:val="22"/>
                <w:szCs w:val="22"/>
              </w:rPr>
              <w:t>;</w:t>
            </w:r>
          </w:p>
          <w:p w14:paraId="617062C5" w14:textId="0A2551CC" w:rsidR="00FA46A0" w:rsidRPr="00F539DD" w:rsidRDefault="002B4CD6" w:rsidP="009E08A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76" w:lineRule="auto"/>
              <w:ind w:left="283" w:hanging="391"/>
              <w:rPr>
                <w:sz w:val="22"/>
                <w:szCs w:val="22"/>
              </w:rPr>
            </w:pPr>
            <w:r w:rsidRPr="00F539DD">
              <w:rPr>
                <w:sz w:val="22"/>
                <w:szCs w:val="22"/>
              </w:rPr>
              <w:t>-</w:t>
            </w:r>
            <w:r w:rsidRPr="00F539DD">
              <w:rPr>
                <w:sz w:val="22"/>
                <w:szCs w:val="22"/>
              </w:rPr>
              <w:tab/>
              <w:t>Specialized agencies of the United Nations and the International Atomic Energy Agency</w:t>
            </w:r>
          </w:p>
        </w:tc>
      </w:tr>
      <w:tr w:rsidR="00FA46A0" w:rsidRPr="00F539DD" w14:paraId="62D164DD" w14:textId="77777777" w:rsidTr="009E08A6">
        <w:trPr>
          <w:cantSplit/>
          <w:trHeight w:val="221"/>
        </w:trPr>
        <w:tc>
          <w:tcPr>
            <w:tcW w:w="1560" w:type="dxa"/>
            <w:gridSpan w:val="2"/>
          </w:tcPr>
          <w:p w14:paraId="6050A17B" w14:textId="77777777" w:rsidR="00FA46A0" w:rsidRPr="00F539DD" w:rsidRDefault="00B61012" w:rsidP="009E08A6">
            <w:pPr>
              <w:pStyle w:val="Tabletext"/>
              <w:ind w:left="37"/>
              <w:rPr>
                <w:sz w:val="22"/>
                <w:szCs w:val="22"/>
              </w:rPr>
            </w:pPr>
            <w:r w:rsidRPr="00F539DD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402" w:type="dxa"/>
          </w:tcPr>
          <w:p w14:paraId="104FC5AD" w14:textId="5E640619" w:rsidR="00FA46A0" w:rsidRPr="00F539DD" w:rsidRDefault="00C95BF6" w:rsidP="00C95BF6">
            <w:pPr>
              <w:pStyle w:val="Tabletext"/>
              <w:rPr>
                <w:b/>
                <w:sz w:val="22"/>
                <w:szCs w:val="22"/>
              </w:rPr>
            </w:pPr>
            <w:r w:rsidRPr="00F539DD">
              <w:rPr>
                <w:sz w:val="22"/>
                <w:szCs w:val="22"/>
              </w:rPr>
              <w:t xml:space="preserve">+41 22 730 </w:t>
            </w:r>
            <w:r w:rsidR="00534857" w:rsidRPr="00F539DD">
              <w:rPr>
                <w:sz w:val="22"/>
                <w:szCs w:val="22"/>
              </w:rPr>
              <w:t>5572</w:t>
            </w:r>
          </w:p>
        </w:tc>
        <w:tc>
          <w:tcPr>
            <w:tcW w:w="5103" w:type="dxa"/>
            <w:gridSpan w:val="2"/>
            <w:vMerge/>
          </w:tcPr>
          <w:p w14:paraId="5F5F3717" w14:textId="77777777" w:rsidR="00FA46A0" w:rsidRPr="00F539DD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F539DD" w14:paraId="70E1B2A3" w14:textId="77777777" w:rsidTr="009E08A6">
        <w:trPr>
          <w:cantSplit/>
          <w:trHeight w:val="2510"/>
        </w:trPr>
        <w:tc>
          <w:tcPr>
            <w:tcW w:w="1560" w:type="dxa"/>
            <w:gridSpan w:val="2"/>
          </w:tcPr>
          <w:p w14:paraId="43D1D346" w14:textId="77777777" w:rsidR="00BB1DC4" w:rsidRDefault="00B61012" w:rsidP="009E08A6">
            <w:pPr>
              <w:pStyle w:val="Tabletext"/>
              <w:ind w:left="37"/>
              <w:rPr>
                <w:b/>
                <w:sz w:val="22"/>
                <w:szCs w:val="22"/>
              </w:rPr>
            </w:pPr>
            <w:r w:rsidRPr="00F539DD">
              <w:rPr>
                <w:b/>
                <w:sz w:val="22"/>
                <w:szCs w:val="22"/>
              </w:rPr>
              <w:t>Fax:</w:t>
            </w:r>
          </w:p>
          <w:p w14:paraId="161767A0" w14:textId="63A2F8B9" w:rsidR="00FA46A0" w:rsidRPr="00F539DD" w:rsidRDefault="00534857" w:rsidP="009E08A6">
            <w:pPr>
              <w:pStyle w:val="Tabletext"/>
              <w:ind w:left="37"/>
              <w:rPr>
                <w:sz w:val="22"/>
                <w:szCs w:val="22"/>
              </w:rPr>
            </w:pPr>
            <w:r w:rsidRPr="00F539DD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402" w:type="dxa"/>
          </w:tcPr>
          <w:p w14:paraId="13624057" w14:textId="7A5567DC" w:rsidR="00FA46A0" w:rsidRDefault="00B61012" w:rsidP="00F539DD">
            <w:pPr>
              <w:pStyle w:val="Tabletext"/>
            </w:pPr>
            <w:r w:rsidRPr="00F539DD">
              <w:rPr>
                <w:sz w:val="22"/>
                <w:szCs w:val="22"/>
              </w:rPr>
              <w:t>+41 22 730 5853</w:t>
            </w:r>
            <w:r w:rsidR="00534857" w:rsidRPr="00F539DD">
              <w:rPr>
                <w:sz w:val="22"/>
                <w:szCs w:val="22"/>
              </w:rPr>
              <w:br/>
            </w:r>
            <w:hyperlink r:id="rId8" w:history="1">
              <w:r w:rsidR="00FF2A94" w:rsidRPr="00A83125">
                <w:rPr>
                  <w:rStyle w:val="Hyperlink"/>
                </w:rPr>
                <w:t>ai-calls@itu.int</w:t>
              </w:r>
            </w:hyperlink>
          </w:p>
          <w:p w14:paraId="6FF2913C" w14:textId="77777777" w:rsidR="00FF2A94" w:rsidRPr="00F539DD" w:rsidRDefault="00FF2A94" w:rsidP="00F539DD">
            <w:pPr>
              <w:pStyle w:val="Tabletext"/>
              <w:rPr>
                <w:sz w:val="22"/>
                <w:szCs w:val="22"/>
              </w:rPr>
            </w:pPr>
          </w:p>
          <w:p w14:paraId="1AEF29D6" w14:textId="09AD1EA3" w:rsidR="00534857" w:rsidRPr="00F539DD" w:rsidRDefault="00534857">
            <w:pPr>
              <w:pStyle w:val="Tabletext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14:paraId="6424BFDF" w14:textId="77777777" w:rsidR="00FA46A0" w:rsidRPr="00F539DD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F539DD" w14:paraId="0D151BFC" w14:textId="77777777" w:rsidTr="009E08A6">
        <w:trPr>
          <w:cantSplit/>
          <w:trHeight w:val="430"/>
        </w:trPr>
        <w:tc>
          <w:tcPr>
            <w:tcW w:w="1560" w:type="dxa"/>
            <w:gridSpan w:val="2"/>
          </w:tcPr>
          <w:p w14:paraId="403C8005" w14:textId="77777777" w:rsidR="00FA46A0" w:rsidRPr="00F539DD" w:rsidRDefault="00B61012" w:rsidP="009E08A6">
            <w:pPr>
              <w:spacing w:before="60"/>
              <w:ind w:left="37"/>
              <w:rPr>
                <w:sz w:val="22"/>
                <w:szCs w:val="22"/>
              </w:rPr>
            </w:pPr>
            <w:r w:rsidRPr="00F539DD">
              <w:rPr>
                <w:b/>
                <w:bCs/>
                <w:sz w:val="22"/>
                <w:szCs w:val="22"/>
              </w:rPr>
              <w:t>Subject</w:t>
            </w:r>
            <w:r w:rsidRPr="00F539DD">
              <w:rPr>
                <w:sz w:val="22"/>
                <w:szCs w:val="22"/>
              </w:rPr>
              <w:t>:</w:t>
            </w:r>
          </w:p>
        </w:tc>
        <w:tc>
          <w:tcPr>
            <w:tcW w:w="8505" w:type="dxa"/>
            <w:gridSpan w:val="3"/>
          </w:tcPr>
          <w:p w14:paraId="6C0814DC" w14:textId="6FD58B95" w:rsidR="00FA46A0" w:rsidRPr="00F539DD" w:rsidRDefault="002B4CD6" w:rsidP="00BB1DC4">
            <w:pPr>
              <w:spacing w:before="60"/>
              <w:rPr>
                <w:b/>
                <w:color w:val="121512"/>
                <w:sz w:val="22"/>
                <w:szCs w:val="22"/>
              </w:rPr>
            </w:pPr>
            <w:r w:rsidRPr="00F539DD">
              <w:rPr>
                <w:b/>
                <w:color w:val="121512"/>
                <w:sz w:val="22"/>
                <w:szCs w:val="22"/>
              </w:rPr>
              <w:t>Innovate for Impact: The AI for Good Challenge to Meet the SDGs</w:t>
            </w:r>
          </w:p>
        </w:tc>
      </w:tr>
    </w:tbl>
    <w:p w14:paraId="129AD52C" w14:textId="54BFA792" w:rsidR="00FA46A0" w:rsidRPr="0091341D" w:rsidRDefault="00B61012" w:rsidP="00F539DD">
      <w:pPr>
        <w:rPr>
          <w:sz w:val="22"/>
          <w:szCs w:val="22"/>
        </w:rPr>
      </w:pPr>
      <w:r w:rsidRPr="0091341D">
        <w:rPr>
          <w:sz w:val="22"/>
          <w:szCs w:val="22"/>
        </w:rPr>
        <w:t>Dear Sir/Madam,</w:t>
      </w:r>
    </w:p>
    <w:p w14:paraId="32322A9F" w14:textId="54E61986" w:rsidR="002B4CD6" w:rsidRPr="0091341D" w:rsidRDefault="002B4CD6" w:rsidP="00A31292">
      <w:pPr>
        <w:spacing w:before="100"/>
        <w:rPr>
          <w:rFonts w:eastAsia="Times New Roman"/>
          <w:color w:val="121512"/>
          <w:sz w:val="22"/>
          <w:szCs w:val="22"/>
        </w:rPr>
      </w:pPr>
      <w:r w:rsidRPr="0091341D">
        <w:rPr>
          <w:sz w:val="22"/>
          <w:szCs w:val="22"/>
        </w:rPr>
        <w:t xml:space="preserve">It is my pleasure to inform you that </w:t>
      </w:r>
      <w:r w:rsidR="00BB1DC4" w:rsidRPr="0091341D">
        <w:rPr>
          <w:sz w:val="22"/>
          <w:szCs w:val="22"/>
        </w:rPr>
        <w:t>the International Telecommunication Union (</w:t>
      </w:r>
      <w:r w:rsidRPr="0091341D">
        <w:rPr>
          <w:sz w:val="22"/>
          <w:szCs w:val="22"/>
        </w:rPr>
        <w:t>ITU</w:t>
      </w:r>
      <w:r w:rsidR="00BB1DC4" w:rsidRPr="0091341D">
        <w:rPr>
          <w:sz w:val="22"/>
          <w:szCs w:val="22"/>
        </w:rPr>
        <w:t>)</w:t>
      </w:r>
      <w:r w:rsidRPr="0091341D">
        <w:rPr>
          <w:sz w:val="22"/>
          <w:szCs w:val="22"/>
        </w:rPr>
        <w:t xml:space="preserve"> </w:t>
      </w:r>
      <w:r w:rsidRPr="0091341D">
        <w:rPr>
          <w:rFonts w:eastAsia="Times New Roman"/>
          <w:color w:val="121512"/>
          <w:sz w:val="22"/>
          <w:szCs w:val="22"/>
        </w:rPr>
        <w:t xml:space="preserve">AI for Good is launching </w:t>
      </w:r>
      <w:r w:rsidR="006F03A0" w:rsidRPr="0091341D">
        <w:rPr>
          <w:rFonts w:eastAsia="Times New Roman"/>
          <w:color w:val="121512"/>
          <w:sz w:val="22"/>
          <w:szCs w:val="22"/>
        </w:rPr>
        <w:t xml:space="preserve">three </w:t>
      </w:r>
      <w:r w:rsidRPr="0091341D">
        <w:rPr>
          <w:rFonts w:eastAsia="Times New Roman"/>
          <w:color w:val="121512"/>
          <w:sz w:val="22"/>
          <w:szCs w:val="22"/>
        </w:rPr>
        <w:t xml:space="preserve">simultaneous global calls to contribute to a global </w:t>
      </w:r>
      <w:r w:rsidR="00B10CD9" w:rsidRPr="0091341D">
        <w:rPr>
          <w:rFonts w:eastAsia="Times New Roman"/>
          <w:color w:val="121512"/>
          <w:sz w:val="22"/>
          <w:szCs w:val="22"/>
        </w:rPr>
        <w:t>repository</w:t>
      </w:r>
      <w:r w:rsidRPr="0091341D">
        <w:rPr>
          <w:rFonts w:eastAsia="Times New Roman"/>
          <w:color w:val="121512"/>
          <w:sz w:val="22"/>
          <w:szCs w:val="22"/>
        </w:rPr>
        <w:t xml:space="preserve"> of AI-driven solutions for sustainable development.</w:t>
      </w:r>
      <w:r w:rsidR="00B10CD9" w:rsidRPr="0091341D">
        <w:rPr>
          <w:rFonts w:eastAsia="Times New Roman"/>
          <w:color w:val="121512"/>
          <w:sz w:val="22"/>
          <w:szCs w:val="22"/>
        </w:rPr>
        <w:t xml:space="preserve"> </w:t>
      </w:r>
      <w:r w:rsidR="00040A69" w:rsidRPr="0091341D">
        <w:rPr>
          <w:rFonts w:eastAsia="Times New Roman"/>
          <w:color w:val="121512"/>
          <w:sz w:val="22"/>
          <w:szCs w:val="22"/>
        </w:rPr>
        <w:t xml:space="preserve">More detailed information has been published </w:t>
      </w:r>
      <w:r w:rsidR="00665751" w:rsidRPr="0091341D">
        <w:rPr>
          <w:rFonts w:eastAsia="Times New Roman"/>
          <w:color w:val="121512"/>
          <w:sz w:val="22"/>
          <w:szCs w:val="22"/>
        </w:rPr>
        <w:t>o</w:t>
      </w:r>
      <w:r w:rsidR="00040A69" w:rsidRPr="0091341D">
        <w:rPr>
          <w:rFonts w:eastAsia="Times New Roman"/>
          <w:color w:val="121512"/>
          <w:sz w:val="22"/>
          <w:szCs w:val="22"/>
        </w:rPr>
        <w:t xml:space="preserve">n the </w:t>
      </w:r>
      <w:hyperlink r:id="rId9" w:history="1">
        <w:r w:rsidR="00040A69" w:rsidRPr="0091341D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Innovate for Impact Portal</w:t>
        </w:r>
      </w:hyperlink>
      <w:r w:rsidR="00040A69" w:rsidRPr="0091341D">
        <w:rPr>
          <w:rFonts w:eastAsia="Times New Roman"/>
          <w:color w:val="121512"/>
          <w:sz w:val="22"/>
          <w:szCs w:val="22"/>
        </w:rPr>
        <w:t>.</w:t>
      </w:r>
    </w:p>
    <w:p w14:paraId="30842463" w14:textId="435B5021" w:rsidR="002B4CD6" w:rsidRPr="0091341D" w:rsidRDefault="002B4CD6" w:rsidP="009E08A6">
      <w:pPr>
        <w:pStyle w:val="ListParagraph"/>
        <w:numPr>
          <w:ilvl w:val="0"/>
          <w:numId w:val="17"/>
        </w:numPr>
        <w:spacing w:before="100" w:line="276" w:lineRule="auto"/>
        <w:rPr>
          <w:rFonts w:eastAsia="Times New Roman"/>
          <w:color w:val="121512"/>
          <w:sz w:val="22"/>
          <w:szCs w:val="22"/>
        </w:rPr>
      </w:pPr>
      <w:r w:rsidRPr="0091341D">
        <w:rPr>
          <w:rFonts w:eastAsia="Times New Roman"/>
          <w:color w:val="121512"/>
          <w:sz w:val="22"/>
          <w:szCs w:val="22"/>
        </w:rPr>
        <w:t xml:space="preserve">Submit </w:t>
      </w:r>
      <w:r w:rsidRPr="0091341D">
        <w:rPr>
          <w:color w:val="121512"/>
          <w:sz w:val="22"/>
          <w:szCs w:val="22"/>
        </w:rPr>
        <w:t xml:space="preserve">innovative AI use cases </w:t>
      </w:r>
      <w:r w:rsidRPr="0091341D">
        <w:rPr>
          <w:rFonts w:eastAsia="Times New Roman"/>
          <w:color w:val="121512"/>
          <w:sz w:val="22"/>
          <w:szCs w:val="22"/>
        </w:rPr>
        <w:t xml:space="preserve">impacting sustainable development goals </w:t>
      </w:r>
      <w:hyperlink r:id="rId10" w:anchor="usecase" w:history="1">
        <w:r w:rsidRPr="0091341D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here</w:t>
        </w:r>
        <w:r w:rsidR="00947795" w:rsidRPr="0091341D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.</w:t>
        </w:r>
      </w:hyperlink>
    </w:p>
    <w:p w14:paraId="112CB729" w14:textId="0E9B68B4" w:rsidR="002B4CD6" w:rsidRPr="0091341D" w:rsidRDefault="002B4CD6" w:rsidP="009E08A6">
      <w:pPr>
        <w:pStyle w:val="ListParagraph"/>
        <w:numPr>
          <w:ilvl w:val="0"/>
          <w:numId w:val="17"/>
        </w:numPr>
        <w:spacing w:before="100" w:line="276" w:lineRule="auto"/>
        <w:rPr>
          <w:rStyle w:val="Hyperlink"/>
          <w:color w:val="121512"/>
          <w:sz w:val="22"/>
          <w:szCs w:val="22"/>
          <w:u w:val="none"/>
        </w:rPr>
      </w:pPr>
      <w:r w:rsidRPr="0091341D">
        <w:rPr>
          <w:rFonts w:eastAsia="Times New Roman"/>
          <w:color w:val="121512"/>
          <w:sz w:val="22"/>
          <w:szCs w:val="22"/>
        </w:rPr>
        <w:t>Apply to be a</w:t>
      </w:r>
      <w:r w:rsidR="00112D17" w:rsidRPr="0091341D">
        <w:rPr>
          <w:rFonts w:eastAsia="Times New Roman"/>
          <w:color w:val="121512"/>
          <w:sz w:val="22"/>
          <w:szCs w:val="22"/>
        </w:rPr>
        <w:t>n</w:t>
      </w:r>
      <w:r w:rsidRPr="0091341D">
        <w:rPr>
          <w:rFonts w:eastAsia="Times New Roman"/>
          <w:color w:val="121512"/>
          <w:sz w:val="22"/>
          <w:szCs w:val="22"/>
        </w:rPr>
        <w:t xml:space="preserve"> “</w:t>
      </w:r>
      <w:r w:rsidRPr="0091341D">
        <w:rPr>
          <w:color w:val="121512"/>
          <w:sz w:val="22"/>
          <w:szCs w:val="22"/>
        </w:rPr>
        <w:t>AI for Good Scholar”</w:t>
      </w:r>
      <w:r w:rsidRPr="0091341D">
        <w:rPr>
          <w:rFonts w:eastAsia="Times New Roman"/>
          <w:color w:val="121512"/>
          <w:sz w:val="22"/>
          <w:szCs w:val="22"/>
        </w:rPr>
        <w:t xml:space="preserve"> </w:t>
      </w:r>
      <w:hyperlink r:id="rId11" w:anchor="scholar" w:history="1">
        <w:r w:rsidRPr="0091341D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here</w:t>
        </w:r>
        <w:r w:rsidR="006F03A0" w:rsidRPr="0091341D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.</w:t>
        </w:r>
      </w:hyperlink>
      <w:r w:rsidR="006F03A0" w:rsidRPr="0091341D">
        <w:rPr>
          <w:rStyle w:val="Hyperlink"/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EA17159" w14:textId="5B8E8185" w:rsidR="006F03A0" w:rsidRPr="0091341D" w:rsidRDefault="006F03A0" w:rsidP="00A31292">
      <w:pPr>
        <w:pStyle w:val="ListParagraph"/>
        <w:numPr>
          <w:ilvl w:val="0"/>
          <w:numId w:val="17"/>
        </w:numPr>
        <w:spacing w:before="100"/>
        <w:rPr>
          <w:sz w:val="22"/>
          <w:szCs w:val="22"/>
        </w:rPr>
      </w:pPr>
      <w:r w:rsidRPr="0091341D">
        <w:rPr>
          <w:color w:val="121512"/>
          <w:sz w:val="22"/>
          <w:szCs w:val="22"/>
        </w:rPr>
        <w:t xml:space="preserve">Apply to be a member of the Technical Advisory Committee </w:t>
      </w:r>
      <w:hyperlink r:id="rId12" w:anchor="advisor" w:history="1">
        <w:r w:rsidRPr="0091341D">
          <w:rPr>
            <w:rStyle w:val="Hyperlink"/>
            <w:sz w:val="22"/>
            <w:szCs w:val="22"/>
          </w:rPr>
          <w:t>here.</w:t>
        </w:r>
      </w:hyperlink>
      <w:r w:rsidRPr="0091341D">
        <w:rPr>
          <w:color w:val="121512"/>
          <w:sz w:val="22"/>
          <w:szCs w:val="22"/>
        </w:rPr>
        <w:t xml:space="preserve"> </w:t>
      </w:r>
    </w:p>
    <w:p w14:paraId="7B7B52D8" w14:textId="77777777" w:rsidR="002B4CD6" w:rsidRPr="0091341D" w:rsidRDefault="002B4CD6" w:rsidP="00A31292">
      <w:pPr>
        <w:spacing w:before="100"/>
        <w:rPr>
          <w:rFonts w:eastAsia="Times New Roman"/>
          <w:color w:val="121512"/>
          <w:sz w:val="22"/>
          <w:szCs w:val="22"/>
        </w:rPr>
      </w:pPr>
      <w:r w:rsidRPr="0091341D">
        <w:rPr>
          <w:color w:val="121512"/>
          <w:sz w:val="22"/>
          <w:szCs w:val="22"/>
        </w:rPr>
        <w:t xml:space="preserve">These global calls are </w:t>
      </w:r>
      <w:r w:rsidRPr="0091341D">
        <w:rPr>
          <w:rFonts w:eastAsia="Times New Roman"/>
          <w:color w:val="121512"/>
          <w:sz w:val="22"/>
          <w:szCs w:val="22"/>
        </w:rPr>
        <w:t>supported by the Ministry of Industry and Information Technology (MIIT) of China.</w:t>
      </w:r>
    </w:p>
    <w:p w14:paraId="0354B188" w14:textId="77777777" w:rsidR="00340DC1" w:rsidRPr="0091341D" w:rsidRDefault="006F03A0" w:rsidP="00A31292">
      <w:pPr>
        <w:spacing w:before="100"/>
        <w:rPr>
          <w:rFonts w:eastAsia="Times New Roman"/>
          <w:color w:val="121512"/>
          <w:sz w:val="22"/>
          <w:szCs w:val="22"/>
        </w:rPr>
      </w:pPr>
      <w:r w:rsidRPr="0091341D">
        <w:rPr>
          <w:rFonts w:eastAsia="Times New Roman"/>
          <w:color w:val="121512"/>
          <w:sz w:val="22"/>
          <w:szCs w:val="22"/>
        </w:rPr>
        <w:t>T</w:t>
      </w:r>
      <w:r w:rsidRPr="0091341D">
        <w:rPr>
          <w:rFonts w:eastAsia="Times New Roman"/>
          <w:color w:val="121512"/>
          <w:sz w:val="22"/>
          <w:szCs w:val="22"/>
          <w:lang w:val="en-US" w:eastAsia="zh-CN"/>
        </w:rPr>
        <w:t xml:space="preserve">hese three </w:t>
      </w:r>
      <w:r w:rsidR="002B4CD6" w:rsidRPr="0091341D">
        <w:rPr>
          <w:rFonts w:eastAsia="Times New Roman"/>
          <w:color w:val="121512"/>
          <w:sz w:val="22"/>
          <w:szCs w:val="22"/>
        </w:rPr>
        <w:t xml:space="preserve">calls are free of charge and open to individuals and organizations coming from a country that is a member of ITU. There </w:t>
      </w:r>
      <w:r w:rsidR="00823C1C" w:rsidRPr="0091341D">
        <w:rPr>
          <w:rFonts w:eastAsia="Times New Roman"/>
          <w:color w:val="121512"/>
          <w:sz w:val="22"/>
          <w:szCs w:val="22"/>
        </w:rPr>
        <w:t xml:space="preserve">are </w:t>
      </w:r>
      <w:r w:rsidR="002B4CD6" w:rsidRPr="0091341D">
        <w:rPr>
          <w:rFonts w:eastAsia="Times New Roman"/>
          <w:color w:val="121512"/>
          <w:sz w:val="22"/>
          <w:szCs w:val="22"/>
        </w:rPr>
        <w:t xml:space="preserve">several incentives linked to </w:t>
      </w:r>
      <w:r w:rsidRPr="0091341D">
        <w:rPr>
          <w:rFonts w:eastAsia="Times New Roman"/>
          <w:color w:val="121512"/>
          <w:sz w:val="22"/>
          <w:szCs w:val="22"/>
        </w:rPr>
        <w:t>the three</w:t>
      </w:r>
      <w:r w:rsidR="002B4CD6" w:rsidRPr="0091341D">
        <w:rPr>
          <w:rFonts w:eastAsia="Times New Roman"/>
          <w:color w:val="121512"/>
          <w:sz w:val="22"/>
          <w:szCs w:val="22"/>
        </w:rPr>
        <w:t xml:space="preserve"> calls</w:t>
      </w:r>
      <w:r w:rsidR="00823C1C" w:rsidRPr="0091341D">
        <w:rPr>
          <w:rFonts w:eastAsia="Times New Roman"/>
          <w:color w:val="121512"/>
          <w:sz w:val="22"/>
          <w:szCs w:val="22"/>
        </w:rPr>
        <w:t>:</w:t>
      </w:r>
      <w:r w:rsidR="002B4CD6" w:rsidRPr="0091341D">
        <w:rPr>
          <w:rFonts w:eastAsia="Times New Roman"/>
          <w:color w:val="121512"/>
          <w:sz w:val="22"/>
          <w:szCs w:val="22"/>
        </w:rPr>
        <w:t xml:space="preserve"> </w:t>
      </w:r>
    </w:p>
    <w:p w14:paraId="65F9D640" w14:textId="03D1130A" w:rsidR="00340DC1" w:rsidRPr="0091341D" w:rsidRDefault="00340DC1" w:rsidP="00A31292">
      <w:pPr>
        <w:spacing w:before="100"/>
        <w:rPr>
          <w:color w:val="121512"/>
          <w:sz w:val="22"/>
          <w:szCs w:val="22"/>
        </w:rPr>
      </w:pPr>
      <w:r w:rsidRPr="0091341D">
        <w:rPr>
          <w:rFonts w:eastAsia="Times New Roman"/>
          <w:color w:val="121512"/>
          <w:sz w:val="22"/>
          <w:szCs w:val="22"/>
        </w:rPr>
        <w:tab/>
      </w:r>
      <w:r w:rsidR="002B4CD6" w:rsidRPr="0091341D">
        <w:rPr>
          <w:rFonts w:eastAsia="Times New Roman"/>
          <w:color w:val="121512"/>
          <w:sz w:val="22"/>
          <w:szCs w:val="22"/>
        </w:rPr>
        <w:t xml:space="preserve">(a) selected </w:t>
      </w:r>
      <w:r w:rsidR="002B4CD6" w:rsidRPr="0091341D">
        <w:rPr>
          <w:color w:val="121512"/>
          <w:sz w:val="22"/>
          <w:szCs w:val="22"/>
        </w:rPr>
        <w:t xml:space="preserve">use cases from the submissions may be featured and highlighted at the AI for Good Global Summit in Geneva </w:t>
      </w:r>
      <w:r w:rsidR="00823C1C" w:rsidRPr="0091341D">
        <w:rPr>
          <w:color w:val="121512"/>
          <w:sz w:val="22"/>
          <w:szCs w:val="22"/>
        </w:rPr>
        <w:t>(</w:t>
      </w:r>
      <w:r w:rsidR="006F03A0" w:rsidRPr="0091341D">
        <w:rPr>
          <w:color w:val="121512"/>
          <w:sz w:val="22"/>
          <w:szCs w:val="22"/>
        </w:rPr>
        <w:t>8</w:t>
      </w:r>
      <w:r w:rsidR="00823C1C" w:rsidRPr="0091341D">
        <w:rPr>
          <w:color w:val="121512"/>
          <w:sz w:val="22"/>
          <w:szCs w:val="22"/>
        </w:rPr>
        <w:t>-</w:t>
      </w:r>
      <w:r w:rsidR="006F03A0" w:rsidRPr="0091341D">
        <w:rPr>
          <w:color w:val="121512"/>
          <w:sz w:val="22"/>
          <w:szCs w:val="22"/>
        </w:rPr>
        <w:t>11 J</w:t>
      </w:r>
      <w:r w:rsidR="006F03A0" w:rsidRPr="0091341D">
        <w:rPr>
          <w:color w:val="121512"/>
          <w:sz w:val="22"/>
          <w:szCs w:val="22"/>
          <w:lang w:val="en-US" w:eastAsia="zh-CN"/>
        </w:rPr>
        <w:t xml:space="preserve">uly </w:t>
      </w:r>
      <w:r w:rsidR="00823C1C" w:rsidRPr="0091341D">
        <w:rPr>
          <w:color w:val="121512"/>
          <w:sz w:val="22"/>
          <w:szCs w:val="22"/>
        </w:rPr>
        <w:t>202</w:t>
      </w:r>
      <w:r w:rsidR="006F03A0" w:rsidRPr="0091341D">
        <w:rPr>
          <w:color w:val="121512"/>
          <w:sz w:val="22"/>
          <w:szCs w:val="22"/>
        </w:rPr>
        <w:t>5</w:t>
      </w:r>
      <w:r w:rsidR="00823C1C" w:rsidRPr="0091341D">
        <w:rPr>
          <w:color w:val="121512"/>
          <w:sz w:val="22"/>
          <w:szCs w:val="22"/>
        </w:rPr>
        <w:t xml:space="preserve">) </w:t>
      </w:r>
      <w:r w:rsidR="002B4CD6" w:rsidRPr="0091341D">
        <w:rPr>
          <w:color w:val="121512"/>
          <w:sz w:val="22"/>
          <w:szCs w:val="22"/>
        </w:rPr>
        <w:t xml:space="preserve">and stand a chance to win mentoring, prizes and </w:t>
      </w:r>
      <w:proofErr w:type="gramStart"/>
      <w:r w:rsidR="002B4CD6" w:rsidRPr="0091341D">
        <w:rPr>
          <w:color w:val="121512"/>
          <w:sz w:val="22"/>
          <w:szCs w:val="22"/>
        </w:rPr>
        <w:t>resources</w:t>
      </w:r>
      <w:r w:rsidR="0095202D" w:rsidRPr="0091341D">
        <w:rPr>
          <w:color w:val="121512"/>
          <w:sz w:val="22"/>
          <w:szCs w:val="22"/>
        </w:rPr>
        <w:t>;</w:t>
      </w:r>
      <w:proofErr w:type="gramEnd"/>
      <w:r w:rsidR="002B4CD6" w:rsidRPr="0091341D">
        <w:rPr>
          <w:color w:val="121512"/>
          <w:sz w:val="22"/>
          <w:szCs w:val="22"/>
        </w:rPr>
        <w:t xml:space="preserve"> </w:t>
      </w:r>
      <w:bookmarkStart w:id="0" w:name="OLE_LINK186"/>
      <w:bookmarkStart w:id="1" w:name="OLE_LINK187"/>
    </w:p>
    <w:p w14:paraId="11645B08" w14:textId="35665AE5" w:rsidR="00340DC1" w:rsidRPr="0091341D" w:rsidRDefault="00340DC1" w:rsidP="00A31292">
      <w:pPr>
        <w:spacing w:before="100"/>
        <w:rPr>
          <w:color w:val="121512"/>
          <w:sz w:val="22"/>
          <w:szCs w:val="22"/>
        </w:rPr>
      </w:pPr>
      <w:r w:rsidRPr="0091341D">
        <w:rPr>
          <w:color w:val="121512"/>
          <w:sz w:val="22"/>
          <w:szCs w:val="22"/>
        </w:rPr>
        <w:tab/>
      </w:r>
      <w:r w:rsidR="002B4CD6" w:rsidRPr="0091341D">
        <w:rPr>
          <w:color w:val="121512"/>
          <w:sz w:val="22"/>
          <w:szCs w:val="22"/>
        </w:rPr>
        <w:t xml:space="preserve">(b) AI for Good Scholars </w:t>
      </w:r>
      <w:bookmarkEnd w:id="0"/>
      <w:bookmarkEnd w:id="1"/>
      <w:r w:rsidR="002B4CD6" w:rsidRPr="0091341D">
        <w:rPr>
          <w:color w:val="121512"/>
          <w:sz w:val="22"/>
          <w:szCs w:val="22"/>
        </w:rPr>
        <w:t xml:space="preserve">would work closely with ITU to develop, analyse and refine AI use cases for </w:t>
      </w:r>
      <w:r w:rsidR="0095202D" w:rsidRPr="0091341D">
        <w:rPr>
          <w:color w:val="121512"/>
          <w:sz w:val="22"/>
          <w:szCs w:val="22"/>
        </w:rPr>
        <w:t xml:space="preserve">the </w:t>
      </w:r>
      <w:r w:rsidR="002B4CD6" w:rsidRPr="0091341D">
        <w:rPr>
          <w:color w:val="121512"/>
          <w:sz w:val="22"/>
          <w:szCs w:val="22"/>
        </w:rPr>
        <w:t>SDGs</w:t>
      </w:r>
      <w:r w:rsidR="002D4987" w:rsidRPr="0091341D">
        <w:rPr>
          <w:color w:val="121512"/>
          <w:sz w:val="22"/>
          <w:szCs w:val="22"/>
        </w:rPr>
        <w:t xml:space="preserve"> and</w:t>
      </w:r>
      <w:r w:rsidR="002B4CD6" w:rsidRPr="0091341D">
        <w:rPr>
          <w:color w:val="121512"/>
          <w:sz w:val="22"/>
          <w:szCs w:val="22"/>
        </w:rPr>
        <w:t xml:space="preserve"> receive funding to attend the AI for Good Global Summit in Geneva, in addition to recognitions and </w:t>
      </w:r>
      <w:proofErr w:type="gramStart"/>
      <w:r w:rsidR="00AF3424" w:rsidRPr="0091341D">
        <w:rPr>
          <w:color w:val="121512"/>
          <w:sz w:val="22"/>
          <w:szCs w:val="22"/>
        </w:rPr>
        <w:t>mentoring</w:t>
      </w:r>
      <w:r w:rsidR="00AF3424" w:rsidRPr="0091341D">
        <w:rPr>
          <w:rFonts w:hint="eastAsia"/>
          <w:color w:val="121512"/>
          <w:sz w:val="22"/>
          <w:szCs w:val="22"/>
          <w:lang w:eastAsia="zh-CN"/>
        </w:rPr>
        <w:t>;</w:t>
      </w:r>
      <w:proofErr w:type="gramEnd"/>
      <w:r w:rsidR="006F03A0" w:rsidRPr="0091341D">
        <w:rPr>
          <w:color w:val="121512"/>
          <w:sz w:val="22"/>
          <w:szCs w:val="22"/>
        </w:rPr>
        <w:t xml:space="preserve"> </w:t>
      </w:r>
    </w:p>
    <w:p w14:paraId="45261617" w14:textId="14A44701" w:rsidR="002B4CD6" w:rsidRPr="0091341D" w:rsidRDefault="00340DC1" w:rsidP="00A31292">
      <w:pPr>
        <w:spacing w:before="100"/>
        <w:rPr>
          <w:color w:val="121512"/>
          <w:sz w:val="22"/>
          <w:szCs w:val="22"/>
          <w:lang w:val="en-US"/>
        </w:rPr>
      </w:pPr>
      <w:r w:rsidRPr="0091341D">
        <w:rPr>
          <w:color w:val="121512"/>
          <w:sz w:val="22"/>
          <w:szCs w:val="22"/>
        </w:rPr>
        <w:tab/>
      </w:r>
      <w:r w:rsidR="006F03A0" w:rsidRPr="0091341D">
        <w:rPr>
          <w:color w:val="121512"/>
          <w:sz w:val="22"/>
          <w:szCs w:val="22"/>
        </w:rPr>
        <w:t xml:space="preserve">(c) </w:t>
      </w:r>
      <w:r w:rsidRPr="0091341D">
        <w:rPr>
          <w:color w:val="121512"/>
          <w:sz w:val="22"/>
          <w:szCs w:val="22"/>
          <w:lang w:eastAsia="zh-CN"/>
        </w:rPr>
        <w:t>S</w:t>
      </w:r>
      <w:r w:rsidR="006F03A0" w:rsidRPr="0091341D">
        <w:rPr>
          <w:color w:val="121512"/>
          <w:sz w:val="22"/>
          <w:szCs w:val="22"/>
          <w:lang w:eastAsia="zh-CN"/>
        </w:rPr>
        <w:t xml:space="preserve">elected experts will evaluate use case applications and select the top use cases who will be featured at the main stage during the AI </w:t>
      </w:r>
      <w:r w:rsidR="006F03A0" w:rsidRPr="0091341D">
        <w:rPr>
          <w:color w:val="121512"/>
          <w:sz w:val="22"/>
          <w:szCs w:val="22"/>
          <w:lang w:val="en-US" w:eastAsia="zh-CN"/>
        </w:rPr>
        <w:t>for Good G</w:t>
      </w:r>
      <w:r w:rsidR="006F03A0" w:rsidRPr="0091341D">
        <w:rPr>
          <w:rFonts w:hint="eastAsia"/>
          <w:color w:val="121512"/>
          <w:sz w:val="22"/>
          <w:szCs w:val="22"/>
          <w:lang w:val="en-US" w:eastAsia="zh-CN"/>
        </w:rPr>
        <w:t>lobal</w:t>
      </w:r>
      <w:r w:rsidR="006F03A0" w:rsidRPr="0091341D">
        <w:rPr>
          <w:color w:val="121512"/>
          <w:sz w:val="22"/>
          <w:szCs w:val="22"/>
          <w:lang w:val="en-US" w:eastAsia="zh-CN"/>
        </w:rPr>
        <w:t xml:space="preserve"> Summit</w:t>
      </w:r>
      <w:r w:rsidR="006F03A0" w:rsidRPr="0091341D">
        <w:rPr>
          <w:color w:val="121512"/>
          <w:sz w:val="22"/>
          <w:szCs w:val="22"/>
          <w:lang w:eastAsia="zh-CN"/>
        </w:rPr>
        <w:t>, and the experts will also receive funding for their travel to G</w:t>
      </w:r>
      <w:r w:rsidR="006F03A0" w:rsidRPr="0091341D">
        <w:rPr>
          <w:color w:val="121512"/>
          <w:sz w:val="22"/>
          <w:szCs w:val="22"/>
          <w:lang w:val="en-US" w:eastAsia="zh-CN"/>
        </w:rPr>
        <w:t>eneva to attend the Summit.</w:t>
      </w:r>
    </w:p>
    <w:p w14:paraId="1C0AF0D5" w14:textId="7A19882C" w:rsidR="00B10CD9" w:rsidRPr="0091341D" w:rsidRDefault="00B10CD9" w:rsidP="00A31292">
      <w:pPr>
        <w:spacing w:before="100"/>
        <w:rPr>
          <w:rFonts w:eastAsia="Times New Roman"/>
          <w:color w:val="121512"/>
          <w:sz w:val="22"/>
          <w:szCs w:val="22"/>
        </w:rPr>
      </w:pPr>
      <w:bookmarkStart w:id="2" w:name="OLE_LINK54"/>
      <w:r w:rsidRPr="0091341D">
        <w:rPr>
          <w:color w:val="121512"/>
          <w:sz w:val="22"/>
          <w:szCs w:val="22"/>
        </w:rPr>
        <w:t xml:space="preserve">A detailed set of incentives along with the process and guidelines for submissions and evaluations </w:t>
      </w:r>
      <w:r w:rsidR="006F03A0" w:rsidRPr="0091341D">
        <w:rPr>
          <w:color w:val="121512"/>
          <w:sz w:val="22"/>
          <w:szCs w:val="22"/>
        </w:rPr>
        <w:t>has been</w:t>
      </w:r>
      <w:r w:rsidRPr="0091341D">
        <w:rPr>
          <w:color w:val="121512"/>
          <w:sz w:val="22"/>
          <w:szCs w:val="22"/>
        </w:rPr>
        <w:t xml:space="preserve"> published </w:t>
      </w:r>
      <w:r w:rsidR="004139EE" w:rsidRPr="0091341D">
        <w:rPr>
          <w:color w:val="121512"/>
          <w:sz w:val="22"/>
          <w:szCs w:val="22"/>
        </w:rPr>
        <w:t>o</w:t>
      </w:r>
      <w:r w:rsidRPr="0091341D">
        <w:rPr>
          <w:color w:val="121512"/>
          <w:sz w:val="22"/>
          <w:szCs w:val="22"/>
        </w:rPr>
        <w:t xml:space="preserve">n the </w:t>
      </w:r>
      <w:r w:rsidR="004139EE" w:rsidRPr="0091341D">
        <w:rPr>
          <w:i/>
          <w:iCs/>
          <w:color w:val="121512"/>
          <w:sz w:val="22"/>
          <w:szCs w:val="22"/>
        </w:rPr>
        <w:t>“</w:t>
      </w:r>
      <w:hyperlink r:id="rId13" w:history="1">
        <w:r w:rsidRPr="0091341D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Innovate for Impact</w:t>
        </w:r>
      </w:hyperlink>
      <w:r w:rsidR="003823FD" w:rsidRPr="0091341D">
        <w:rPr>
          <w:i/>
          <w:iCs/>
          <w:color w:val="121512"/>
          <w:sz w:val="22"/>
          <w:szCs w:val="22"/>
        </w:rPr>
        <w:t>”</w:t>
      </w:r>
      <w:r w:rsidRPr="0091341D">
        <w:rPr>
          <w:color w:val="121512"/>
          <w:sz w:val="22"/>
          <w:szCs w:val="22"/>
        </w:rPr>
        <w:t xml:space="preserve"> portal</w:t>
      </w:r>
      <w:bookmarkEnd w:id="2"/>
      <w:r w:rsidRPr="0091341D">
        <w:rPr>
          <w:color w:val="121512"/>
          <w:sz w:val="22"/>
          <w:szCs w:val="22"/>
        </w:rPr>
        <w:t>.</w:t>
      </w:r>
    </w:p>
    <w:p w14:paraId="2CF1C2E9" w14:textId="1DB7FBD2" w:rsidR="002B4CD6" w:rsidRPr="0091341D" w:rsidRDefault="002B4CD6" w:rsidP="00A31292">
      <w:pPr>
        <w:spacing w:before="100"/>
        <w:rPr>
          <w:rFonts w:eastAsia="Times New Roman"/>
          <w:color w:val="121512"/>
          <w:sz w:val="22"/>
          <w:szCs w:val="22"/>
        </w:rPr>
      </w:pPr>
      <w:r w:rsidRPr="0091341D">
        <w:rPr>
          <w:rFonts w:eastAsia="Times New Roman"/>
          <w:color w:val="121512"/>
          <w:sz w:val="22"/>
          <w:szCs w:val="22"/>
        </w:rPr>
        <w:t>We encourage submissions from a broad spectrum of participants, which include, but are not limited to:</w:t>
      </w:r>
    </w:p>
    <w:p w14:paraId="51CF1E90" w14:textId="3D52A0AD" w:rsidR="002B4CD6" w:rsidRPr="0091341D" w:rsidRDefault="002B4CD6" w:rsidP="009E08A6">
      <w:pPr>
        <w:pStyle w:val="ListParagraph"/>
        <w:numPr>
          <w:ilvl w:val="0"/>
          <w:numId w:val="16"/>
        </w:numPr>
        <w:spacing w:before="100" w:line="276" w:lineRule="auto"/>
        <w:ind w:left="714" w:hanging="357"/>
        <w:rPr>
          <w:rFonts w:eastAsia="Times New Roman"/>
          <w:color w:val="121512"/>
          <w:sz w:val="22"/>
          <w:szCs w:val="22"/>
        </w:rPr>
      </w:pPr>
      <w:r w:rsidRPr="0091341D">
        <w:rPr>
          <w:rFonts w:eastAsia="Times New Roman"/>
          <w:color w:val="121512"/>
          <w:sz w:val="22"/>
          <w:szCs w:val="22"/>
        </w:rPr>
        <w:t>Academia and Research Entities</w:t>
      </w:r>
    </w:p>
    <w:p w14:paraId="11D463D1" w14:textId="2DD2E3D3" w:rsidR="002B4CD6" w:rsidRPr="0091341D" w:rsidRDefault="002B4CD6" w:rsidP="009E08A6">
      <w:pPr>
        <w:pStyle w:val="ListParagraph"/>
        <w:numPr>
          <w:ilvl w:val="0"/>
          <w:numId w:val="16"/>
        </w:numPr>
        <w:spacing w:before="100" w:line="276" w:lineRule="auto"/>
        <w:rPr>
          <w:rFonts w:eastAsia="Times New Roman"/>
          <w:color w:val="121512"/>
          <w:sz w:val="22"/>
          <w:szCs w:val="22"/>
        </w:rPr>
      </w:pPr>
      <w:r w:rsidRPr="0091341D">
        <w:rPr>
          <w:rFonts w:eastAsia="Times New Roman"/>
          <w:color w:val="121512"/>
          <w:sz w:val="22"/>
          <w:szCs w:val="22"/>
        </w:rPr>
        <w:t>Startups</w:t>
      </w:r>
    </w:p>
    <w:p w14:paraId="1C05F2D0" w14:textId="0B28B083" w:rsidR="002B4CD6" w:rsidRPr="0091341D" w:rsidRDefault="002B4CD6" w:rsidP="009E08A6">
      <w:pPr>
        <w:pStyle w:val="ListParagraph"/>
        <w:numPr>
          <w:ilvl w:val="0"/>
          <w:numId w:val="16"/>
        </w:numPr>
        <w:spacing w:before="100" w:line="276" w:lineRule="auto"/>
        <w:rPr>
          <w:rFonts w:eastAsia="Times New Roman"/>
          <w:color w:val="121512"/>
          <w:sz w:val="22"/>
          <w:szCs w:val="22"/>
        </w:rPr>
      </w:pPr>
      <w:r w:rsidRPr="0091341D">
        <w:rPr>
          <w:rFonts w:eastAsia="Times New Roman"/>
          <w:color w:val="121512"/>
          <w:sz w:val="22"/>
          <w:szCs w:val="22"/>
        </w:rPr>
        <w:t>Industry</w:t>
      </w:r>
    </w:p>
    <w:p w14:paraId="2B40DDA5" w14:textId="1DAEDF25" w:rsidR="002B4CD6" w:rsidRPr="0091341D" w:rsidRDefault="002B4CD6" w:rsidP="009E08A6">
      <w:pPr>
        <w:pStyle w:val="ListParagraph"/>
        <w:numPr>
          <w:ilvl w:val="0"/>
          <w:numId w:val="16"/>
        </w:numPr>
        <w:spacing w:before="100" w:line="276" w:lineRule="auto"/>
        <w:rPr>
          <w:rFonts w:eastAsia="Times New Roman"/>
          <w:color w:val="121512"/>
          <w:sz w:val="22"/>
          <w:szCs w:val="22"/>
        </w:rPr>
      </w:pPr>
      <w:r w:rsidRPr="0091341D">
        <w:rPr>
          <w:rFonts w:eastAsia="Times New Roman"/>
          <w:color w:val="121512"/>
          <w:sz w:val="22"/>
          <w:szCs w:val="22"/>
        </w:rPr>
        <w:t>Policymakers and Government Bodies</w:t>
      </w:r>
    </w:p>
    <w:p w14:paraId="7283D2BD" w14:textId="771A90A3" w:rsidR="002B4CD6" w:rsidRPr="0091341D" w:rsidRDefault="002B4CD6" w:rsidP="009E08A6">
      <w:pPr>
        <w:pStyle w:val="ListParagraph"/>
        <w:numPr>
          <w:ilvl w:val="0"/>
          <w:numId w:val="16"/>
        </w:numPr>
        <w:spacing w:before="100" w:line="276" w:lineRule="auto"/>
        <w:rPr>
          <w:rFonts w:eastAsia="Times New Roman"/>
          <w:color w:val="121512"/>
          <w:sz w:val="22"/>
          <w:szCs w:val="22"/>
        </w:rPr>
      </w:pPr>
      <w:r w:rsidRPr="0091341D">
        <w:rPr>
          <w:rFonts w:eastAsia="Times New Roman"/>
          <w:color w:val="121512"/>
          <w:sz w:val="22"/>
          <w:szCs w:val="22"/>
        </w:rPr>
        <w:t>Non-Governmental Organizations (NGOs) and Civil Organizations</w:t>
      </w:r>
    </w:p>
    <w:p w14:paraId="463887A8" w14:textId="57581975" w:rsidR="002B4CD6" w:rsidRPr="0091341D" w:rsidRDefault="002B4CD6" w:rsidP="00A31292">
      <w:pPr>
        <w:pStyle w:val="ListParagraph"/>
        <w:numPr>
          <w:ilvl w:val="0"/>
          <w:numId w:val="16"/>
        </w:numPr>
        <w:spacing w:before="100"/>
        <w:rPr>
          <w:rFonts w:eastAsia="Times New Roman"/>
          <w:color w:val="121512"/>
          <w:sz w:val="22"/>
          <w:szCs w:val="22"/>
        </w:rPr>
      </w:pPr>
      <w:r w:rsidRPr="0091341D">
        <w:rPr>
          <w:rFonts w:eastAsia="Times New Roman"/>
          <w:color w:val="121512"/>
          <w:sz w:val="22"/>
          <w:szCs w:val="22"/>
        </w:rPr>
        <w:t>Individual Innovators</w:t>
      </w:r>
    </w:p>
    <w:p w14:paraId="29FB4BB4" w14:textId="2C48AE65" w:rsidR="002B4CD6" w:rsidRPr="0091341D" w:rsidRDefault="002B4CD6" w:rsidP="00A31292">
      <w:pPr>
        <w:spacing w:before="100"/>
        <w:rPr>
          <w:color w:val="121512"/>
          <w:sz w:val="22"/>
          <w:szCs w:val="22"/>
        </w:rPr>
      </w:pPr>
      <w:bookmarkStart w:id="3" w:name="OLE_LINK164"/>
      <w:bookmarkStart w:id="4" w:name="OLE_LINK165"/>
      <w:r w:rsidRPr="0091341D">
        <w:rPr>
          <w:color w:val="121512"/>
          <w:sz w:val="22"/>
          <w:szCs w:val="22"/>
        </w:rPr>
        <w:lastRenderedPageBreak/>
        <w:t>Gender balance and regional balance will be considered.</w:t>
      </w:r>
      <w:bookmarkEnd w:id="3"/>
      <w:bookmarkEnd w:id="4"/>
      <w:r w:rsidR="00BB1DC4" w:rsidRPr="0091341D">
        <w:rPr>
          <w:color w:val="121512"/>
          <w:sz w:val="22"/>
          <w:szCs w:val="22"/>
        </w:rPr>
        <w:t xml:space="preserve"> </w:t>
      </w:r>
      <w:r w:rsidRPr="0091341D">
        <w:rPr>
          <w:rFonts w:eastAsia="Times New Roman"/>
          <w:b/>
          <w:color w:val="121512"/>
          <w:sz w:val="22"/>
          <w:szCs w:val="22"/>
        </w:rPr>
        <w:t>Submissions for</w:t>
      </w:r>
      <w:r w:rsidR="006F03A0" w:rsidRPr="0091341D">
        <w:rPr>
          <w:rFonts w:eastAsia="Times New Roman"/>
          <w:b/>
          <w:color w:val="121512"/>
          <w:sz w:val="22"/>
          <w:szCs w:val="22"/>
        </w:rPr>
        <w:t xml:space="preserve"> the three</w:t>
      </w:r>
      <w:r w:rsidRPr="0091341D">
        <w:rPr>
          <w:rFonts w:eastAsia="Times New Roman"/>
          <w:b/>
          <w:color w:val="121512"/>
          <w:sz w:val="22"/>
          <w:szCs w:val="22"/>
        </w:rPr>
        <w:t xml:space="preserve"> calls </w:t>
      </w:r>
      <w:r w:rsidR="00C926B3" w:rsidRPr="0091341D">
        <w:rPr>
          <w:rFonts w:eastAsia="Times New Roman"/>
          <w:b/>
          <w:color w:val="121512"/>
          <w:sz w:val="22"/>
          <w:szCs w:val="22"/>
        </w:rPr>
        <w:t xml:space="preserve">should be sent </w:t>
      </w:r>
      <w:r w:rsidR="0091631A" w:rsidRPr="0091341D">
        <w:rPr>
          <w:rFonts w:eastAsia="Times New Roman"/>
          <w:b/>
          <w:color w:val="121512"/>
          <w:sz w:val="22"/>
          <w:szCs w:val="22"/>
        </w:rPr>
        <w:t>by</w:t>
      </w:r>
      <w:bookmarkStart w:id="5" w:name="OLE_LINK176"/>
      <w:bookmarkStart w:id="6" w:name="OLE_LINK177"/>
      <w:r w:rsidRPr="0091341D">
        <w:rPr>
          <w:rFonts w:eastAsia="Times New Roman"/>
          <w:b/>
          <w:color w:val="121512"/>
          <w:sz w:val="22"/>
          <w:szCs w:val="22"/>
        </w:rPr>
        <w:t xml:space="preserve"> </w:t>
      </w:r>
      <w:r w:rsidR="006F03A0" w:rsidRPr="0091341D">
        <w:rPr>
          <w:rFonts w:eastAsia="Times New Roman"/>
          <w:b/>
          <w:color w:val="121512"/>
          <w:sz w:val="22"/>
          <w:szCs w:val="22"/>
        </w:rPr>
        <w:t>15</w:t>
      </w:r>
      <w:r w:rsidR="00AD2B79" w:rsidRPr="0091341D">
        <w:rPr>
          <w:rFonts w:eastAsia="Times New Roman"/>
          <w:b/>
          <w:color w:val="121512"/>
          <w:sz w:val="22"/>
          <w:szCs w:val="22"/>
        </w:rPr>
        <w:t> </w:t>
      </w:r>
      <w:r w:rsidR="006F03A0" w:rsidRPr="0091341D">
        <w:rPr>
          <w:rFonts w:eastAsia="Times New Roman"/>
          <w:b/>
          <w:color w:val="121512"/>
          <w:sz w:val="22"/>
          <w:szCs w:val="22"/>
        </w:rPr>
        <w:t>F</w:t>
      </w:r>
      <w:r w:rsidR="006F03A0" w:rsidRPr="0091341D">
        <w:rPr>
          <w:rFonts w:eastAsia="Times New Roman"/>
          <w:b/>
          <w:color w:val="121512"/>
          <w:sz w:val="22"/>
          <w:szCs w:val="22"/>
          <w:lang w:val="en-US" w:eastAsia="zh-CN"/>
        </w:rPr>
        <w:t>ebruary</w:t>
      </w:r>
      <w:r w:rsidRPr="0091341D">
        <w:rPr>
          <w:rFonts w:eastAsia="Times New Roman"/>
          <w:b/>
          <w:color w:val="121512"/>
          <w:sz w:val="22"/>
          <w:szCs w:val="22"/>
        </w:rPr>
        <w:t xml:space="preserve"> 202</w:t>
      </w:r>
      <w:r w:rsidR="006F03A0" w:rsidRPr="0091341D">
        <w:rPr>
          <w:rFonts w:eastAsia="Times New Roman"/>
          <w:b/>
          <w:color w:val="121512"/>
          <w:sz w:val="22"/>
          <w:szCs w:val="22"/>
        </w:rPr>
        <w:t>5</w:t>
      </w:r>
      <w:r w:rsidRPr="0091341D">
        <w:rPr>
          <w:rFonts w:eastAsia="Times New Roman"/>
          <w:b/>
          <w:color w:val="121512"/>
          <w:sz w:val="22"/>
          <w:szCs w:val="22"/>
        </w:rPr>
        <w:t>.</w:t>
      </w:r>
      <w:bookmarkEnd w:id="5"/>
      <w:bookmarkEnd w:id="6"/>
    </w:p>
    <w:p w14:paraId="3E54CF7A" w14:textId="1E3800FE" w:rsidR="00FF2A94" w:rsidRPr="0091341D" w:rsidRDefault="002B4CD6" w:rsidP="00A31292">
      <w:pPr>
        <w:spacing w:before="100"/>
        <w:rPr>
          <w:sz w:val="22"/>
          <w:szCs w:val="22"/>
          <w:lang w:eastAsia="zh-CN"/>
        </w:rPr>
      </w:pPr>
      <w:r w:rsidRPr="0091341D">
        <w:rPr>
          <w:sz w:val="22"/>
          <w:szCs w:val="22"/>
        </w:rPr>
        <w:t xml:space="preserve">For any additional information you may require, please contact </w:t>
      </w:r>
      <w:hyperlink r:id="rId14" w:history="1">
        <w:r w:rsidR="00FF2A94" w:rsidRPr="0091341D">
          <w:rPr>
            <w:rStyle w:val="Hyperlink"/>
            <w:sz w:val="22"/>
            <w:szCs w:val="22"/>
          </w:rPr>
          <w:t>ai-calls@itu.int</w:t>
        </w:r>
      </w:hyperlink>
      <w:r w:rsidR="00FF2A94" w:rsidRPr="0091341D">
        <w:rPr>
          <w:rFonts w:hint="eastAsia"/>
          <w:sz w:val="22"/>
          <w:szCs w:val="22"/>
          <w:lang w:eastAsia="zh-CN"/>
        </w:rPr>
        <w:t>.</w:t>
      </w:r>
    </w:p>
    <w:p w14:paraId="64FF8935" w14:textId="0170C44B" w:rsidR="00BB1DC4" w:rsidRPr="0091341D" w:rsidRDefault="00B61012" w:rsidP="00A31292">
      <w:pPr>
        <w:spacing w:before="100"/>
        <w:rPr>
          <w:sz w:val="22"/>
          <w:szCs w:val="22"/>
        </w:rPr>
      </w:pPr>
      <w:r w:rsidRPr="0091341D">
        <w:rPr>
          <w:sz w:val="22"/>
          <w:szCs w:val="22"/>
        </w:rPr>
        <w:t>Yours faithfully,</w:t>
      </w:r>
    </w:p>
    <w:p w14:paraId="3420344F" w14:textId="337D6E16" w:rsidR="00D62702" w:rsidRPr="00F539DD" w:rsidRDefault="00525B32" w:rsidP="009E08A6">
      <w:pPr>
        <w:spacing w:before="72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DF51A7B" wp14:editId="76EDDF18">
            <wp:simplePos x="0" y="0"/>
            <wp:positionH relativeFrom="column">
              <wp:posOffset>0</wp:posOffset>
            </wp:positionH>
            <wp:positionV relativeFrom="paragraph">
              <wp:posOffset>38313</wp:posOffset>
            </wp:positionV>
            <wp:extent cx="653920" cy="276225"/>
            <wp:effectExtent l="0" t="0" r="0" b="0"/>
            <wp:wrapNone/>
            <wp:docPr id="11716076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07615" name="Picture 117160761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2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3CD" w:rsidRPr="00F539DD">
        <w:rPr>
          <w:sz w:val="22"/>
          <w:szCs w:val="22"/>
        </w:rPr>
        <w:t>Seizo Onoe</w:t>
      </w:r>
      <w:r w:rsidR="009E08A6">
        <w:rPr>
          <w:sz w:val="22"/>
          <w:szCs w:val="22"/>
        </w:rPr>
        <w:br/>
      </w:r>
      <w:r w:rsidR="00B61012" w:rsidRPr="00F539DD">
        <w:rPr>
          <w:sz w:val="22"/>
          <w:szCs w:val="22"/>
        </w:rPr>
        <w:t>Director of the Telecommunication</w:t>
      </w:r>
      <w:r w:rsidR="00B61012" w:rsidRPr="00F539DD">
        <w:rPr>
          <w:sz w:val="22"/>
          <w:szCs w:val="22"/>
        </w:rPr>
        <w:br/>
        <w:t>Standardization Bureau</w:t>
      </w:r>
    </w:p>
    <w:sectPr w:rsidR="00D62702" w:rsidRPr="00F539DD" w:rsidSect="00F24D4C">
      <w:head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3DDED" w14:textId="77777777" w:rsidR="00B11AB6" w:rsidRDefault="00B11AB6">
      <w:r>
        <w:separator/>
      </w:r>
    </w:p>
  </w:endnote>
  <w:endnote w:type="continuationSeparator" w:id="0">
    <w:p w14:paraId="7A87FDDB" w14:textId="77777777" w:rsidR="00B11AB6" w:rsidRDefault="00B1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3D19" w14:textId="20670115" w:rsidR="00FA46A0" w:rsidRPr="00F539DD" w:rsidRDefault="00F539DD" w:rsidP="00F539DD">
    <w:pPr>
      <w:pStyle w:val="FirstFooter"/>
      <w:ind w:left="-397" w:right="-397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6860" w14:textId="77777777" w:rsidR="00B11AB6" w:rsidRDefault="00B11AB6">
      <w:r>
        <w:t>____________________</w:t>
      </w:r>
    </w:p>
  </w:footnote>
  <w:footnote w:type="continuationSeparator" w:id="0">
    <w:p w14:paraId="301F932C" w14:textId="77777777" w:rsidR="00B11AB6" w:rsidRDefault="00B1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BC766" w14:textId="6DD44DC8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EB1848">
      <w:rPr>
        <w:noProof/>
      </w:rPr>
      <w:t>009</w:t>
    </w:r>
  </w:p>
  <w:p w14:paraId="409D9801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B08E1"/>
    <w:multiLevelType w:val="multilevel"/>
    <w:tmpl w:val="BF38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37B88"/>
    <w:multiLevelType w:val="hybridMultilevel"/>
    <w:tmpl w:val="A4DC20F2"/>
    <w:lvl w:ilvl="0" w:tplc="29529B36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93DD8"/>
    <w:multiLevelType w:val="hybridMultilevel"/>
    <w:tmpl w:val="B54E189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EE0175"/>
    <w:multiLevelType w:val="hybridMultilevel"/>
    <w:tmpl w:val="C7F205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A5F70"/>
    <w:multiLevelType w:val="hybridMultilevel"/>
    <w:tmpl w:val="EB940E5A"/>
    <w:lvl w:ilvl="0" w:tplc="1A5C92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D80496"/>
    <w:multiLevelType w:val="hybridMultilevel"/>
    <w:tmpl w:val="DC54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F1425"/>
    <w:multiLevelType w:val="hybridMultilevel"/>
    <w:tmpl w:val="0EC0259A"/>
    <w:lvl w:ilvl="0" w:tplc="29529B3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045367">
    <w:abstractNumId w:val="9"/>
  </w:num>
  <w:num w:numId="2" w16cid:durableId="1615138970">
    <w:abstractNumId w:val="7"/>
  </w:num>
  <w:num w:numId="3" w16cid:durableId="1443307638">
    <w:abstractNumId w:val="6"/>
  </w:num>
  <w:num w:numId="4" w16cid:durableId="222907371">
    <w:abstractNumId w:val="5"/>
  </w:num>
  <w:num w:numId="5" w16cid:durableId="1057554877">
    <w:abstractNumId w:val="4"/>
  </w:num>
  <w:num w:numId="6" w16cid:durableId="836841275">
    <w:abstractNumId w:val="8"/>
  </w:num>
  <w:num w:numId="7" w16cid:durableId="2055958508">
    <w:abstractNumId w:val="3"/>
  </w:num>
  <w:num w:numId="8" w16cid:durableId="193350481">
    <w:abstractNumId w:val="2"/>
  </w:num>
  <w:num w:numId="9" w16cid:durableId="596862707">
    <w:abstractNumId w:val="1"/>
  </w:num>
  <w:num w:numId="10" w16cid:durableId="725370554">
    <w:abstractNumId w:val="0"/>
  </w:num>
  <w:num w:numId="11" w16cid:durableId="999773917">
    <w:abstractNumId w:val="10"/>
  </w:num>
  <w:num w:numId="12" w16cid:durableId="186531643">
    <w:abstractNumId w:val="16"/>
  </w:num>
  <w:num w:numId="13" w16cid:durableId="1802184543">
    <w:abstractNumId w:val="11"/>
  </w:num>
  <w:num w:numId="14" w16cid:durableId="1710951357">
    <w:abstractNumId w:val="14"/>
  </w:num>
  <w:num w:numId="15" w16cid:durableId="1383866371">
    <w:abstractNumId w:val="12"/>
  </w:num>
  <w:num w:numId="16" w16cid:durableId="143741389">
    <w:abstractNumId w:val="15"/>
  </w:num>
  <w:num w:numId="17" w16cid:durableId="8458248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CD"/>
    <w:rsid w:val="00022E6B"/>
    <w:rsid w:val="00040A69"/>
    <w:rsid w:val="00074D32"/>
    <w:rsid w:val="000B15C8"/>
    <w:rsid w:val="000E62B1"/>
    <w:rsid w:val="001018E1"/>
    <w:rsid w:val="00103055"/>
    <w:rsid w:val="00112D17"/>
    <w:rsid w:val="00112F37"/>
    <w:rsid w:val="00114566"/>
    <w:rsid w:val="0015716B"/>
    <w:rsid w:val="001A34EC"/>
    <w:rsid w:val="001F52F5"/>
    <w:rsid w:val="00231FEA"/>
    <w:rsid w:val="00265D1E"/>
    <w:rsid w:val="002B4CD6"/>
    <w:rsid w:val="002D4987"/>
    <w:rsid w:val="003346F2"/>
    <w:rsid w:val="00340DC1"/>
    <w:rsid w:val="00356B73"/>
    <w:rsid w:val="003746A5"/>
    <w:rsid w:val="003823FD"/>
    <w:rsid w:val="003D4690"/>
    <w:rsid w:val="003F0B1D"/>
    <w:rsid w:val="004139EE"/>
    <w:rsid w:val="00453CEA"/>
    <w:rsid w:val="00487330"/>
    <w:rsid w:val="00503ADB"/>
    <w:rsid w:val="00524EC0"/>
    <w:rsid w:val="00525B32"/>
    <w:rsid w:val="00534857"/>
    <w:rsid w:val="005E003C"/>
    <w:rsid w:val="00665751"/>
    <w:rsid w:val="006B13EC"/>
    <w:rsid w:val="006F03A0"/>
    <w:rsid w:val="00730A58"/>
    <w:rsid w:val="0079763E"/>
    <w:rsid w:val="007A65E8"/>
    <w:rsid w:val="007F2C39"/>
    <w:rsid w:val="00800CEB"/>
    <w:rsid w:val="00815F42"/>
    <w:rsid w:val="00823C1C"/>
    <w:rsid w:val="008C6D14"/>
    <w:rsid w:val="00902E09"/>
    <w:rsid w:val="0091341D"/>
    <w:rsid w:val="0091631A"/>
    <w:rsid w:val="00947795"/>
    <w:rsid w:val="0095202D"/>
    <w:rsid w:val="00963900"/>
    <w:rsid w:val="009747C5"/>
    <w:rsid w:val="00975AE6"/>
    <w:rsid w:val="009B2EB5"/>
    <w:rsid w:val="009E08A6"/>
    <w:rsid w:val="00A31292"/>
    <w:rsid w:val="00A657FD"/>
    <w:rsid w:val="00A72C30"/>
    <w:rsid w:val="00AD2B79"/>
    <w:rsid w:val="00AF3424"/>
    <w:rsid w:val="00B10CD9"/>
    <w:rsid w:val="00B11AB6"/>
    <w:rsid w:val="00B2488F"/>
    <w:rsid w:val="00B4669D"/>
    <w:rsid w:val="00B543CD"/>
    <w:rsid w:val="00B61012"/>
    <w:rsid w:val="00BB1DC4"/>
    <w:rsid w:val="00C40367"/>
    <w:rsid w:val="00C926B3"/>
    <w:rsid w:val="00C95BF6"/>
    <w:rsid w:val="00CE4A97"/>
    <w:rsid w:val="00D0091E"/>
    <w:rsid w:val="00D160D2"/>
    <w:rsid w:val="00D62702"/>
    <w:rsid w:val="00E14A6F"/>
    <w:rsid w:val="00E507FB"/>
    <w:rsid w:val="00EA2114"/>
    <w:rsid w:val="00EB1848"/>
    <w:rsid w:val="00EC15F4"/>
    <w:rsid w:val="00F22314"/>
    <w:rsid w:val="00F24D4C"/>
    <w:rsid w:val="00F44740"/>
    <w:rsid w:val="00F539DD"/>
    <w:rsid w:val="00F648AC"/>
    <w:rsid w:val="00FA46A0"/>
    <w:rsid w:val="00FC1C19"/>
    <w:rsid w:val="00FF2A94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ED64"/>
  <w15:docId w15:val="{954E876C-9571-4B6E-A80C-E6BCF204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customStyle="1" w:styleId="Default">
    <w:name w:val="Default"/>
    <w:rsid w:val="002B4CD6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GB" w:eastAsia="ja-JP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2B4CD6"/>
    <w:rPr>
      <w:color w:val="605E5C"/>
      <w:shd w:val="clear" w:color="auto" w:fill="E1DFDD"/>
    </w:rPr>
  </w:style>
  <w:style w:type="paragraph" w:styleId="Revision">
    <w:name w:val="Revision"/>
    <w:hidden/>
    <w:rsid w:val="00074D32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94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-calls@itu.int" TargetMode="External"/><Relationship Id="rId13" Type="http://schemas.openxmlformats.org/officeDocument/2006/relationships/hyperlink" Target="https://aiforgood.itu.int/innovate-for-impact-202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iforgood.itu.int/innovate-for-impact-2025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forgood.itu.int/innovate-for-impact-2025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aiforgood.itu.int/innovate-for-impact-202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iforgood.itu.int/innovate-for-impact-2025/" TargetMode="External"/><Relationship Id="rId14" Type="http://schemas.openxmlformats.org/officeDocument/2006/relationships/hyperlink" Target="mailto:ai-call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BIRI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Dabiri, Ayda</dc:creator>
  <cp:keywords/>
  <dc:description/>
  <cp:lastModifiedBy>Braud, Olivia</cp:lastModifiedBy>
  <cp:revision>5</cp:revision>
  <cp:lastPrinted>2024-12-11T14:54:00Z</cp:lastPrinted>
  <dcterms:created xsi:type="dcterms:W3CDTF">2024-12-11T14:17:00Z</dcterms:created>
  <dcterms:modified xsi:type="dcterms:W3CDTF">2024-12-11T14:54:00Z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