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413"/>
        <w:gridCol w:w="5037"/>
      </w:tblGrid>
      <w:tr w:rsidR="00EF6A23" w:rsidRPr="00B9608A" w14:paraId="3FDAE1F3" w14:textId="77777777" w:rsidTr="003F083D">
        <w:trPr>
          <w:cantSplit/>
        </w:trPr>
        <w:tc>
          <w:tcPr>
            <w:tcW w:w="0" w:type="auto"/>
            <w:vAlign w:val="center"/>
          </w:tcPr>
          <w:p w14:paraId="3DE42CAA" w14:textId="77777777" w:rsidR="00EF6A23" w:rsidRPr="00B9608A" w:rsidRDefault="00EF6A23" w:rsidP="00D14F31">
            <w:pPr>
              <w:tabs>
                <w:tab w:val="right" w:pos="8732"/>
              </w:tabs>
              <w:spacing w:before="0"/>
              <w:rPr>
                <w:b/>
                <w:bCs/>
                <w:iCs/>
                <w:color w:val="FFFFFF"/>
                <w:sz w:val="30"/>
                <w:szCs w:val="30"/>
              </w:rPr>
            </w:pPr>
            <w:r w:rsidRPr="00B9608A">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9608A" w:rsidRDefault="00EF6A23" w:rsidP="00EF6A23">
            <w:pPr>
              <w:spacing w:before="0"/>
              <w:rPr>
                <w:rFonts w:cs="Times New Roman Bold"/>
                <w:b/>
                <w:bCs/>
                <w:iCs/>
                <w:smallCaps/>
                <w:sz w:val="34"/>
                <w:szCs w:val="34"/>
              </w:rPr>
            </w:pPr>
            <w:r w:rsidRPr="00B9608A">
              <w:rPr>
                <w:rFonts w:cs="Times New Roman Bold"/>
                <w:b/>
                <w:bCs/>
                <w:iCs/>
                <w:smallCaps/>
                <w:sz w:val="34"/>
                <w:szCs w:val="34"/>
              </w:rPr>
              <w:t>Union internationale des télécommunications</w:t>
            </w:r>
          </w:p>
          <w:p w14:paraId="089E66D0" w14:textId="77777777" w:rsidR="00EF6A23" w:rsidRPr="00B9608A" w:rsidRDefault="00EF6A23" w:rsidP="00EF6A23">
            <w:pPr>
              <w:spacing w:before="0"/>
              <w:rPr>
                <w:color w:val="FFFFFF"/>
                <w:sz w:val="26"/>
                <w:szCs w:val="26"/>
              </w:rPr>
            </w:pPr>
            <w:r w:rsidRPr="00B9608A">
              <w:rPr>
                <w:rFonts w:cs="Times New Roman Bold"/>
                <w:b/>
                <w:bCs/>
                <w:iCs/>
                <w:smallCaps/>
                <w:sz w:val="28"/>
                <w:szCs w:val="28"/>
              </w:rPr>
              <w:t>B</w:t>
            </w:r>
            <w:r w:rsidRPr="00B9608A">
              <w:rPr>
                <w:b/>
                <w:bCs/>
                <w:iCs/>
                <w:smallCaps/>
                <w:sz w:val="28"/>
                <w:szCs w:val="28"/>
              </w:rPr>
              <w:t>ureau de la Normalisation des Télécommunications</w:t>
            </w:r>
          </w:p>
        </w:tc>
      </w:tr>
      <w:tr w:rsidR="00036F4F" w:rsidRPr="00EB263B" w14:paraId="18B25741" w14:textId="77777777" w:rsidTr="00307FB4">
        <w:trPr>
          <w:cantSplit/>
        </w:trPr>
        <w:tc>
          <w:tcPr>
            <w:tcW w:w="0" w:type="auto"/>
          </w:tcPr>
          <w:p w14:paraId="4B1AFD72" w14:textId="77777777" w:rsidR="00036F4F" w:rsidRPr="00EB263B" w:rsidRDefault="00036F4F" w:rsidP="00A5280F">
            <w:pPr>
              <w:tabs>
                <w:tab w:val="left" w:pos="4111"/>
              </w:tabs>
              <w:spacing w:before="10"/>
              <w:ind w:left="57"/>
              <w:rPr>
                <w:sz w:val="22"/>
                <w:szCs w:val="22"/>
              </w:rPr>
            </w:pPr>
          </w:p>
        </w:tc>
        <w:tc>
          <w:tcPr>
            <w:tcW w:w="3399" w:type="dxa"/>
          </w:tcPr>
          <w:p w14:paraId="6579D3E8" w14:textId="77777777" w:rsidR="00036F4F" w:rsidRPr="00EB263B" w:rsidRDefault="00036F4F" w:rsidP="00A5280F">
            <w:pPr>
              <w:tabs>
                <w:tab w:val="left" w:pos="4111"/>
              </w:tabs>
              <w:spacing w:before="10"/>
              <w:ind w:left="57"/>
              <w:rPr>
                <w:b/>
                <w:sz w:val="22"/>
                <w:szCs w:val="22"/>
              </w:rPr>
            </w:pPr>
          </w:p>
        </w:tc>
        <w:tc>
          <w:tcPr>
            <w:tcW w:w="5051" w:type="dxa"/>
          </w:tcPr>
          <w:p w14:paraId="0DC34ECA" w14:textId="1324B562" w:rsidR="00036F4F" w:rsidRPr="00EB263B" w:rsidRDefault="00036F4F" w:rsidP="00A5645A">
            <w:pPr>
              <w:tabs>
                <w:tab w:val="clear" w:pos="794"/>
                <w:tab w:val="clear" w:pos="1191"/>
                <w:tab w:val="clear" w:pos="1588"/>
                <w:tab w:val="clear" w:pos="1985"/>
                <w:tab w:val="left" w:pos="284"/>
              </w:tabs>
              <w:spacing w:after="120"/>
              <w:ind w:left="284" w:hanging="227"/>
              <w:rPr>
                <w:sz w:val="22"/>
                <w:szCs w:val="22"/>
              </w:rPr>
            </w:pPr>
            <w:r w:rsidRPr="00EB263B">
              <w:rPr>
                <w:sz w:val="22"/>
                <w:szCs w:val="22"/>
              </w:rPr>
              <w:t>Genève, le</w:t>
            </w:r>
            <w:r w:rsidR="004419E9" w:rsidRPr="00EB263B">
              <w:rPr>
                <w:sz w:val="22"/>
                <w:szCs w:val="22"/>
              </w:rPr>
              <w:t xml:space="preserve"> </w:t>
            </w:r>
            <w:r w:rsidR="00CE3C55" w:rsidRPr="00EB263B">
              <w:rPr>
                <w:sz w:val="22"/>
                <w:szCs w:val="22"/>
              </w:rPr>
              <w:t>11 décembre 2024</w:t>
            </w:r>
          </w:p>
        </w:tc>
      </w:tr>
      <w:tr w:rsidR="00445B68" w:rsidRPr="00EB263B" w14:paraId="16CDDFEF" w14:textId="77777777" w:rsidTr="00307FB4">
        <w:trPr>
          <w:cantSplit/>
          <w:trHeight w:val="340"/>
        </w:trPr>
        <w:tc>
          <w:tcPr>
            <w:tcW w:w="0" w:type="auto"/>
          </w:tcPr>
          <w:p w14:paraId="3EFF375D" w14:textId="58556577" w:rsidR="00445B68" w:rsidRPr="00EB263B" w:rsidRDefault="00445B68" w:rsidP="00307FB4">
            <w:pPr>
              <w:tabs>
                <w:tab w:val="left" w:pos="4111"/>
              </w:tabs>
              <w:spacing w:before="10"/>
              <w:ind w:left="57"/>
              <w:rPr>
                <w:b/>
                <w:bCs/>
                <w:sz w:val="22"/>
                <w:szCs w:val="22"/>
              </w:rPr>
            </w:pPr>
            <w:r w:rsidRPr="00EB263B">
              <w:rPr>
                <w:b/>
                <w:bCs/>
                <w:sz w:val="22"/>
                <w:szCs w:val="22"/>
              </w:rPr>
              <w:t>Réf.:</w:t>
            </w:r>
          </w:p>
        </w:tc>
        <w:tc>
          <w:tcPr>
            <w:tcW w:w="3399" w:type="dxa"/>
          </w:tcPr>
          <w:p w14:paraId="5FFBBC9B" w14:textId="210027CC" w:rsidR="00445B68" w:rsidRPr="00EB263B" w:rsidRDefault="00445B68" w:rsidP="00A5280F">
            <w:pPr>
              <w:tabs>
                <w:tab w:val="left" w:pos="4111"/>
              </w:tabs>
              <w:spacing w:before="10"/>
              <w:ind w:left="57"/>
              <w:rPr>
                <w:b/>
                <w:sz w:val="22"/>
                <w:szCs w:val="22"/>
              </w:rPr>
            </w:pPr>
            <w:r w:rsidRPr="00EB263B">
              <w:rPr>
                <w:b/>
                <w:sz w:val="22"/>
                <w:szCs w:val="22"/>
              </w:rPr>
              <w:t xml:space="preserve">Circulaire TSB </w:t>
            </w:r>
            <w:r w:rsidR="00CE3C55" w:rsidRPr="00EB263B">
              <w:rPr>
                <w:b/>
                <w:sz w:val="22"/>
                <w:szCs w:val="22"/>
              </w:rPr>
              <w:t>008</w:t>
            </w:r>
          </w:p>
          <w:p w14:paraId="577F6DA2" w14:textId="5F02DEFB" w:rsidR="00445B68" w:rsidRPr="00EB263B" w:rsidRDefault="00CE3C55" w:rsidP="00307FB4">
            <w:pPr>
              <w:tabs>
                <w:tab w:val="left" w:pos="4111"/>
              </w:tabs>
              <w:spacing w:before="10"/>
              <w:ind w:left="57"/>
              <w:rPr>
                <w:b/>
                <w:bCs/>
                <w:sz w:val="22"/>
                <w:szCs w:val="22"/>
              </w:rPr>
            </w:pPr>
            <w:r w:rsidRPr="00EB263B">
              <w:rPr>
                <w:b/>
                <w:bCs/>
                <w:sz w:val="22"/>
                <w:szCs w:val="22"/>
              </w:rPr>
              <w:t>Manifestations du TSB/SP</w:t>
            </w:r>
          </w:p>
        </w:tc>
        <w:tc>
          <w:tcPr>
            <w:tcW w:w="5051" w:type="dxa"/>
            <w:vMerge w:val="restart"/>
          </w:tcPr>
          <w:p w14:paraId="56FFB697" w14:textId="77777777" w:rsidR="00307FB4" w:rsidRPr="00EB263B" w:rsidRDefault="00307FB4" w:rsidP="00307FB4">
            <w:pPr>
              <w:tabs>
                <w:tab w:val="left" w:pos="226"/>
                <w:tab w:val="left" w:pos="4111"/>
              </w:tabs>
              <w:spacing w:before="0"/>
              <w:ind w:left="226" w:hanging="226"/>
              <w:rPr>
                <w:b/>
                <w:bCs/>
                <w:sz w:val="22"/>
                <w:szCs w:val="22"/>
              </w:rPr>
            </w:pPr>
            <w:bookmarkStart w:id="0" w:name="Addressee_F"/>
            <w:bookmarkEnd w:id="0"/>
            <w:r w:rsidRPr="00EB263B">
              <w:rPr>
                <w:b/>
                <w:bCs/>
                <w:sz w:val="22"/>
                <w:szCs w:val="22"/>
              </w:rPr>
              <w:t>Aux:</w:t>
            </w:r>
          </w:p>
          <w:p w14:paraId="35271D8E" w14:textId="536C0CE8" w:rsidR="00307FB4" w:rsidRPr="00EB263B" w:rsidRDefault="00307FB4" w:rsidP="00307FB4">
            <w:pPr>
              <w:tabs>
                <w:tab w:val="left" w:pos="4111"/>
              </w:tabs>
              <w:spacing w:before="0"/>
              <w:ind w:left="426" w:hanging="426"/>
              <w:rPr>
                <w:sz w:val="22"/>
                <w:szCs w:val="22"/>
              </w:rPr>
            </w:pPr>
            <w:r w:rsidRPr="00EB263B">
              <w:rPr>
                <w:sz w:val="22"/>
                <w:szCs w:val="22"/>
              </w:rPr>
              <w:t>–</w:t>
            </w:r>
            <w:r w:rsidRPr="00EB263B">
              <w:rPr>
                <w:sz w:val="22"/>
                <w:szCs w:val="22"/>
              </w:rPr>
              <w:tab/>
              <w:t>Administrations des États Membres de l'Union;</w:t>
            </w:r>
          </w:p>
          <w:p w14:paraId="38A5A6AE" w14:textId="47344D7B" w:rsidR="00307FB4" w:rsidRPr="00EB263B" w:rsidRDefault="00307FB4" w:rsidP="00307FB4">
            <w:pPr>
              <w:tabs>
                <w:tab w:val="left" w:pos="4111"/>
              </w:tabs>
              <w:spacing w:before="0"/>
              <w:ind w:left="426" w:hanging="426"/>
              <w:rPr>
                <w:sz w:val="22"/>
                <w:szCs w:val="22"/>
              </w:rPr>
            </w:pPr>
            <w:r w:rsidRPr="00EB263B">
              <w:rPr>
                <w:sz w:val="22"/>
                <w:szCs w:val="22"/>
              </w:rPr>
              <w:t>–</w:t>
            </w:r>
            <w:r w:rsidRPr="00EB263B">
              <w:rPr>
                <w:sz w:val="22"/>
                <w:szCs w:val="22"/>
              </w:rPr>
              <w:tab/>
              <w:t>Membres du Secteur de l'UIT-T;</w:t>
            </w:r>
          </w:p>
          <w:p w14:paraId="45F82FBC" w14:textId="7313CB0A" w:rsidR="00307FB4" w:rsidRPr="00EB263B" w:rsidRDefault="00307FB4" w:rsidP="00307FB4">
            <w:pPr>
              <w:tabs>
                <w:tab w:val="left" w:pos="4111"/>
              </w:tabs>
              <w:spacing w:before="0"/>
              <w:ind w:left="426" w:hanging="426"/>
              <w:rPr>
                <w:sz w:val="22"/>
                <w:szCs w:val="22"/>
              </w:rPr>
            </w:pPr>
            <w:r w:rsidRPr="00EB263B">
              <w:rPr>
                <w:sz w:val="22"/>
                <w:szCs w:val="22"/>
              </w:rPr>
              <w:t>–</w:t>
            </w:r>
            <w:r w:rsidRPr="00EB263B">
              <w:rPr>
                <w:sz w:val="22"/>
                <w:szCs w:val="22"/>
              </w:rPr>
              <w:tab/>
              <w:t>Associés de l'UIT-T;</w:t>
            </w:r>
          </w:p>
          <w:p w14:paraId="461460AE" w14:textId="5666B808" w:rsidR="00445B68" w:rsidRPr="00EB263B" w:rsidRDefault="00307FB4" w:rsidP="00307FB4">
            <w:pPr>
              <w:tabs>
                <w:tab w:val="left" w:pos="4111"/>
              </w:tabs>
              <w:spacing w:before="0"/>
              <w:ind w:left="426" w:hanging="426"/>
              <w:rPr>
                <w:sz w:val="22"/>
                <w:szCs w:val="22"/>
              </w:rPr>
            </w:pPr>
            <w:r w:rsidRPr="00EB263B">
              <w:rPr>
                <w:sz w:val="22"/>
                <w:szCs w:val="22"/>
              </w:rPr>
              <w:t>–</w:t>
            </w:r>
            <w:r w:rsidRPr="00EB263B">
              <w:rPr>
                <w:sz w:val="22"/>
                <w:szCs w:val="22"/>
              </w:rPr>
              <w:tab/>
              <w:t>Établissements universitaires participant aux travaux de l'UIT</w:t>
            </w:r>
          </w:p>
        </w:tc>
      </w:tr>
      <w:tr w:rsidR="00307FB4" w:rsidRPr="00EB263B" w14:paraId="06A3F0E7" w14:textId="77777777" w:rsidTr="00307FB4">
        <w:trPr>
          <w:cantSplit/>
          <w:trHeight w:val="340"/>
        </w:trPr>
        <w:tc>
          <w:tcPr>
            <w:tcW w:w="0" w:type="auto"/>
          </w:tcPr>
          <w:p w14:paraId="5CF43A7B" w14:textId="3933CF6D" w:rsidR="00307FB4" w:rsidRPr="00EB263B" w:rsidRDefault="00307FB4" w:rsidP="00A5280F">
            <w:pPr>
              <w:tabs>
                <w:tab w:val="left" w:pos="4111"/>
              </w:tabs>
              <w:spacing w:before="10"/>
              <w:ind w:left="57"/>
              <w:rPr>
                <w:b/>
                <w:bCs/>
                <w:sz w:val="22"/>
                <w:szCs w:val="22"/>
              </w:rPr>
            </w:pPr>
            <w:r w:rsidRPr="00EB263B">
              <w:rPr>
                <w:b/>
                <w:bCs/>
                <w:sz w:val="22"/>
                <w:szCs w:val="22"/>
              </w:rPr>
              <w:t>Contact:</w:t>
            </w:r>
          </w:p>
        </w:tc>
        <w:tc>
          <w:tcPr>
            <w:tcW w:w="3399" w:type="dxa"/>
          </w:tcPr>
          <w:p w14:paraId="2074781F" w14:textId="15B34B5E" w:rsidR="00307FB4" w:rsidRPr="00EB263B" w:rsidRDefault="00CE3C55" w:rsidP="00A5280F">
            <w:pPr>
              <w:tabs>
                <w:tab w:val="left" w:pos="4111"/>
              </w:tabs>
              <w:spacing w:before="10"/>
              <w:ind w:left="57"/>
              <w:rPr>
                <w:bCs/>
                <w:sz w:val="22"/>
                <w:szCs w:val="22"/>
              </w:rPr>
            </w:pPr>
            <w:r w:rsidRPr="00EB263B">
              <w:rPr>
                <w:bCs/>
                <w:sz w:val="22"/>
                <w:szCs w:val="22"/>
              </w:rPr>
              <w:t>Stefano Polidori</w:t>
            </w:r>
          </w:p>
        </w:tc>
        <w:tc>
          <w:tcPr>
            <w:tcW w:w="5051" w:type="dxa"/>
            <w:vMerge/>
          </w:tcPr>
          <w:p w14:paraId="2F310545" w14:textId="77777777" w:rsidR="00307FB4" w:rsidRPr="00EB263B" w:rsidRDefault="00307FB4" w:rsidP="00A5280F">
            <w:pPr>
              <w:tabs>
                <w:tab w:val="clear" w:pos="794"/>
                <w:tab w:val="clear" w:pos="1191"/>
                <w:tab w:val="clear" w:pos="1588"/>
                <w:tab w:val="clear" w:pos="1985"/>
                <w:tab w:val="left" w:pos="284"/>
              </w:tabs>
              <w:spacing w:before="0"/>
              <w:ind w:left="284" w:hanging="227"/>
              <w:rPr>
                <w:sz w:val="22"/>
                <w:szCs w:val="22"/>
              </w:rPr>
            </w:pPr>
          </w:p>
        </w:tc>
      </w:tr>
      <w:tr w:rsidR="00445B68" w:rsidRPr="00EB263B" w14:paraId="724FD23E" w14:textId="77777777" w:rsidTr="00307FB4">
        <w:trPr>
          <w:cantSplit/>
        </w:trPr>
        <w:tc>
          <w:tcPr>
            <w:tcW w:w="0" w:type="auto"/>
          </w:tcPr>
          <w:p w14:paraId="73149CCD" w14:textId="77777777" w:rsidR="00445B68" w:rsidRPr="00EB263B" w:rsidRDefault="00445B68" w:rsidP="00A5280F">
            <w:pPr>
              <w:tabs>
                <w:tab w:val="left" w:pos="4111"/>
              </w:tabs>
              <w:spacing w:before="10"/>
              <w:ind w:left="57"/>
              <w:rPr>
                <w:b/>
                <w:bCs/>
                <w:sz w:val="22"/>
                <w:szCs w:val="22"/>
              </w:rPr>
            </w:pPr>
            <w:r w:rsidRPr="00EB263B">
              <w:rPr>
                <w:b/>
                <w:bCs/>
                <w:sz w:val="22"/>
                <w:szCs w:val="22"/>
              </w:rPr>
              <w:t>Tél.:</w:t>
            </w:r>
          </w:p>
        </w:tc>
        <w:tc>
          <w:tcPr>
            <w:tcW w:w="3399" w:type="dxa"/>
          </w:tcPr>
          <w:p w14:paraId="78D06186" w14:textId="749FD71B" w:rsidR="00445B68" w:rsidRPr="00EB263B" w:rsidRDefault="00CE3C55" w:rsidP="00A5280F">
            <w:pPr>
              <w:tabs>
                <w:tab w:val="left" w:pos="4111"/>
              </w:tabs>
              <w:spacing w:before="0"/>
              <w:ind w:left="57"/>
              <w:rPr>
                <w:sz w:val="22"/>
                <w:szCs w:val="22"/>
              </w:rPr>
            </w:pPr>
            <w:r w:rsidRPr="00EB263B">
              <w:rPr>
                <w:sz w:val="22"/>
                <w:szCs w:val="22"/>
              </w:rPr>
              <w:t>+41 22 730 5858</w:t>
            </w:r>
          </w:p>
        </w:tc>
        <w:tc>
          <w:tcPr>
            <w:tcW w:w="5051" w:type="dxa"/>
            <w:vMerge/>
          </w:tcPr>
          <w:p w14:paraId="6D3A5806" w14:textId="77777777" w:rsidR="00445B68" w:rsidRPr="00EB263B" w:rsidRDefault="00445B68" w:rsidP="00A5280F">
            <w:pPr>
              <w:tabs>
                <w:tab w:val="left" w:pos="226"/>
                <w:tab w:val="left" w:pos="4111"/>
              </w:tabs>
              <w:spacing w:before="0"/>
              <w:ind w:left="226" w:hanging="226"/>
              <w:rPr>
                <w:b/>
                <w:sz w:val="22"/>
                <w:szCs w:val="22"/>
              </w:rPr>
            </w:pPr>
          </w:p>
        </w:tc>
      </w:tr>
      <w:tr w:rsidR="00307FB4" w:rsidRPr="00EB263B" w14:paraId="030F9AE5" w14:textId="77777777" w:rsidTr="00E75269">
        <w:trPr>
          <w:cantSplit/>
          <w:trHeight w:val="586"/>
        </w:trPr>
        <w:tc>
          <w:tcPr>
            <w:tcW w:w="0" w:type="auto"/>
          </w:tcPr>
          <w:p w14:paraId="7B417C4C" w14:textId="77777777" w:rsidR="00307FB4" w:rsidRPr="00EB263B" w:rsidRDefault="00307FB4" w:rsidP="00A5280F">
            <w:pPr>
              <w:tabs>
                <w:tab w:val="left" w:pos="4111"/>
              </w:tabs>
              <w:spacing w:before="10"/>
              <w:ind w:left="57"/>
              <w:rPr>
                <w:b/>
                <w:bCs/>
                <w:sz w:val="22"/>
                <w:szCs w:val="22"/>
              </w:rPr>
            </w:pPr>
            <w:r w:rsidRPr="00EB263B">
              <w:rPr>
                <w:b/>
                <w:bCs/>
                <w:sz w:val="22"/>
                <w:szCs w:val="22"/>
              </w:rPr>
              <w:t>Télécopie:</w:t>
            </w:r>
          </w:p>
        </w:tc>
        <w:tc>
          <w:tcPr>
            <w:tcW w:w="3399" w:type="dxa"/>
          </w:tcPr>
          <w:p w14:paraId="1A4A5F7B" w14:textId="295646AD" w:rsidR="00307FB4" w:rsidRPr="00EB263B" w:rsidRDefault="00CE3C55" w:rsidP="00A5280F">
            <w:pPr>
              <w:tabs>
                <w:tab w:val="left" w:pos="4111"/>
              </w:tabs>
              <w:spacing w:before="0"/>
              <w:ind w:left="57"/>
              <w:rPr>
                <w:sz w:val="22"/>
                <w:szCs w:val="22"/>
              </w:rPr>
            </w:pPr>
            <w:r w:rsidRPr="00EB263B">
              <w:rPr>
                <w:sz w:val="22"/>
                <w:szCs w:val="22"/>
              </w:rPr>
              <w:t>+41 22 730 5853</w:t>
            </w:r>
          </w:p>
        </w:tc>
        <w:tc>
          <w:tcPr>
            <w:tcW w:w="5051" w:type="dxa"/>
            <w:vMerge/>
          </w:tcPr>
          <w:p w14:paraId="323DAC81" w14:textId="77777777" w:rsidR="00307FB4" w:rsidRPr="00EB263B" w:rsidRDefault="00307FB4" w:rsidP="00A5280F">
            <w:pPr>
              <w:tabs>
                <w:tab w:val="left" w:pos="226"/>
                <w:tab w:val="left" w:pos="4111"/>
              </w:tabs>
              <w:spacing w:before="0"/>
              <w:ind w:left="226" w:hanging="226"/>
              <w:rPr>
                <w:b/>
                <w:sz w:val="22"/>
                <w:szCs w:val="22"/>
              </w:rPr>
            </w:pPr>
          </w:p>
        </w:tc>
      </w:tr>
      <w:tr w:rsidR="00307FB4" w:rsidRPr="00EB263B" w14:paraId="640FB6B9" w14:textId="77777777" w:rsidTr="00307FB4">
        <w:trPr>
          <w:cantSplit/>
        </w:trPr>
        <w:tc>
          <w:tcPr>
            <w:tcW w:w="0" w:type="auto"/>
          </w:tcPr>
          <w:p w14:paraId="15527369" w14:textId="0865F49A" w:rsidR="00307FB4" w:rsidRPr="00EB263B" w:rsidRDefault="00307FB4" w:rsidP="00A5280F">
            <w:pPr>
              <w:tabs>
                <w:tab w:val="left" w:pos="4111"/>
              </w:tabs>
              <w:spacing w:before="10"/>
              <w:ind w:left="57"/>
              <w:rPr>
                <w:b/>
                <w:bCs/>
                <w:sz w:val="22"/>
                <w:szCs w:val="22"/>
              </w:rPr>
            </w:pPr>
            <w:r w:rsidRPr="00EB263B">
              <w:rPr>
                <w:b/>
                <w:bCs/>
                <w:sz w:val="22"/>
                <w:szCs w:val="22"/>
              </w:rPr>
              <w:t>Courriel:</w:t>
            </w:r>
          </w:p>
        </w:tc>
        <w:tc>
          <w:tcPr>
            <w:tcW w:w="3399" w:type="dxa"/>
          </w:tcPr>
          <w:p w14:paraId="172249CE" w14:textId="49A4566C" w:rsidR="00307FB4" w:rsidRPr="00EB263B" w:rsidRDefault="00CE3C55" w:rsidP="00A5280F">
            <w:pPr>
              <w:tabs>
                <w:tab w:val="left" w:pos="4111"/>
              </w:tabs>
              <w:spacing w:before="0"/>
              <w:ind w:left="57"/>
              <w:rPr>
                <w:sz w:val="22"/>
                <w:szCs w:val="22"/>
              </w:rPr>
            </w:pPr>
            <w:hyperlink r:id="rId9" w:history="1">
              <w:r w:rsidRPr="00EB263B">
                <w:rPr>
                  <w:rStyle w:val="Hyperlink"/>
                  <w:sz w:val="22"/>
                  <w:szCs w:val="22"/>
                </w:rPr>
                <w:t>tsbevents@itu.int</w:t>
              </w:r>
            </w:hyperlink>
          </w:p>
        </w:tc>
        <w:tc>
          <w:tcPr>
            <w:tcW w:w="5051" w:type="dxa"/>
          </w:tcPr>
          <w:p w14:paraId="55E5D357" w14:textId="77777777" w:rsidR="00307FB4" w:rsidRPr="00EB263B" w:rsidRDefault="00307FB4" w:rsidP="00307FB4">
            <w:pPr>
              <w:tabs>
                <w:tab w:val="clear" w:pos="794"/>
                <w:tab w:val="left" w:pos="226"/>
                <w:tab w:val="left" w:pos="4111"/>
              </w:tabs>
              <w:spacing w:before="0"/>
              <w:ind w:left="226" w:hanging="226"/>
              <w:rPr>
                <w:b/>
                <w:bCs/>
                <w:sz w:val="22"/>
                <w:szCs w:val="22"/>
              </w:rPr>
            </w:pPr>
            <w:r w:rsidRPr="00EB263B">
              <w:rPr>
                <w:b/>
                <w:bCs/>
                <w:sz w:val="22"/>
                <w:szCs w:val="22"/>
              </w:rPr>
              <w:t>Copie:</w:t>
            </w:r>
          </w:p>
          <w:p w14:paraId="6CE98CB1" w14:textId="30E34639" w:rsidR="00307FB4" w:rsidRPr="00EB263B" w:rsidRDefault="00307FB4" w:rsidP="00307FB4">
            <w:pPr>
              <w:tabs>
                <w:tab w:val="clear" w:pos="794"/>
                <w:tab w:val="left" w:pos="4111"/>
              </w:tabs>
              <w:spacing w:before="0"/>
              <w:ind w:left="426" w:hanging="426"/>
              <w:rPr>
                <w:sz w:val="22"/>
                <w:szCs w:val="22"/>
              </w:rPr>
            </w:pPr>
            <w:r w:rsidRPr="00EB263B">
              <w:rPr>
                <w:sz w:val="22"/>
                <w:szCs w:val="22"/>
              </w:rPr>
              <w:t>–</w:t>
            </w:r>
            <w:r w:rsidRPr="00EB263B">
              <w:rPr>
                <w:sz w:val="22"/>
                <w:szCs w:val="22"/>
              </w:rPr>
              <w:tab/>
              <w:t>Aux Présidents et Vice-Présidents des Commissions d'études;</w:t>
            </w:r>
          </w:p>
          <w:p w14:paraId="56C75C35" w14:textId="1A09D40C" w:rsidR="00307FB4" w:rsidRPr="00EB263B" w:rsidRDefault="00307FB4" w:rsidP="00307FB4">
            <w:pPr>
              <w:tabs>
                <w:tab w:val="clear" w:pos="794"/>
                <w:tab w:val="left" w:pos="4111"/>
              </w:tabs>
              <w:spacing w:before="0"/>
              <w:ind w:left="426" w:hanging="426"/>
              <w:rPr>
                <w:sz w:val="22"/>
                <w:szCs w:val="22"/>
              </w:rPr>
            </w:pPr>
            <w:r w:rsidRPr="00EB263B">
              <w:rPr>
                <w:sz w:val="22"/>
                <w:szCs w:val="22"/>
              </w:rPr>
              <w:t>–</w:t>
            </w:r>
            <w:r w:rsidRPr="00EB263B">
              <w:rPr>
                <w:sz w:val="22"/>
                <w:szCs w:val="22"/>
              </w:rPr>
              <w:tab/>
              <w:t>Au Directeur du Bureau de développement des télécommunications;</w:t>
            </w:r>
          </w:p>
          <w:p w14:paraId="19762254" w14:textId="061893F3" w:rsidR="00307FB4" w:rsidRPr="00EB263B" w:rsidRDefault="00307FB4" w:rsidP="00307FB4">
            <w:pPr>
              <w:tabs>
                <w:tab w:val="clear" w:pos="794"/>
                <w:tab w:val="left" w:pos="4111"/>
              </w:tabs>
              <w:spacing w:before="0"/>
              <w:ind w:left="426" w:hanging="426"/>
              <w:rPr>
                <w:sz w:val="22"/>
                <w:szCs w:val="22"/>
              </w:rPr>
            </w:pPr>
            <w:r w:rsidRPr="00EB263B">
              <w:rPr>
                <w:sz w:val="22"/>
                <w:szCs w:val="22"/>
              </w:rPr>
              <w:t>–</w:t>
            </w:r>
            <w:r w:rsidRPr="00EB263B">
              <w:rPr>
                <w:sz w:val="22"/>
                <w:szCs w:val="22"/>
              </w:rPr>
              <w:tab/>
              <w:t>Au Directeur du Bureau des radiocommunications</w:t>
            </w:r>
          </w:p>
        </w:tc>
      </w:tr>
      <w:tr w:rsidR="00517A03" w:rsidRPr="00EB263B" w14:paraId="5435C04A" w14:textId="77777777" w:rsidTr="00C41B89">
        <w:trPr>
          <w:cantSplit/>
          <w:trHeight w:val="397"/>
        </w:trPr>
        <w:tc>
          <w:tcPr>
            <w:tcW w:w="0" w:type="auto"/>
          </w:tcPr>
          <w:p w14:paraId="2A0B9B4F" w14:textId="77777777" w:rsidR="00517A03" w:rsidRPr="00EB263B" w:rsidRDefault="00517A03" w:rsidP="00307FB4">
            <w:pPr>
              <w:tabs>
                <w:tab w:val="left" w:pos="4111"/>
              </w:tabs>
              <w:ind w:left="57"/>
              <w:rPr>
                <w:b/>
                <w:bCs/>
                <w:sz w:val="22"/>
                <w:szCs w:val="22"/>
              </w:rPr>
            </w:pPr>
            <w:r w:rsidRPr="00EB263B">
              <w:rPr>
                <w:b/>
                <w:bCs/>
                <w:sz w:val="22"/>
                <w:szCs w:val="22"/>
              </w:rPr>
              <w:t>Objet:</w:t>
            </w:r>
          </w:p>
        </w:tc>
        <w:tc>
          <w:tcPr>
            <w:tcW w:w="0" w:type="auto"/>
            <w:gridSpan w:val="2"/>
          </w:tcPr>
          <w:p w14:paraId="1A51EE75" w14:textId="290C44FE" w:rsidR="00517A03" w:rsidRPr="00EB263B" w:rsidRDefault="00CE3C55" w:rsidP="0048088B">
            <w:pPr>
              <w:tabs>
                <w:tab w:val="left" w:pos="4111"/>
              </w:tabs>
              <w:spacing w:after="120"/>
              <w:ind w:left="57"/>
              <w:rPr>
                <w:b/>
                <w:bCs/>
                <w:sz w:val="22"/>
                <w:szCs w:val="22"/>
              </w:rPr>
            </w:pPr>
            <w:r w:rsidRPr="00EB263B">
              <w:rPr>
                <w:b/>
                <w:bCs/>
                <w:sz w:val="22"/>
                <w:szCs w:val="22"/>
              </w:rPr>
              <w:t>Atelier de l'UIT sur l'avenir du codage vidéo – traitement de signal évolué, IA et normes (Genève, Suisse, 17 janvier 2025)</w:t>
            </w:r>
          </w:p>
        </w:tc>
      </w:tr>
    </w:tbl>
    <w:p w14:paraId="2D1EC328" w14:textId="77777777" w:rsidR="00517A03" w:rsidRPr="00EB263B" w:rsidRDefault="00517A03" w:rsidP="001340FD">
      <w:pPr>
        <w:rPr>
          <w:sz w:val="22"/>
          <w:szCs w:val="22"/>
        </w:rPr>
      </w:pPr>
      <w:bookmarkStart w:id="1" w:name="StartTyping_F"/>
      <w:bookmarkEnd w:id="1"/>
      <w:r w:rsidRPr="00EB263B">
        <w:rPr>
          <w:sz w:val="22"/>
          <w:szCs w:val="22"/>
        </w:rPr>
        <w:t>Madame, Monsieur,</w:t>
      </w:r>
    </w:p>
    <w:p w14:paraId="0600A780" w14:textId="0C2127EB" w:rsidR="00CE3C55" w:rsidRPr="00EB263B" w:rsidRDefault="00CE3C55" w:rsidP="00CE3C55">
      <w:pPr>
        <w:rPr>
          <w:sz w:val="22"/>
          <w:szCs w:val="22"/>
        </w:rPr>
      </w:pPr>
      <w:r w:rsidRPr="00EB263B">
        <w:rPr>
          <w:sz w:val="22"/>
          <w:szCs w:val="22"/>
        </w:rPr>
        <w:t>1</w:t>
      </w:r>
      <w:r w:rsidRPr="00EB263B">
        <w:rPr>
          <w:sz w:val="22"/>
          <w:szCs w:val="22"/>
        </w:rPr>
        <w:tab/>
        <w:t>L'Union internationale des télécommunications (UIT) organise un atelier sur le thème "</w:t>
      </w:r>
      <w:r w:rsidRPr="00EB263B">
        <w:rPr>
          <w:b/>
          <w:bCs/>
          <w:sz w:val="22"/>
          <w:szCs w:val="22"/>
        </w:rPr>
        <w:t>L'avenir du codage vidéo – traitement de signal évolué, IA et normes</w:t>
      </w:r>
      <w:r w:rsidRPr="00EB263B">
        <w:rPr>
          <w:sz w:val="22"/>
          <w:szCs w:val="22"/>
        </w:rPr>
        <w:t xml:space="preserve">", qui aura lieu à Genève (Suisse) le </w:t>
      </w:r>
      <w:r w:rsidRPr="00EB263B">
        <w:rPr>
          <w:b/>
          <w:bCs/>
          <w:sz w:val="22"/>
          <w:szCs w:val="22"/>
        </w:rPr>
        <w:t>17 janvier 2025 de 14 h 00 à 18 h 30 CET</w:t>
      </w:r>
      <w:r w:rsidRPr="00EB263B">
        <w:rPr>
          <w:sz w:val="22"/>
          <w:szCs w:val="22"/>
        </w:rPr>
        <w:t xml:space="preserve">. Cet atelier est organisé conjointement avec le Sous-comité 29 (SC29) de l'ISO/CEI et se tiendra en même temps que les réunions de la </w:t>
      </w:r>
      <w:hyperlink r:id="rId10" w:history="1">
        <w:r w:rsidRPr="00EB263B">
          <w:rPr>
            <w:rStyle w:val="Hyperlink"/>
            <w:sz w:val="22"/>
            <w:szCs w:val="22"/>
          </w:rPr>
          <w:t>Commission d'études 21 de l'UIT-T</w:t>
        </w:r>
      </w:hyperlink>
      <w:r w:rsidRPr="00EB263B">
        <w:rPr>
          <w:sz w:val="22"/>
          <w:szCs w:val="22"/>
        </w:rPr>
        <w:t xml:space="preserve"> ("Technologies pour le multimédia, la diffusion de contenus et la télévision par câble"), ainsi qu'aux réunions du SC 29 du JTC 1 de l'ISO/CEI et de ses </w:t>
      </w:r>
      <w:hyperlink r:id="rId11" w:history="1">
        <w:r w:rsidRPr="00EB263B">
          <w:rPr>
            <w:rStyle w:val="Hyperlink"/>
            <w:sz w:val="22"/>
            <w:szCs w:val="22"/>
          </w:rPr>
          <w:t>groupes de travail associés au groupe MPEG</w:t>
        </w:r>
      </w:hyperlink>
      <w:r w:rsidRPr="00EB263B">
        <w:rPr>
          <w:sz w:val="22"/>
          <w:szCs w:val="22"/>
        </w:rPr>
        <w:t>. Des séances de l'Équipe mixte d'experts en vidéo (</w:t>
      </w:r>
      <w:hyperlink r:id="rId12" w:history="1">
        <w:r w:rsidRPr="00EB263B">
          <w:rPr>
            <w:rStyle w:val="Hyperlink"/>
            <w:sz w:val="22"/>
            <w:szCs w:val="22"/>
          </w:rPr>
          <w:t>JVET</w:t>
        </w:r>
      </w:hyperlink>
      <w:r w:rsidRPr="00EB263B">
        <w:rPr>
          <w:sz w:val="22"/>
          <w:szCs w:val="22"/>
        </w:rPr>
        <w:t>) se tiendront également au même endroit. L'atelier se déroulera en anglais et il sera possible de participer à distance.</w:t>
      </w:r>
    </w:p>
    <w:p w14:paraId="622688B4" w14:textId="16D7080B" w:rsidR="00CE3C55" w:rsidRPr="00EB263B" w:rsidRDefault="00CE3C55" w:rsidP="00CE3C55">
      <w:pPr>
        <w:rPr>
          <w:sz w:val="22"/>
          <w:szCs w:val="22"/>
        </w:rPr>
      </w:pPr>
      <w:r w:rsidRPr="00EB263B">
        <w:rPr>
          <w:sz w:val="22"/>
          <w:szCs w:val="22"/>
        </w:rPr>
        <w:t>2</w:t>
      </w:r>
      <w:r w:rsidRPr="00EB263B">
        <w:rPr>
          <w:sz w:val="22"/>
          <w:szCs w:val="22"/>
        </w:rPr>
        <w:tab/>
        <w:t>Alors que l'UIT-T et l'ISO/CEI étudient la possibilité de lancer un nouveau projet commun pour la prochaine génération de normes sur le codage vidéo dépassant les capacités de la norme sur le codage vidéo polyvalent (VVC), plusieurs voies possibles se dessinent. L'une des questions à examiner est celle du rôle que doivent jouer les technologies de l'intelligence artificielle (IA), telles que les technologies d'apprentissage automatique et de réseau neuronal. La technologie de l'IA a commencé à occuper une place importante dans les années 2020 et, s'il est certain qu'elle changera nos vies à tous à bien des égards, ses incidences sur l'avenir à court terme des technologies de la communication restent floues.</w:t>
      </w:r>
    </w:p>
    <w:p w14:paraId="7B574BDC" w14:textId="4C2439B5" w:rsidR="00CE3C55" w:rsidRPr="00EB263B" w:rsidRDefault="00CE3C55" w:rsidP="00B9608A">
      <w:pPr>
        <w:rPr>
          <w:sz w:val="22"/>
          <w:szCs w:val="22"/>
        </w:rPr>
      </w:pPr>
      <w:r w:rsidRPr="00EB263B">
        <w:rPr>
          <w:sz w:val="22"/>
          <w:szCs w:val="22"/>
        </w:rPr>
        <w:t>3</w:t>
      </w:r>
      <w:r w:rsidRPr="00EB263B">
        <w:rPr>
          <w:sz w:val="22"/>
          <w:szCs w:val="22"/>
        </w:rPr>
        <w:tab/>
        <w:t>Les technologies vidéo modernes destinées à être largement déployées sur le marché grand public exigent des solutions pratiques, robustes, à faible consommation d'énergie et à faible coût, ainsi qu'une capacité de compression dernier cri. L'intégralité de la chaîne de traitement (prétraitement, codage, stockage, transmission, décodage, post-traitement, analyse et réaffectation du contenu vidéo) doit être prise en considération et doit être capable d'offrir une haute résolution, une fréquence d'image élevée et une grande plage dynamique. De plus, les applications de demain pour des expériences 3D et au-delà de la 3D encore plus immersives proposant des points de vue libres et un rendu photoréaliste présenteront de nouvelles possibilités et de nouvelles contraintes pour les expériences média.</w:t>
      </w:r>
    </w:p>
    <w:p w14:paraId="5F063B65" w14:textId="009D6A88" w:rsidR="00CE3C55" w:rsidRPr="00EB263B" w:rsidRDefault="00CE3C55" w:rsidP="00CE3C55">
      <w:pPr>
        <w:rPr>
          <w:bCs/>
          <w:sz w:val="22"/>
          <w:szCs w:val="22"/>
        </w:rPr>
      </w:pPr>
      <w:r w:rsidRPr="00EB263B">
        <w:rPr>
          <w:bCs/>
          <w:sz w:val="22"/>
          <w:szCs w:val="22"/>
        </w:rPr>
        <w:t>4</w:t>
      </w:r>
      <w:r w:rsidRPr="00EB263B">
        <w:rPr>
          <w:bCs/>
          <w:sz w:val="22"/>
          <w:szCs w:val="22"/>
        </w:rPr>
        <w:tab/>
        <w:t xml:space="preserve">Forts de leur expérience antérieure, les deux principaux organismes de normalisation dans le domaine des technologies de codage et de traitement vidéo, à savoir la Commission d'études 21 de l'UIT-T et le SC 29 du JTC 1 de l'ISO/CEI, sont conscients de leur responsabilité d'agir à l'égard de ce changement important en matière technologique. Depuis le début des années 2000, les deux organisations travaillent en étroite collaboration et avec succès à l'élaboration de plusieurs générations de normes techniques sur le </w:t>
      </w:r>
      <w:r w:rsidRPr="00EB263B">
        <w:rPr>
          <w:bCs/>
          <w:sz w:val="22"/>
          <w:szCs w:val="22"/>
        </w:rPr>
        <w:lastRenderedPageBreak/>
        <w:t>codage vidéo, notamment les normes H.264/AVC, H.265/HEVC et H.266/VVC. La collaboration entre la CE 21 et le SC 29 s'avère très efficace, puisqu'elle permet de mener des travaux de recherche sur les technologies de pointe tout en répondant aux besoins des entreprises; ainsi, elle sert les intérêts de la technologie et du secteur privé.</w:t>
      </w:r>
    </w:p>
    <w:p w14:paraId="0D2170EE" w14:textId="02D96C00" w:rsidR="00CE3C55" w:rsidRPr="00EB263B" w:rsidRDefault="00CE3C55" w:rsidP="00CE3C55">
      <w:pPr>
        <w:rPr>
          <w:bCs/>
          <w:sz w:val="22"/>
          <w:szCs w:val="22"/>
        </w:rPr>
      </w:pPr>
      <w:r w:rsidRPr="00EB263B">
        <w:rPr>
          <w:bCs/>
          <w:sz w:val="22"/>
          <w:szCs w:val="22"/>
        </w:rPr>
        <w:t>D'ores et déjà, l'Équipe mixte d'experts en vidéo (JVET) de la CE 21 et du SC 29 a accompli des progrès importants dans l'étude du codage vidéo fondé sur un réseau neuronal (NNVC) et de méthodes de compression plus classiques en développant le modèle de compression améliorée (ECM) et des hybrides de schémas NNVC et ECM.</w:t>
      </w:r>
    </w:p>
    <w:p w14:paraId="56F608C4" w14:textId="43C5F51F" w:rsidR="00CE3C55" w:rsidRPr="00EB263B" w:rsidRDefault="00CE3C55" w:rsidP="00CE3C55">
      <w:pPr>
        <w:rPr>
          <w:bCs/>
          <w:sz w:val="22"/>
          <w:szCs w:val="22"/>
        </w:rPr>
      </w:pPr>
      <w:r w:rsidRPr="00EB263B">
        <w:rPr>
          <w:bCs/>
          <w:sz w:val="22"/>
          <w:szCs w:val="22"/>
        </w:rPr>
        <w:t>5</w:t>
      </w:r>
      <w:r w:rsidRPr="00EB263B">
        <w:rPr>
          <w:bCs/>
          <w:sz w:val="22"/>
          <w:szCs w:val="22"/>
        </w:rPr>
        <w:tab/>
        <w:t xml:space="preserve">La participation à l'atelier est gratuite et ouverte aux États Membres, aux Membres de Secteur, aux Associés de l'UIT et aux établissements universitaires participant aux travaux de l'UIT, ainsi qu'à toute personne issue d'un pays Membre de l'UIT qui souhaite contribuer aux travaux. Cela inclut les personnes qui sont également membres d'organisations internationales, régionales ou nationales, mais il convient de noter que l'inscription est obligatoire pour participer en personne ou en ligne. Afin de permettre au TSB de prendre les dispositions nécessaires concernant l'organisation de l'atelier, je vous saurais gré de bien vouloir vous inscrire dès que possible, et au plus tard le </w:t>
      </w:r>
      <w:r w:rsidRPr="00EB263B">
        <w:rPr>
          <w:b/>
          <w:sz w:val="22"/>
          <w:szCs w:val="22"/>
        </w:rPr>
        <w:t>13 janvier 2025</w:t>
      </w:r>
      <w:r w:rsidRPr="00EB263B">
        <w:rPr>
          <w:bCs/>
          <w:sz w:val="22"/>
          <w:szCs w:val="22"/>
        </w:rPr>
        <w:t xml:space="preserve">, à l'adresse suivante: </w:t>
      </w:r>
      <w:hyperlink r:id="rId13" w:history="1">
        <w:r w:rsidRPr="00EB263B">
          <w:rPr>
            <w:rStyle w:val="Hyperlink"/>
            <w:bCs/>
            <w:sz w:val="22"/>
            <w:szCs w:val="22"/>
          </w:rPr>
          <w:t>https://www.itu.int/net4/CRM/xreg/web/Registration.aspx?Event=C-00014916</w:t>
        </w:r>
      </w:hyperlink>
      <w:r w:rsidRPr="00EB263B">
        <w:rPr>
          <w:bCs/>
          <w:sz w:val="22"/>
          <w:szCs w:val="22"/>
        </w:rPr>
        <w:t xml:space="preserve">. </w:t>
      </w:r>
      <w:r w:rsidRPr="00EB263B">
        <w:rPr>
          <w:b/>
          <w:sz w:val="22"/>
          <w:szCs w:val="22"/>
        </w:rPr>
        <w:t>Veuillez noter que l'inscription préalable des participants aux ateliers est obligatoire et se fait en ligne.</w:t>
      </w:r>
    </w:p>
    <w:p w14:paraId="37BB2AC9" w14:textId="6EC40B7C" w:rsidR="00CE3C55" w:rsidRPr="00EB263B" w:rsidRDefault="00CE3C55" w:rsidP="00CE3C55">
      <w:pPr>
        <w:rPr>
          <w:bCs/>
          <w:sz w:val="22"/>
          <w:szCs w:val="22"/>
        </w:rPr>
      </w:pPr>
      <w:r w:rsidRPr="00EB263B">
        <w:rPr>
          <w:bCs/>
          <w:sz w:val="22"/>
          <w:szCs w:val="22"/>
        </w:rPr>
        <w:t>6</w:t>
      </w:r>
      <w:r w:rsidRPr="00EB263B">
        <w:rPr>
          <w:bCs/>
          <w:sz w:val="22"/>
          <w:szCs w:val="22"/>
        </w:rPr>
        <w:tab/>
        <w:t xml:space="preserve">Toutes les informations utiles concernant l'atelier, notamment le projet de programme, seront communiquées sur le site web de la manifestation à l'adresse suivante: </w:t>
      </w:r>
      <w:hyperlink r:id="rId14" w:history="1">
        <w:r w:rsidRPr="00EB263B">
          <w:rPr>
            <w:rStyle w:val="Hyperlink"/>
            <w:bCs/>
            <w:sz w:val="22"/>
            <w:szCs w:val="22"/>
          </w:rPr>
          <w:t>https://www.itu.int/en/ITU-T/Workshops-and-Seminars/2025/0117/Pages/default.aspx</w:t>
        </w:r>
      </w:hyperlink>
      <w:r w:rsidRPr="00EB263B">
        <w:rPr>
          <w:bCs/>
          <w:sz w:val="22"/>
          <w:szCs w:val="22"/>
        </w:rPr>
        <w:t>. La page web de la manifestation sera mise à jour périodiquement, à mesure que parviendront des informations nouvelles. Il est recommandé aux participants de consulter régulièrement le site web pour prendre connaissance des dernières informations.</w:t>
      </w:r>
    </w:p>
    <w:p w14:paraId="226523DC" w14:textId="525C3C87" w:rsidR="00CE3C55" w:rsidRPr="00EB263B" w:rsidRDefault="00CE3C55" w:rsidP="00427881">
      <w:pPr>
        <w:rPr>
          <w:bCs/>
          <w:sz w:val="22"/>
          <w:szCs w:val="22"/>
        </w:rPr>
      </w:pPr>
      <w:r w:rsidRPr="00EB263B">
        <w:rPr>
          <w:bCs/>
          <w:sz w:val="22"/>
          <w:szCs w:val="22"/>
        </w:rPr>
        <w:t>7</w:t>
      </w:r>
      <w:r w:rsidRPr="00EB263B">
        <w:rPr>
          <w:bCs/>
          <w:sz w:val="22"/>
          <w:szCs w:val="22"/>
        </w:rPr>
        <w:tab/>
        <w:t>Nous vous rappelons que, pour les ressortissants de certains pays, l'entrée et le séjour en Suisse, quelle qu'en soit la durée, sont soumis à l'obtention d'un visa. Ce visa doit être obtenu auprès de la représentation de la Suisse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1D1D634D" w14:textId="77777777" w:rsidR="00CE3C55" w:rsidRPr="00EB263B" w:rsidRDefault="00CE3C55" w:rsidP="00B9608A">
      <w:pPr>
        <w:keepNext/>
        <w:keepLines/>
        <w:rPr>
          <w:bCs/>
          <w:sz w:val="22"/>
          <w:szCs w:val="22"/>
        </w:rPr>
      </w:pPr>
      <w:r w:rsidRPr="00EB263B">
        <w:rPr>
          <w:bCs/>
          <w:sz w:val="22"/>
          <w:szCs w:val="22"/>
        </w:rPr>
        <w:t>Veuillez agréer, Madame, Monsieur, l'assurance de ma considération distinguée.</w:t>
      </w:r>
    </w:p>
    <w:p w14:paraId="558FB742" w14:textId="268A4C68" w:rsidR="002937DB" w:rsidRPr="00EB263B" w:rsidRDefault="007E75C9" w:rsidP="001340FD">
      <w:pPr>
        <w:keepNext/>
        <w:keepLines/>
        <w:spacing w:before="720"/>
        <w:rPr>
          <w:bCs/>
          <w:sz w:val="22"/>
          <w:szCs w:val="22"/>
        </w:rPr>
      </w:pPr>
      <w:r>
        <w:rPr>
          <w:bCs/>
          <w:noProof/>
          <w:sz w:val="22"/>
          <w:szCs w:val="22"/>
        </w:rPr>
        <w:drawing>
          <wp:anchor distT="0" distB="0" distL="114300" distR="114300" simplePos="0" relativeHeight="251658240" behindDoc="1" locked="0" layoutInCell="1" allowOverlap="1" wp14:anchorId="22A20388" wp14:editId="62A0EF16">
            <wp:simplePos x="0" y="0"/>
            <wp:positionH relativeFrom="margin">
              <wp:align>left</wp:align>
            </wp:positionH>
            <wp:positionV relativeFrom="paragraph">
              <wp:posOffset>68580</wp:posOffset>
            </wp:positionV>
            <wp:extent cx="692186" cy="330217"/>
            <wp:effectExtent l="0" t="0" r="0" b="0"/>
            <wp:wrapNone/>
            <wp:docPr id="105439733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97333" name="Picture 1" descr="A black text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EB263B">
        <w:rPr>
          <w:bCs/>
          <w:sz w:val="22"/>
          <w:szCs w:val="22"/>
        </w:rPr>
        <w:t>Seizo Onoe</w:t>
      </w:r>
      <w:r w:rsidR="00B60868" w:rsidRPr="00EB263B">
        <w:rPr>
          <w:bCs/>
          <w:sz w:val="22"/>
          <w:szCs w:val="22"/>
        </w:rPr>
        <w:br/>
      </w:r>
      <w:r w:rsidR="00307FB4" w:rsidRPr="00EB263B">
        <w:rPr>
          <w:bCs/>
          <w:sz w:val="22"/>
          <w:szCs w:val="22"/>
        </w:rPr>
        <w:t>Directeur du Bureau de la normalisation</w:t>
      </w:r>
      <w:r w:rsidR="00B60868" w:rsidRPr="00EB263B">
        <w:rPr>
          <w:bCs/>
          <w:sz w:val="22"/>
          <w:szCs w:val="22"/>
        </w:rPr>
        <w:br/>
      </w:r>
      <w:r w:rsidR="00307FB4" w:rsidRPr="00EB263B">
        <w:rPr>
          <w:bCs/>
          <w:sz w:val="22"/>
          <w:szCs w:val="22"/>
        </w:rPr>
        <w:t>des télécommunications</w:t>
      </w:r>
    </w:p>
    <w:p w14:paraId="601A1E45" w14:textId="551A0FB3" w:rsidR="002937DB" w:rsidRDefault="00CE3C55" w:rsidP="000C1854">
      <w:pPr>
        <w:spacing w:before="840"/>
        <w:rPr>
          <w:bCs/>
          <w:sz w:val="22"/>
          <w:szCs w:val="22"/>
        </w:rPr>
      </w:pPr>
      <w:r w:rsidRPr="00EB263B">
        <w:rPr>
          <w:b/>
          <w:sz w:val="22"/>
          <w:szCs w:val="22"/>
        </w:rPr>
        <w:t>Annexe</w:t>
      </w:r>
      <w:r w:rsidRPr="00EB263B">
        <w:rPr>
          <w:bCs/>
          <w:sz w:val="22"/>
          <w:szCs w:val="22"/>
        </w:rPr>
        <w:t>:</w:t>
      </w:r>
      <w:r w:rsidRPr="00EB263B">
        <w:rPr>
          <w:bCs/>
          <w:sz w:val="22"/>
          <w:szCs w:val="22"/>
        </w:rPr>
        <w:tab/>
        <w:t>1</w:t>
      </w:r>
    </w:p>
    <w:p w14:paraId="29DBB958" w14:textId="6D6226D4" w:rsidR="00D42E36" w:rsidRDefault="00D42E36">
      <w:pPr>
        <w:tabs>
          <w:tab w:val="clear" w:pos="794"/>
          <w:tab w:val="clear" w:pos="1191"/>
          <w:tab w:val="clear" w:pos="1588"/>
          <w:tab w:val="clear" w:pos="1985"/>
        </w:tabs>
        <w:overflowPunct/>
        <w:autoSpaceDE/>
        <w:autoSpaceDN/>
        <w:adjustRightInd/>
        <w:spacing w:before="0"/>
        <w:textAlignment w:val="auto"/>
        <w:rPr>
          <w:bCs/>
          <w:sz w:val="22"/>
          <w:szCs w:val="22"/>
        </w:rPr>
      </w:pPr>
      <w:r>
        <w:rPr>
          <w:bCs/>
          <w:sz w:val="22"/>
          <w:szCs w:val="22"/>
        </w:rPr>
        <w:br w:type="page"/>
      </w:r>
    </w:p>
    <w:p w14:paraId="59B83DE7" w14:textId="79E54F5C" w:rsidR="00A54B47" w:rsidRPr="00B9608A" w:rsidRDefault="00A54B47" w:rsidP="00A54B47">
      <w:pPr>
        <w:pStyle w:val="AnnexTitle"/>
      </w:pPr>
      <w:r w:rsidRPr="00B9608A">
        <w:lastRenderedPageBreak/>
        <w:t>ANNEXE</w:t>
      </w:r>
      <w:r w:rsidRPr="00B9608A">
        <w:br/>
        <w:t xml:space="preserve">Atelier de l'UIT sur le codage vidéo de demain – </w:t>
      </w:r>
      <w:r w:rsidRPr="00B9608A">
        <w:br/>
        <w:t>traitement du signal évolué, IA et normes</w:t>
      </w:r>
    </w:p>
    <w:p w14:paraId="01BFF8C6" w14:textId="77777777" w:rsidR="00A54B47" w:rsidRPr="00B9608A" w:rsidRDefault="00A54B47" w:rsidP="00A54B47">
      <w:pPr>
        <w:rPr>
          <w:bCs/>
        </w:rPr>
      </w:pPr>
      <w:r w:rsidRPr="00B9608A">
        <w:rPr>
          <w:bCs/>
        </w:rPr>
        <w:t>Genève (Suisse), vendredi 17 janvier 2025</w:t>
      </w:r>
    </w:p>
    <w:p w14:paraId="3B647157" w14:textId="62C0813C" w:rsidR="00517A03" w:rsidRPr="00B9608A" w:rsidRDefault="00A54B47" w:rsidP="00A54B47">
      <w:pPr>
        <w:pStyle w:val="headingb"/>
        <w:spacing w:after="120"/>
      </w:pPr>
      <w:r w:rsidRPr="00B9608A">
        <w:t>Projet de programme</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614"/>
        <w:gridCol w:w="8095"/>
      </w:tblGrid>
      <w:tr w:rsidR="00A54B47" w:rsidRPr="00B9608A" w14:paraId="13D2402F" w14:textId="77777777" w:rsidTr="00E443F6">
        <w:tc>
          <w:tcPr>
            <w:tcW w:w="1614" w:type="dxa"/>
          </w:tcPr>
          <w:p w14:paraId="73E8F6E7" w14:textId="70430945" w:rsidR="00A54B47" w:rsidRPr="00B9608A" w:rsidRDefault="00A54B47" w:rsidP="00E443F6">
            <w:pPr>
              <w:pStyle w:val="TableText"/>
              <w:spacing w:before="120" w:after="80"/>
              <w:jc w:val="center"/>
              <w:rPr>
                <w:b/>
                <w:bCs/>
              </w:rPr>
            </w:pPr>
            <w:r w:rsidRPr="00B9608A">
              <w:rPr>
                <w:b/>
                <w:bCs/>
              </w:rPr>
              <w:t>13 h 00-14 h 00</w:t>
            </w:r>
          </w:p>
        </w:tc>
        <w:tc>
          <w:tcPr>
            <w:tcW w:w="8095" w:type="dxa"/>
          </w:tcPr>
          <w:p w14:paraId="4B54EB43" w14:textId="56C78809" w:rsidR="00A54B47" w:rsidRPr="00B9608A" w:rsidRDefault="00A54B47" w:rsidP="00E443F6">
            <w:pPr>
              <w:pStyle w:val="TableText"/>
              <w:spacing w:before="120" w:after="80"/>
              <w:rPr>
                <w:b/>
                <w:bCs/>
              </w:rPr>
            </w:pPr>
            <w:r w:rsidRPr="00B9608A">
              <w:rPr>
                <w:b/>
                <w:bCs/>
              </w:rPr>
              <w:t>Inscription</w:t>
            </w:r>
          </w:p>
        </w:tc>
      </w:tr>
      <w:tr w:rsidR="00A54B47" w:rsidRPr="00B9608A" w14:paraId="00C1F364" w14:textId="77777777" w:rsidTr="00E443F6">
        <w:tc>
          <w:tcPr>
            <w:tcW w:w="1614" w:type="dxa"/>
          </w:tcPr>
          <w:p w14:paraId="03F5128F" w14:textId="3FBAB7BB" w:rsidR="00A54B47" w:rsidRPr="00B9608A" w:rsidRDefault="00A54B47" w:rsidP="00E443F6">
            <w:pPr>
              <w:pStyle w:val="TableText"/>
              <w:spacing w:before="120" w:after="80"/>
              <w:jc w:val="center"/>
              <w:rPr>
                <w:b/>
                <w:bCs/>
              </w:rPr>
            </w:pPr>
            <w:r w:rsidRPr="00B9608A">
              <w:rPr>
                <w:b/>
                <w:bCs/>
              </w:rPr>
              <w:t>14 h 00-14 h 15</w:t>
            </w:r>
          </w:p>
        </w:tc>
        <w:tc>
          <w:tcPr>
            <w:tcW w:w="8095" w:type="dxa"/>
          </w:tcPr>
          <w:p w14:paraId="6BD5B65D" w14:textId="79276170" w:rsidR="00A54B47" w:rsidRPr="00B9608A" w:rsidRDefault="00A54B47" w:rsidP="00E443F6">
            <w:pPr>
              <w:pStyle w:val="TableText"/>
              <w:spacing w:before="120" w:after="80"/>
              <w:rPr>
                <w:b/>
                <w:bCs/>
              </w:rPr>
            </w:pPr>
            <w:r w:rsidRPr="00B9608A">
              <w:rPr>
                <w:b/>
                <w:bCs/>
              </w:rPr>
              <w:t>Remarques liminaires</w:t>
            </w:r>
          </w:p>
        </w:tc>
      </w:tr>
      <w:tr w:rsidR="00A54B47" w:rsidRPr="00B9608A" w14:paraId="4598FD10" w14:textId="77777777" w:rsidTr="00E443F6">
        <w:tc>
          <w:tcPr>
            <w:tcW w:w="1614" w:type="dxa"/>
          </w:tcPr>
          <w:p w14:paraId="165378A6" w14:textId="77777777" w:rsidR="00A54B47" w:rsidRPr="00B9608A" w:rsidRDefault="00A54B47" w:rsidP="00E443F6">
            <w:pPr>
              <w:pStyle w:val="TableText"/>
              <w:spacing w:before="120"/>
              <w:jc w:val="center"/>
              <w:rPr>
                <w:b/>
              </w:rPr>
            </w:pPr>
            <w:r w:rsidRPr="00B9608A">
              <w:rPr>
                <w:b/>
              </w:rPr>
              <w:t>14 h 15-15 h 30</w:t>
            </w:r>
          </w:p>
          <w:p w14:paraId="2BA3027F" w14:textId="1C80821F" w:rsidR="00A54B47" w:rsidRPr="00B9608A" w:rsidRDefault="00A54B47" w:rsidP="00A54B47">
            <w:pPr>
              <w:pStyle w:val="TableText"/>
              <w:jc w:val="center"/>
              <w:rPr>
                <w:b/>
              </w:rPr>
            </w:pPr>
            <w:r w:rsidRPr="00B9608A">
              <w:rPr>
                <w:b/>
              </w:rPr>
              <w:t>(1 h 15</w:t>
            </w:r>
            <w:r w:rsidR="00E443F6" w:rsidRPr="00B9608A">
              <w:rPr>
                <w:b/>
              </w:rPr>
              <w:t xml:space="preserve"> </w:t>
            </w:r>
            <w:r w:rsidRPr="00B9608A">
              <w:rPr>
                <w:b/>
              </w:rPr>
              <w:t>min)</w:t>
            </w:r>
          </w:p>
        </w:tc>
        <w:tc>
          <w:tcPr>
            <w:tcW w:w="8095" w:type="dxa"/>
          </w:tcPr>
          <w:p w14:paraId="590A6CA0" w14:textId="14FC30D7" w:rsidR="00A54B47" w:rsidRPr="00B9608A" w:rsidRDefault="00A54B47" w:rsidP="00E443F6">
            <w:pPr>
              <w:pStyle w:val="TableText"/>
              <w:spacing w:before="120"/>
              <w:rPr>
                <w:b/>
              </w:rPr>
            </w:pPr>
            <w:r w:rsidRPr="00B9608A">
              <w:rPr>
                <w:b/>
              </w:rPr>
              <w:t>Séance 1 – Exigences et cas d'utilisation: points de vue du secteur privé et des utilisateurs</w:t>
            </w:r>
          </w:p>
          <w:p w14:paraId="27A37A56" w14:textId="0F3239C1" w:rsidR="00A54B47" w:rsidRPr="00B9608A" w:rsidRDefault="00A54B47" w:rsidP="00E443F6">
            <w:pPr>
              <w:pStyle w:val="TableText"/>
              <w:spacing w:after="80"/>
              <w:rPr>
                <w:bCs/>
                <w:i/>
                <w:iCs/>
              </w:rPr>
            </w:pPr>
            <w:r w:rsidRPr="00B9608A">
              <w:rPr>
                <w:bCs/>
                <w:i/>
                <w:iCs/>
              </w:rPr>
              <w:t>Des cadres, des dirigeants et des directeurs de recherche issus de domaines représentatifs de différents secteurs se réuniront pour donner à l'auditoire l'occasion de faire entendre leurs propres points de vue, qui constituent la base même des exigences relatives aux normes techniques de codage vidéo de prochaine génération. Les secteurs choisis sont notamment les suivants: téléphones et appareils intelligents, Internet/OTT, réseaux sociaux, semi-conducteurs, télécommunications, informatique/nuage et automobile.</w:t>
            </w:r>
          </w:p>
        </w:tc>
      </w:tr>
      <w:tr w:rsidR="00A54B47" w:rsidRPr="00B9608A" w14:paraId="570F264F" w14:textId="77777777" w:rsidTr="00E443F6">
        <w:tc>
          <w:tcPr>
            <w:tcW w:w="1614" w:type="dxa"/>
          </w:tcPr>
          <w:p w14:paraId="79941B42" w14:textId="77777777" w:rsidR="00A54B47" w:rsidRPr="00B9608A" w:rsidRDefault="00A54B47" w:rsidP="00E443F6">
            <w:pPr>
              <w:pStyle w:val="TableText"/>
              <w:spacing w:before="120"/>
              <w:jc w:val="center"/>
              <w:rPr>
                <w:b/>
              </w:rPr>
            </w:pPr>
            <w:r w:rsidRPr="00B9608A">
              <w:rPr>
                <w:b/>
              </w:rPr>
              <w:t>15 h 30-16 h 00</w:t>
            </w:r>
          </w:p>
          <w:p w14:paraId="19311968" w14:textId="610049ED" w:rsidR="00A54B47" w:rsidRPr="00B9608A" w:rsidRDefault="00A54B47" w:rsidP="00A54B47">
            <w:pPr>
              <w:pStyle w:val="TableText"/>
              <w:jc w:val="center"/>
              <w:rPr>
                <w:b/>
              </w:rPr>
            </w:pPr>
            <w:r w:rsidRPr="00B9608A">
              <w:rPr>
                <w:b/>
              </w:rPr>
              <w:t>(1 h)</w:t>
            </w:r>
          </w:p>
        </w:tc>
        <w:tc>
          <w:tcPr>
            <w:tcW w:w="8095" w:type="dxa"/>
          </w:tcPr>
          <w:p w14:paraId="7DD0D42C" w14:textId="77777777" w:rsidR="00A54B47" w:rsidRPr="00B9608A" w:rsidRDefault="00A54B47" w:rsidP="00E443F6">
            <w:pPr>
              <w:pStyle w:val="TableText"/>
              <w:spacing w:before="120"/>
              <w:rPr>
                <w:b/>
              </w:rPr>
            </w:pPr>
            <w:r w:rsidRPr="00B9608A">
              <w:rPr>
                <w:b/>
              </w:rPr>
              <w:t>Séance 2 – Vers la norme H.267/MPEG-Next: situation actuelle au sein du JVET et échéances futures</w:t>
            </w:r>
          </w:p>
          <w:p w14:paraId="0BA86AA0" w14:textId="46E1381B" w:rsidR="00A54B47" w:rsidRPr="00B9608A" w:rsidRDefault="00A54B47" w:rsidP="00E443F6">
            <w:pPr>
              <w:pStyle w:val="TableText"/>
              <w:spacing w:after="80"/>
              <w:rPr>
                <w:bCs/>
                <w:i/>
                <w:iCs/>
              </w:rPr>
            </w:pPr>
            <w:r w:rsidRPr="00B9608A">
              <w:rPr>
                <w:bCs/>
                <w:i/>
                <w:iCs/>
              </w:rPr>
              <w:t>Les grands dirigeants et les principaux experts participant aux travaux du JVET guideront l'auditoire dans un examen de l'état actuel des réflexions concernant la préparation, le plan et le calendrier de l'élaboration des normes techniques de codage de prochaine génération, ainsi que des principaux aspects des technologies, en mettant l'accent sur quelques thèmes tels que le matériel informatique, y compris la synergie entre les unités</w:t>
            </w:r>
            <w:r w:rsidR="00B9608A" w:rsidRPr="00B9608A">
              <w:rPr>
                <w:bCs/>
                <w:i/>
                <w:iCs/>
              </w:rPr>
              <w:t> </w:t>
            </w:r>
            <w:r w:rsidRPr="00B9608A">
              <w:rPr>
                <w:bCs/>
                <w:i/>
                <w:iCs/>
              </w:rPr>
              <w:t>CPU et les unités GPU, l'unification de la mémoire et de l'informatique ou encore la rentabilité de la mise en œuvre.</w:t>
            </w:r>
          </w:p>
        </w:tc>
      </w:tr>
      <w:tr w:rsidR="00A54B47" w:rsidRPr="00B9608A" w14:paraId="41A0A08A" w14:textId="77777777" w:rsidTr="00E443F6">
        <w:tc>
          <w:tcPr>
            <w:tcW w:w="1614" w:type="dxa"/>
          </w:tcPr>
          <w:p w14:paraId="449709D9" w14:textId="77777777" w:rsidR="00A54B47" w:rsidRPr="00B9608A" w:rsidRDefault="00A54B47" w:rsidP="00E443F6">
            <w:pPr>
              <w:pStyle w:val="TableText"/>
              <w:spacing w:before="120"/>
              <w:jc w:val="center"/>
              <w:rPr>
                <w:b/>
                <w:bCs/>
              </w:rPr>
            </w:pPr>
            <w:r w:rsidRPr="00B9608A">
              <w:rPr>
                <w:b/>
                <w:bCs/>
              </w:rPr>
              <w:t>16 h 30-17 h 00</w:t>
            </w:r>
          </w:p>
          <w:p w14:paraId="7B3D88A6" w14:textId="1EA26622" w:rsidR="00A54B47" w:rsidRPr="00B9608A" w:rsidRDefault="00A54B47" w:rsidP="00E443F6">
            <w:pPr>
              <w:pStyle w:val="TableText"/>
              <w:spacing w:after="80"/>
              <w:jc w:val="center"/>
              <w:rPr>
                <w:b/>
              </w:rPr>
            </w:pPr>
            <w:r w:rsidRPr="00B9608A">
              <w:rPr>
                <w:b/>
              </w:rPr>
              <w:t>(30 min)</w:t>
            </w:r>
          </w:p>
        </w:tc>
        <w:tc>
          <w:tcPr>
            <w:tcW w:w="8095" w:type="dxa"/>
          </w:tcPr>
          <w:p w14:paraId="02B0545A" w14:textId="362BC90A" w:rsidR="00A54B47" w:rsidRPr="00B9608A" w:rsidRDefault="00A54B47" w:rsidP="00E443F6">
            <w:pPr>
              <w:pStyle w:val="TableText"/>
              <w:spacing w:before="120"/>
              <w:rPr>
                <w:b/>
              </w:rPr>
            </w:pPr>
            <w:r w:rsidRPr="00B9608A">
              <w:rPr>
                <w:b/>
              </w:rPr>
              <w:t>Pause-café</w:t>
            </w:r>
          </w:p>
        </w:tc>
      </w:tr>
      <w:tr w:rsidR="00A54B47" w:rsidRPr="00B9608A" w14:paraId="5EAF83A1" w14:textId="77777777" w:rsidTr="00E443F6">
        <w:tc>
          <w:tcPr>
            <w:tcW w:w="1614" w:type="dxa"/>
          </w:tcPr>
          <w:p w14:paraId="6FAF450C" w14:textId="77777777" w:rsidR="00A54B47" w:rsidRPr="00B9608A" w:rsidRDefault="00A54B47" w:rsidP="00E443F6">
            <w:pPr>
              <w:pStyle w:val="TableText"/>
              <w:spacing w:before="120"/>
              <w:jc w:val="center"/>
              <w:rPr>
                <w:b/>
              </w:rPr>
            </w:pPr>
            <w:r w:rsidRPr="00B9608A">
              <w:rPr>
                <w:b/>
              </w:rPr>
              <w:t>17 h 00-18 h 15</w:t>
            </w:r>
          </w:p>
          <w:p w14:paraId="4A3BAF8B" w14:textId="3F632CF0" w:rsidR="00A54B47" w:rsidRPr="00B9608A" w:rsidRDefault="00A54B47" w:rsidP="00A54B47">
            <w:pPr>
              <w:pStyle w:val="TableText"/>
              <w:jc w:val="center"/>
              <w:rPr>
                <w:b/>
              </w:rPr>
            </w:pPr>
            <w:r w:rsidRPr="00B9608A">
              <w:rPr>
                <w:b/>
              </w:rPr>
              <w:t>(1 h 15 min)</w:t>
            </w:r>
          </w:p>
        </w:tc>
        <w:tc>
          <w:tcPr>
            <w:tcW w:w="8095" w:type="dxa"/>
          </w:tcPr>
          <w:p w14:paraId="2BD486A3" w14:textId="77777777" w:rsidR="00A54B47" w:rsidRPr="00B9608A" w:rsidRDefault="00A54B47" w:rsidP="00E443F6">
            <w:pPr>
              <w:pStyle w:val="TableText"/>
              <w:spacing w:before="120"/>
              <w:rPr>
                <w:b/>
              </w:rPr>
            </w:pPr>
            <w:r w:rsidRPr="00B9608A">
              <w:rPr>
                <w:b/>
              </w:rPr>
              <w:t>Séance 3 – Aspects pratiques: capacités matérielles et mises en œuvre logicielles</w:t>
            </w:r>
          </w:p>
          <w:p w14:paraId="6ECA3711" w14:textId="0D000883" w:rsidR="00A54B47" w:rsidRPr="00B9608A" w:rsidRDefault="00A54B47" w:rsidP="00E443F6">
            <w:pPr>
              <w:pStyle w:val="TableText"/>
              <w:spacing w:after="80"/>
              <w:rPr>
                <w:bCs/>
                <w:i/>
                <w:iCs/>
              </w:rPr>
            </w:pPr>
            <w:r w:rsidRPr="00B9608A">
              <w:rPr>
                <w:bCs/>
                <w:i/>
                <w:iCs/>
              </w:rPr>
              <w:t xml:space="preserve">Cette séance visera à étudier la jonction fondamentale entre les capacités matérielles et les mises en </w:t>
            </w:r>
            <w:r w:rsidR="00E443F6" w:rsidRPr="00B9608A">
              <w:rPr>
                <w:bCs/>
                <w:i/>
                <w:iCs/>
              </w:rPr>
              <w:t>œ</w:t>
            </w:r>
            <w:r w:rsidRPr="00B9608A">
              <w:rPr>
                <w:bCs/>
                <w:i/>
                <w:iCs/>
              </w:rPr>
              <w:t>uvre logicielles dans le contexte des futures normes de codage vidéo. Des experts échangeront sur les défis et les occasions, sur le plan pratique, liés à la traduction des algorithmes de codage de prochaine génération en solutions concrètes. Les sujets abordés comprendront l</w:t>
            </w:r>
            <w:r w:rsidR="00E443F6" w:rsidRPr="00B9608A">
              <w:rPr>
                <w:bCs/>
                <w:i/>
                <w:iCs/>
              </w:rPr>
              <w:t>'</w:t>
            </w:r>
            <w:r w:rsidRPr="00B9608A">
              <w:rPr>
                <w:bCs/>
                <w:i/>
                <w:iCs/>
              </w:rPr>
              <w:t>optimisation du matériel pour le codage vidéo évolué, l</w:t>
            </w:r>
            <w:r w:rsidR="00E443F6" w:rsidRPr="00B9608A">
              <w:rPr>
                <w:bCs/>
                <w:i/>
                <w:iCs/>
              </w:rPr>
              <w:t>'</w:t>
            </w:r>
            <w:r w:rsidRPr="00B9608A">
              <w:rPr>
                <w:bCs/>
                <w:i/>
                <w:iCs/>
              </w:rPr>
              <w:t>équilibre entre les exigences pour le calcul et l</w:t>
            </w:r>
            <w:r w:rsidR="00E443F6" w:rsidRPr="00B9608A">
              <w:rPr>
                <w:bCs/>
                <w:i/>
                <w:iCs/>
              </w:rPr>
              <w:t>'</w:t>
            </w:r>
            <w:r w:rsidRPr="00B9608A">
              <w:rPr>
                <w:bCs/>
                <w:i/>
                <w:iCs/>
              </w:rPr>
              <w:t>efficacité énergétique, l</w:t>
            </w:r>
            <w:r w:rsidR="00E443F6" w:rsidRPr="00B9608A">
              <w:rPr>
                <w:bCs/>
                <w:i/>
                <w:iCs/>
              </w:rPr>
              <w:t>'</w:t>
            </w:r>
            <w:r w:rsidRPr="00B9608A">
              <w:rPr>
                <w:bCs/>
                <w:i/>
                <w:iCs/>
              </w:rPr>
              <w:t>exploitation du traitement du signal reposant sur l</w:t>
            </w:r>
            <w:r w:rsidR="00E443F6" w:rsidRPr="00B9608A">
              <w:rPr>
                <w:bCs/>
                <w:i/>
                <w:iCs/>
              </w:rPr>
              <w:t>'</w:t>
            </w:r>
            <w:r w:rsidRPr="00B9608A">
              <w:rPr>
                <w:bCs/>
                <w:i/>
                <w:iCs/>
              </w:rPr>
              <w:t>IA et l</w:t>
            </w:r>
            <w:r w:rsidR="00E443F6" w:rsidRPr="00B9608A">
              <w:rPr>
                <w:bCs/>
                <w:i/>
                <w:iCs/>
              </w:rPr>
              <w:t>'</w:t>
            </w:r>
            <w:r w:rsidRPr="00B9608A">
              <w:rPr>
                <w:bCs/>
                <w:i/>
                <w:iCs/>
              </w:rPr>
              <w:t>alignement des innovations logicielles sur les plates-formes matérielles émergentes. Les participants en apprendront davantage sur le caractère réalisable de la mise en œuvre et les compromis en matière de qualité de fonctionnement nécessaires pour un déploiement réussi dans un large éventail de secteurs et de cas d</w:t>
            </w:r>
            <w:r w:rsidR="00E443F6" w:rsidRPr="00B9608A">
              <w:rPr>
                <w:bCs/>
                <w:i/>
                <w:iCs/>
              </w:rPr>
              <w:t>'</w:t>
            </w:r>
            <w:r w:rsidRPr="00B9608A">
              <w:rPr>
                <w:bCs/>
                <w:i/>
                <w:iCs/>
              </w:rPr>
              <w:t>utilisation.</w:t>
            </w:r>
          </w:p>
        </w:tc>
      </w:tr>
      <w:tr w:rsidR="00A54B47" w:rsidRPr="00B9608A" w14:paraId="3BB0683F" w14:textId="77777777" w:rsidTr="00E443F6">
        <w:tc>
          <w:tcPr>
            <w:tcW w:w="1614" w:type="dxa"/>
          </w:tcPr>
          <w:p w14:paraId="75352887" w14:textId="77777777" w:rsidR="00E443F6" w:rsidRPr="00B9608A" w:rsidRDefault="00A54B47" w:rsidP="00E443F6">
            <w:pPr>
              <w:pStyle w:val="TableText"/>
              <w:spacing w:before="120"/>
              <w:jc w:val="center"/>
              <w:rPr>
                <w:b/>
              </w:rPr>
            </w:pPr>
            <w:r w:rsidRPr="00B9608A">
              <w:rPr>
                <w:b/>
              </w:rPr>
              <w:t>18 h 15-18 h 30</w:t>
            </w:r>
          </w:p>
          <w:p w14:paraId="0E59AC74" w14:textId="1360ABA5" w:rsidR="00A54B47" w:rsidRPr="00B9608A" w:rsidRDefault="00A54B47" w:rsidP="00A54B47">
            <w:pPr>
              <w:pStyle w:val="TableText"/>
              <w:jc w:val="center"/>
              <w:rPr>
                <w:b/>
              </w:rPr>
            </w:pPr>
            <w:r w:rsidRPr="00B9608A">
              <w:rPr>
                <w:b/>
              </w:rPr>
              <w:t>(15 min)</w:t>
            </w:r>
          </w:p>
        </w:tc>
        <w:tc>
          <w:tcPr>
            <w:tcW w:w="8095" w:type="dxa"/>
          </w:tcPr>
          <w:p w14:paraId="1E127803" w14:textId="77777777" w:rsidR="00A54B47" w:rsidRPr="00B9608A" w:rsidRDefault="00A54B47" w:rsidP="00E443F6">
            <w:pPr>
              <w:pStyle w:val="TableText"/>
              <w:spacing w:before="120"/>
              <w:rPr>
                <w:b/>
              </w:rPr>
            </w:pPr>
            <w:r w:rsidRPr="00B9608A">
              <w:rPr>
                <w:b/>
              </w:rPr>
              <w:t>Séance 4 – Conclusions et clôture</w:t>
            </w:r>
          </w:p>
          <w:p w14:paraId="2139A660" w14:textId="525E234D" w:rsidR="00A54B47" w:rsidRPr="00B9608A" w:rsidRDefault="00A54B47" w:rsidP="00E443F6">
            <w:pPr>
              <w:pStyle w:val="TableText"/>
              <w:spacing w:after="80"/>
              <w:rPr>
                <w:bCs/>
                <w:i/>
                <w:iCs/>
              </w:rPr>
            </w:pPr>
            <w:r w:rsidRPr="00B9608A">
              <w:rPr>
                <w:bCs/>
                <w:i/>
                <w:iCs/>
              </w:rPr>
              <w:t>Au cours de cette séance, les coordonnateurs de la CE 21 de l</w:t>
            </w:r>
            <w:r w:rsidR="00E443F6" w:rsidRPr="00B9608A">
              <w:rPr>
                <w:bCs/>
                <w:i/>
                <w:iCs/>
              </w:rPr>
              <w:t>'</w:t>
            </w:r>
            <w:r w:rsidRPr="00B9608A">
              <w:rPr>
                <w:bCs/>
                <w:i/>
                <w:iCs/>
              </w:rPr>
              <w:t>UIT-T et du SC 29 du JTC 1 tireront les conclusions des discussions précédentes, y compris en ce qui concerne le mécanisme de collaboration et les principaux éléments du programme d</w:t>
            </w:r>
            <w:r w:rsidR="00AB2A7E" w:rsidRPr="00B9608A">
              <w:rPr>
                <w:bCs/>
                <w:i/>
                <w:iCs/>
              </w:rPr>
              <w:t>'</w:t>
            </w:r>
            <w:r w:rsidRPr="00B9608A">
              <w:rPr>
                <w:bCs/>
                <w:i/>
                <w:iCs/>
              </w:rPr>
              <w:t>élaboration conjointe des normes de codage vidéo de prochaine génération.</w:t>
            </w:r>
          </w:p>
        </w:tc>
      </w:tr>
    </w:tbl>
    <w:p w14:paraId="0E2ABA8F" w14:textId="6B118E2F" w:rsidR="00A54B47" w:rsidRPr="00B9608A" w:rsidRDefault="00A54B47" w:rsidP="00E443F6">
      <w:pPr>
        <w:spacing w:before="0"/>
        <w:jc w:val="center"/>
      </w:pPr>
      <w:r w:rsidRPr="00B9608A">
        <w:t>______________</w:t>
      </w:r>
    </w:p>
    <w:sectPr w:rsidR="00A54B47" w:rsidRPr="00B9608A" w:rsidSect="00A15179">
      <w:headerReference w:type="even" r:id="rId16"/>
      <w:headerReference w:type="default" r:id="rId17"/>
      <w:footerReference w:type="even" r:id="rId18"/>
      <w:footerReference w:type="default" r:id="rId19"/>
      <w:headerReference w:type="firs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F557" w14:textId="77777777" w:rsidR="008E1DF9" w:rsidRDefault="008E1DF9">
      <w:r>
        <w:separator/>
      </w:r>
    </w:p>
  </w:endnote>
  <w:endnote w:type="continuationSeparator" w:id="0">
    <w:p w14:paraId="4921D0DE" w14:textId="77777777" w:rsidR="008E1DF9" w:rsidRDefault="008E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1DFE" w14:textId="77777777" w:rsidR="000C1854" w:rsidRDefault="000C1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E8EF" w14:textId="77777777" w:rsidR="000C1854" w:rsidRDefault="000C1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38E51" w14:textId="77777777" w:rsidR="008E1DF9" w:rsidRDefault="008E1DF9">
      <w:r>
        <w:t>____________________</w:t>
      </w:r>
    </w:p>
  </w:footnote>
  <w:footnote w:type="continuationSeparator" w:id="0">
    <w:p w14:paraId="5CE66252" w14:textId="77777777" w:rsidR="008E1DF9" w:rsidRDefault="008E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9E8A" w14:textId="77777777" w:rsidR="000C1854" w:rsidRDefault="000C1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ABBD" w14:textId="203DE837" w:rsidR="00903C84" w:rsidRPr="00697BC1" w:rsidRDefault="000C1854" w:rsidP="00405BAB">
    <w:pPr>
      <w:pStyle w:val="Header"/>
      <w:rPr>
        <w:noProof/>
        <w:sz w:val="18"/>
        <w:szCs w:val="16"/>
        <w:lang w:eastAsia="zh-CN"/>
      </w:rPr>
    </w:pPr>
    <w:r w:rsidRPr="000C1854">
      <w:rPr>
        <w:rFonts w:hint="eastAsia"/>
        <w:sz w:val="18"/>
        <w:szCs w:val="16"/>
        <w:lang w:eastAsia="zh-CN"/>
      </w:rPr>
      <w:t>-</w:t>
    </w:r>
    <w:r>
      <w:rPr>
        <w:sz w:val="18"/>
        <w:szCs w:val="16"/>
      </w:rPr>
      <w:t xml:space="preserve"> </w:t>
    </w: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Pr>
            <w:rFonts w:hint="eastAsia"/>
            <w:noProof/>
            <w:sz w:val="18"/>
            <w:szCs w:val="16"/>
            <w:lang w:eastAsia="zh-CN"/>
          </w:rPr>
          <w:t xml:space="preserve"> -</w:t>
        </w:r>
      </w:sdtContent>
    </w:sdt>
    <w:r w:rsidR="00AF0D7D">
      <w:rPr>
        <w:noProof/>
        <w:sz w:val="18"/>
        <w:szCs w:val="16"/>
      </w:rPr>
      <w:br/>
      <w:t xml:space="preserve">Circulaire TSB </w:t>
    </w:r>
    <w:r w:rsidR="00CE3C55">
      <w:rPr>
        <w:noProof/>
        <w:sz w:val="18"/>
        <w:szCs w:val="16"/>
      </w:rPr>
      <w:t>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3024" w14:textId="77777777" w:rsidR="000C1854" w:rsidRDefault="000C1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D085E19"/>
    <w:multiLevelType w:val="hybridMultilevel"/>
    <w:tmpl w:val="AEEE83BE"/>
    <w:lvl w:ilvl="0" w:tplc="6A84BB3E">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63FC0CD2"/>
    <w:multiLevelType w:val="hybridMultilevel"/>
    <w:tmpl w:val="2B5AA530"/>
    <w:lvl w:ilvl="0" w:tplc="79F2C48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15:restartNumberingAfterBreak="0">
    <w:nsid w:val="67590DBD"/>
    <w:multiLevelType w:val="hybridMultilevel"/>
    <w:tmpl w:val="7B3EA13A"/>
    <w:lvl w:ilvl="0" w:tplc="44CE278C">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6"/>
  </w:num>
  <w:num w:numId="3" w16cid:durableId="2075545744">
    <w:abstractNumId w:val="2"/>
  </w:num>
  <w:num w:numId="4" w16cid:durableId="1871449755">
    <w:abstractNumId w:val="0"/>
  </w:num>
  <w:num w:numId="5" w16cid:durableId="1080832788">
    <w:abstractNumId w:val="3"/>
  </w:num>
  <w:num w:numId="6" w16cid:durableId="911164357">
    <w:abstractNumId w:val="5"/>
  </w:num>
  <w:num w:numId="7" w16cid:durableId="340858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854"/>
    <w:rsid w:val="000C1F6B"/>
    <w:rsid w:val="000C25CC"/>
    <w:rsid w:val="000C56BE"/>
    <w:rsid w:val="000D2C06"/>
    <w:rsid w:val="001026FD"/>
    <w:rsid w:val="001077FD"/>
    <w:rsid w:val="00115DD7"/>
    <w:rsid w:val="001340FD"/>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66AD"/>
    <w:rsid w:val="004033F1"/>
    <w:rsid w:val="00405BAB"/>
    <w:rsid w:val="00414B0C"/>
    <w:rsid w:val="00423C21"/>
    <w:rsid w:val="004257AC"/>
    <w:rsid w:val="00427881"/>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7E75C9"/>
    <w:rsid w:val="00810105"/>
    <w:rsid w:val="008157E0"/>
    <w:rsid w:val="00850477"/>
    <w:rsid w:val="00854E1D"/>
    <w:rsid w:val="00887FA6"/>
    <w:rsid w:val="008C4397"/>
    <w:rsid w:val="008C465A"/>
    <w:rsid w:val="008E1DF9"/>
    <w:rsid w:val="008F2C9B"/>
    <w:rsid w:val="00903C84"/>
    <w:rsid w:val="00923CD6"/>
    <w:rsid w:val="00935AA8"/>
    <w:rsid w:val="00971C9A"/>
    <w:rsid w:val="009D51FA"/>
    <w:rsid w:val="009F1E23"/>
    <w:rsid w:val="00A15179"/>
    <w:rsid w:val="00A51537"/>
    <w:rsid w:val="00A5280F"/>
    <w:rsid w:val="00A54B47"/>
    <w:rsid w:val="00A5645A"/>
    <w:rsid w:val="00A60FC1"/>
    <w:rsid w:val="00A97C37"/>
    <w:rsid w:val="00AA131B"/>
    <w:rsid w:val="00AB2A7E"/>
    <w:rsid w:val="00AC37B5"/>
    <w:rsid w:val="00AD752F"/>
    <w:rsid w:val="00AF08A4"/>
    <w:rsid w:val="00AF0D7D"/>
    <w:rsid w:val="00B27B41"/>
    <w:rsid w:val="00B42659"/>
    <w:rsid w:val="00B46F2D"/>
    <w:rsid w:val="00B60868"/>
    <w:rsid w:val="00B8573E"/>
    <w:rsid w:val="00B9608A"/>
    <w:rsid w:val="00BB24C0"/>
    <w:rsid w:val="00BD6ECF"/>
    <w:rsid w:val="00C040FF"/>
    <w:rsid w:val="00C26F2E"/>
    <w:rsid w:val="00C302E3"/>
    <w:rsid w:val="00C41B89"/>
    <w:rsid w:val="00C45376"/>
    <w:rsid w:val="00C9028F"/>
    <w:rsid w:val="00CA0416"/>
    <w:rsid w:val="00CB1125"/>
    <w:rsid w:val="00CB4E80"/>
    <w:rsid w:val="00CD042E"/>
    <w:rsid w:val="00CE3C55"/>
    <w:rsid w:val="00CF2560"/>
    <w:rsid w:val="00CF5B46"/>
    <w:rsid w:val="00D42E36"/>
    <w:rsid w:val="00D46B68"/>
    <w:rsid w:val="00D542A5"/>
    <w:rsid w:val="00DC3D47"/>
    <w:rsid w:val="00DD77DA"/>
    <w:rsid w:val="00E06C61"/>
    <w:rsid w:val="00E13DB3"/>
    <w:rsid w:val="00E2408B"/>
    <w:rsid w:val="00E4271F"/>
    <w:rsid w:val="00E443F6"/>
    <w:rsid w:val="00E62CEA"/>
    <w:rsid w:val="00E72AE1"/>
    <w:rsid w:val="00EB263B"/>
    <w:rsid w:val="00EB557D"/>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A5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A54B4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1491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ITU-T/studygroups/2022-2024/16/video/Pages/jve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eg.org/meetings/mpeg-14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itu.int/en/ITU-T/studygroups/2025-2028/21/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25/0117/Pages/default.asp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44</TotalTime>
  <Pages>3</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9870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14</cp:revision>
  <cp:lastPrinted>2025-06-19T14:00:00Z</cp:lastPrinted>
  <dcterms:created xsi:type="dcterms:W3CDTF">2025-01-03T10:43:00Z</dcterms:created>
  <dcterms:modified xsi:type="dcterms:W3CDTF">2025-06-19T14:00:00Z</dcterms:modified>
</cp:coreProperties>
</file>