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4" w:type="dxa"/>
        <w:tblInd w:w="-90" w:type="dxa"/>
        <w:tblLayout w:type="fixed"/>
        <w:tblCellMar>
          <w:left w:w="0" w:type="dxa"/>
          <w:right w:w="0" w:type="dxa"/>
        </w:tblCellMar>
        <w:tblLook w:val="0000" w:firstRow="0" w:lastRow="0" w:firstColumn="0" w:lastColumn="0" w:noHBand="0" w:noVBand="0"/>
      </w:tblPr>
      <w:tblGrid>
        <w:gridCol w:w="1170"/>
        <w:gridCol w:w="3870"/>
        <w:gridCol w:w="5264"/>
      </w:tblGrid>
      <w:tr w:rsidR="007B6316" w14:paraId="3DABBE5C" w14:textId="77777777" w:rsidTr="00AD47B9">
        <w:trPr>
          <w:cantSplit/>
          <w:trHeight w:val="340"/>
        </w:trPr>
        <w:tc>
          <w:tcPr>
            <w:tcW w:w="1170" w:type="dxa"/>
          </w:tcPr>
          <w:p w14:paraId="23A3273A"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34E641AB" wp14:editId="08198FDA">
                  <wp:extent cx="704850" cy="7048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9134" w:type="dxa"/>
            <w:gridSpan w:val="2"/>
            <w:vAlign w:val="center"/>
          </w:tcPr>
          <w:p w14:paraId="452494A4"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76736BD"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AD47B9" w14:paraId="7645E2E2" w14:textId="77777777" w:rsidTr="00AD47B9">
        <w:trPr>
          <w:cantSplit/>
          <w:trHeight w:val="340"/>
        </w:trPr>
        <w:tc>
          <w:tcPr>
            <w:tcW w:w="1170" w:type="dxa"/>
          </w:tcPr>
          <w:p w14:paraId="00B2B720" w14:textId="77777777" w:rsidR="007B6316" w:rsidRPr="00AD47B9" w:rsidRDefault="007B6316" w:rsidP="00303D62">
            <w:pPr>
              <w:tabs>
                <w:tab w:val="left" w:pos="4111"/>
              </w:tabs>
              <w:spacing w:before="10"/>
              <w:ind w:left="57"/>
              <w:rPr>
                <w:rFonts w:cstheme="minorHAnsi"/>
                <w:b/>
                <w:bCs/>
                <w:sz w:val="22"/>
                <w:szCs w:val="22"/>
              </w:rPr>
            </w:pPr>
          </w:p>
        </w:tc>
        <w:tc>
          <w:tcPr>
            <w:tcW w:w="3870" w:type="dxa"/>
          </w:tcPr>
          <w:p w14:paraId="63280916" w14:textId="77777777" w:rsidR="007B6316" w:rsidRPr="00AD47B9" w:rsidRDefault="007B6316" w:rsidP="00303D62">
            <w:pPr>
              <w:tabs>
                <w:tab w:val="left" w:pos="4111"/>
              </w:tabs>
              <w:spacing w:before="0"/>
              <w:ind w:left="57"/>
              <w:rPr>
                <w:rFonts w:cstheme="minorHAnsi"/>
                <w:b/>
                <w:sz w:val="22"/>
                <w:szCs w:val="22"/>
              </w:rPr>
            </w:pPr>
          </w:p>
        </w:tc>
        <w:tc>
          <w:tcPr>
            <w:tcW w:w="5264" w:type="dxa"/>
          </w:tcPr>
          <w:p w14:paraId="11F16F42" w14:textId="3F5FC4AE" w:rsidR="007B6316" w:rsidRPr="00AD47B9" w:rsidRDefault="007B6316" w:rsidP="00AD47B9">
            <w:pPr>
              <w:tabs>
                <w:tab w:val="clear" w:pos="794"/>
                <w:tab w:val="clear" w:pos="1191"/>
                <w:tab w:val="clear" w:pos="1588"/>
                <w:tab w:val="clear" w:pos="1985"/>
                <w:tab w:val="left" w:pos="330"/>
              </w:tabs>
              <w:spacing w:after="120"/>
              <w:ind w:left="284" w:hanging="227"/>
              <w:rPr>
                <w:rFonts w:cstheme="minorHAnsi"/>
                <w:sz w:val="22"/>
                <w:szCs w:val="22"/>
              </w:rPr>
            </w:pPr>
            <w:r w:rsidRPr="00AD47B9">
              <w:rPr>
                <w:rFonts w:cstheme="minorHAnsi"/>
                <w:sz w:val="22"/>
                <w:szCs w:val="22"/>
              </w:rPr>
              <w:t>Ginebra,</w:t>
            </w:r>
            <w:r w:rsidR="00D347EF" w:rsidRPr="00AD47B9">
              <w:rPr>
                <w:rFonts w:cstheme="minorHAnsi"/>
                <w:sz w:val="22"/>
                <w:szCs w:val="22"/>
              </w:rPr>
              <w:t xml:space="preserve"> 15 de noviembre de 2024</w:t>
            </w:r>
          </w:p>
        </w:tc>
      </w:tr>
      <w:tr w:rsidR="001350B9" w:rsidRPr="00AD47B9" w14:paraId="32A3013F" w14:textId="77777777" w:rsidTr="00AD47B9">
        <w:trPr>
          <w:cantSplit/>
          <w:trHeight w:val="340"/>
        </w:trPr>
        <w:tc>
          <w:tcPr>
            <w:tcW w:w="1170" w:type="dxa"/>
          </w:tcPr>
          <w:p w14:paraId="721DE2DF" w14:textId="77777777" w:rsidR="001350B9" w:rsidRPr="00AD47B9" w:rsidRDefault="001350B9" w:rsidP="00303D62">
            <w:pPr>
              <w:tabs>
                <w:tab w:val="left" w:pos="4111"/>
              </w:tabs>
              <w:spacing w:before="10"/>
              <w:ind w:left="57"/>
              <w:rPr>
                <w:rFonts w:cstheme="minorHAnsi"/>
                <w:b/>
                <w:bCs/>
                <w:sz w:val="22"/>
                <w:szCs w:val="22"/>
              </w:rPr>
            </w:pPr>
            <w:r w:rsidRPr="00AD47B9">
              <w:rPr>
                <w:rFonts w:cstheme="minorHAnsi"/>
                <w:b/>
                <w:bCs/>
                <w:sz w:val="22"/>
                <w:szCs w:val="22"/>
              </w:rPr>
              <w:t>Ref.:</w:t>
            </w:r>
          </w:p>
          <w:p w14:paraId="7F957F11" w14:textId="77777777" w:rsidR="001350B9" w:rsidRPr="00AD47B9" w:rsidRDefault="001350B9" w:rsidP="007B6316">
            <w:pPr>
              <w:tabs>
                <w:tab w:val="left" w:pos="4111"/>
              </w:tabs>
              <w:spacing w:before="10"/>
              <w:ind w:left="57"/>
              <w:rPr>
                <w:rFonts w:cstheme="minorHAnsi"/>
                <w:sz w:val="22"/>
                <w:szCs w:val="22"/>
              </w:rPr>
            </w:pPr>
          </w:p>
        </w:tc>
        <w:tc>
          <w:tcPr>
            <w:tcW w:w="3870" w:type="dxa"/>
          </w:tcPr>
          <w:p w14:paraId="2538AB55" w14:textId="6637269E" w:rsidR="001350B9" w:rsidRPr="00AD47B9" w:rsidRDefault="001350B9" w:rsidP="00303D62">
            <w:pPr>
              <w:tabs>
                <w:tab w:val="left" w:pos="4111"/>
              </w:tabs>
              <w:spacing w:before="0"/>
              <w:ind w:left="57"/>
              <w:rPr>
                <w:rFonts w:cstheme="minorHAnsi"/>
                <w:b/>
                <w:sz w:val="22"/>
                <w:szCs w:val="22"/>
                <w:lang w:val="en-US"/>
              </w:rPr>
            </w:pPr>
            <w:r w:rsidRPr="00AD47B9">
              <w:rPr>
                <w:rFonts w:cstheme="minorHAnsi"/>
                <w:b/>
                <w:sz w:val="22"/>
                <w:szCs w:val="22"/>
                <w:lang w:val="en-US"/>
              </w:rPr>
              <w:t xml:space="preserve">Circular TSB </w:t>
            </w:r>
            <w:r w:rsidR="00D347EF" w:rsidRPr="00AD47B9">
              <w:rPr>
                <w:rFonts w:cstheme="minorHAnsi"/>
                <w:b/>
                <w:sz w:val="22"/>
                <w:szCs w:val="22"/>
                <w:lang w:val="en-US"/>
              </w:rPr>
              <w:t>007</w:t>
            </w:r>
          </w:p>
          <w:p w14:paraId="645866CF" w14:textId="6D2F764F" w:rsidR="001350B9" w:rsidRPr="00AD47B9" w:rsidRDefault="00D347EF" w:rsidP="007B6316">
            <w:pPr>
              <w:tabs>
                <w:tab w:val="left" w:pos="4111"/>
              </w:tabs>
              <w:spacing w:before="0"/>
              <w:ind w:left="57"/>
              <w:rPr>
                <w:rFonts w:cstheme="minorHAnsi"/>
                <w:b/>
                <w:sz w:val="22"/>
                <w:szCs w:val="22"/>
                <w:lang w:val="en-US"/>
              </w:rPr>
            </w:pPr>
            <w:r w:rsidRPr="00AD47B9">
              <w:rPr>
                <w:rFonts w:cstheme="minorHAnsi"/>
                <w:sz w:val="22"/>
                <w:szCs w:val="22"/>
                <w:lang w:val="en-US"/>
              </w:rPr>
              <w:t>TSB Events/MCB</w:t>
            </w:r>
          </w:p>
        </w:tc>
        <w:tc>
          <w:tcPr>
            <w:tcW w:w="5264" w:type="dxa"/>
            <w:vMerge w:val="restart"/>
          </w:tcPr>
          <w:p w14:paraId="54BFC326" w14:textId="48AFFC3C"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rPr>
            </w:pPr>
            <w:bookmarkStart w:id="0" w:name="Addressee_S"/>
            <w:bookmarkEnd w:id="0"/>
            <w:r w:rsidRPr="00AD47B9">
              <w:rPr>
                <w:rFonts w:cstheme="minorHAnsi"/>
                <w:sz w:val="22"/>
                <w:szCs w:val="22"/>
              </w:rPr>
              <w:t>–</w:t>
            </w:r>
            <w:r w:rsidR="001350B9" w:rsidRPr="00AD47B9">
              <w:rPr>
                <w:rFonts w:cstheme="minorHAnsi"/>
                <w:sz w:val="22"/>
                <w:szCs w:val="22"/>
              </w:rPr>
              <w:tab/>
              <w:t>A las Administraciones de los Estados Miembros de la Unión</w:t>
            </w:r>
          </w:p>
          <w:p w14:paraId="24AE1B99" w14:textId="34D52344"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rPr>
            </w:pPr>
            <w:r w:rsidRPr="00AD47B9">
              <w:rPr>
                <w:rFonts w:cstheme="minorHAnsi"/>
                <w:sz w:val="22"/>
                <w:szCs w:val="22"/>
              </w:rPr>
              <w:t>–</w:t>
            </w:r>
            <w:r w:rsidR="001350B9" w:rsidRPr="00AD47B9">
              <w:rPr>
                <w:rFonts w:cstheme="minorHAnsi"/>
                <w:sz w:val="22"/>
                <w:szCs w:val="22"/>
              </w:rPr>
              <w:tab/>
              <w:t>A los Miembros de Sector</w:t>
            </w:r>
            <w:r w:rsidRPr="00AD47B9">
              <w:rPr>
                <w:rFonts w:cstheme="minorHAnsi"/>
                <w:sz w:val="22"/>
                <w:szCs w:val="22"/>
              </w:rPr>
              <w:t xml:space="preserve"> del</w:t>
            </w:r>
            <w:r w:rsidR="001350B9" w:rsidRPr="00AD47B9">
              <w:rPr>
                <w:rFonts w:cstheme="minorHAnsi"/>
                <w:sz w:val="22"/>
                <w:szCs w:val="22"/>
              </w:rPr>
              <w:t xml:space="preserve"> UIT</w:t>
            </w:r>
            <w:r w:rsidR="001350B9" w:rsidRPr="00AD47B9">
              <w:rPr>
                <w:rFonts w:cstheme="minorHAnsi"/>
                <w:sz w:val="22"/>
                <w:szCs w:val="22"/>
              </w:rPr>
              <w:noBreakHyphen/>
              <w:t>T;</w:t>
            </w:r>
          </w:p>
          <w:p w14:paraId="0006148D" w14:textId="4E68A2FB"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rPr>
            </w:pPr>
            <w:r w:rsidRPr="00AD47B9">
              <w:rPr>
                <w:rFonts w:cstheme="minorHAnsi"/>
                <w:sz w:val="22"/>
                <w:szCs w:val="22"/>
              </w:rPr>
              <w:t>–</w:t>
            </w:r>
            <w:r w:rsidR="001350B9" w:rsidRPr="00AD47B9">
              <w:rPr>
                <w:rFonts w:cstheme="minorHAnsi"/>
                <w:sz w:val="22"/>
                <w:szCs w:val="22"/>
              </w:rPr>
              <w:tab/>
              <w:t>A los Asociados del UIT</w:t>
            </w:r>
            <w:r w:rsidR="001350B9" w:rsidRPr="00AD47B9">
              <w:rPr>
                <w:rFonts w:cstheme="minorHAnsi"/>
                <w:sz w:val="22"/>
                <w:szCs w:val="22"/>
              </w:rPr>
              <w:noBreakHyphen/>
              <w:t>T;</w:t>
            </w:r>
          </w:p>
          <w:p w14:paraId="0A157D66" w14:textId="2A2F8970"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rPr>
            </w:pPr>
            <w:r w:rsidRPr="00AD47B9">
              <w:rPr>
                <w:rFonts w:cstheme="minorHAnsi"/>
                <w:sz w:val="22"/>
                <w:szCs w:val="22"/>
              </w:rPr>
              <w:t>–</w:t>
            </w:r>
            <w:r w:rsidR="001350B9" w:rsidRPr="00AD47B9">
              <w:rPr>
                <w:rFonts w:cstheme="minorHAnsi"/>
                <w:sz w:val="22"/>
                <w:szCs w:val="22"/>
              </w:rPr>
              <w:tab/>
              <w:t>A las Instituciones Académicas del UIT-T</w:t>
            </w:r>
            <w:r w:rsidRPr="00AD47B9">
              <w:rPr>
                <w:rFonts w:cstheme="minorHAnsi"/>
                <w:sz w:val="22"/>
                <w:szCs w:val="22"/>
              </w:rPr>
              <w:t>.</w:t>
            </w:r>
          </w:p>
          <w:p w14:paraId="0B0DCF02" w14:textId="7CAC7FDF" w:rsidR="00D347EF" w:rsidRPr="00AD47B9" w:rsidRDefault="00D347EF" w:rsidP="00AD47B9">
            <w:pPr>
              <w:tabs>
                <w:tab w:val="clear" w:pos="794"/>
                <w:tab w:val="clear" w:pos="1191"/>
                <w:tab w:val="clear" w:pos="1588"/>
                <w:tab w:val="clear" w:pos="1985"/>
                <w:tab w:val="left" w:pos="330"/>
              </w:tabs>
              <w:spacing w:before="40"/>
              <w:ind w:left="288" w:hanging="230"/>
              <w:rPr>
                <w:rFonts w:cstheme="minorHAnsi"/>
                <w:b/>
                <w:bCs/>
                <w:sz w:val="22"/>
                <w:szCs w:val="22"/>
              </w:rPr>
            </w:pPr>
            <w:r w:rsidRPr="00AD47B9">
              <w:rPr>
                <w:rFonts w:cstheme="minorHAnsi"/>
                <w:b/>
                <w:bCs/>
                <w:sz w:val="22"/>
                <w:szCs w:val="22"/>
              </w:rPr>
              <w:t>Copia:</w:t>
            </w:r>
          </w:p>
          <w:p w14:paraId="6500CE85" w14:textId="44E4EBB4"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rPr>
            </w:pPr>
            <w:r w:rsidRPr="00AD47B9">
              <w:rPr>
                <w:rFonts w:cstheme="minorHAnsi"/>
                <w:sz w:val="22"/>
                <w:szCs w:val="22"/>
              </w:rPr>
              <w:t>–</w:t>
            </w:r>
            <w:r w:rsidR="001350B9" w:rsidRPr="00AD47B9">
              <w:rPr>
                <w:rFonts w:cstheme="minorHAnsi"/>
                <w:sz w:val="22"/>
                <w:szCs w:val="22"/>
              </w:rPr>
              <w:tab/>
              <w:t>A</w:t>
            </w:r>
            <w:r w:rsidRPr="00AD47B9">
              <w:rPr>
                <w:rFonts w:cstheme="minorHAnsi"/>
                <w:sz w:val="22"/>
                <w:szCs w:val="22"/>
              </w:rPr>
              <w:t xml:space="preserve"> los</w:t>
            </w:r>
            <w:r w:rsidR="001350B9" w:rsidRPr="00AD47B9">
              <w:rPr>
                <w:rFonts w:cstheme="minorHAnsi"/>
                <w:sz w:val="22"/>
                <w:szCs w:val="22"/>
              </w:rPr>
              <w:t xml:space="preserve"> </w:t>
            </w:r>
            <w:proofErr w:type="gramStart"/>
            <w:r w:rsidR="001350B9" w:rsidRPr="00AD47B9">
              <w:rPr>
                <w:rFonts w:cstheme="minorHAnsi"/>
                <w:sz w:val="22"/>
                <w:szCs w:val="22"/>
              </w:rPr>
              <w:t>Presidente</w:t>
            </w:r>
            <w:r w:rsidRPr="00AD47B9">
              <w:rPr>
                <w:rFonts w:cstheme="minorHAnsi"/>
                <w:sz w:val="22"/>
                <w:szCs w:val="22"/>
              </w:rPr>
              <w:t>s</w:t>
            </w:r>
            <w:proofErr w:type="gramEnd"/>
            <w:r w:rsidR="001350B9" w:rsidRPr="00AD47B9">
              <w:rPr>
                <w:rFonts w:cstheme="minorHAnsi"/>
                <w:sz w:val="22"/>
                <w:szCs w:val="22"/>
              </w:rPr>
              <w:t xml:space="preserve"> y a los </w:t>
            </w:r>
            <w:proofErr w:type="gramStart"/>
            <w:r w:rsidR="001350B9" w:rsidRPr="00AD47B9">
              <w:rPr>
                <w:rFonts w:cstheme="minorHAnsi"/>
                <w:sz w:val="22"/>
                <w:szCs w:val="22"/>
              </w:rPr>
              <w:t>Vicepresidentes</w:t>
            </w:r>
            <w:proofErr w:type="gramEnd"/>
            <w:r w:rsidR="001350B9" w:rsidRPr="00AD47B9">
              <w:rPr>
                <w:rFonts w:cstheme="minorHAnsi"/>
                <w:sz w:val="22"/>
                <w:szCs w:val="22"/>
              </w:rPr>
              <w:t xml:space="preserve"> de la</w:t>
            </w:r>
            <w:r w:rsidRPr="00AD47B9">
              <w:rPr>
                <w:rFonts w:cstheme="minorHAnsi"/>
                <w:sz w:val="22"/>
                <w:szCs w:val="22"/>
              </w:rPr>
              <w:t xml:space="preserve">s </w:t>
            </w:r>
            <w:r w:rsidR="001350B9" w:rsidRPr="00AD47B9">
              <w:rPr>
                <w:rFonts w:cstheme="minorHAnsi"/>
                <w:sz w:val="22"/>
                <w:szCs w:val="22"/>
              </w:rPr>
              <w:t>Comisi</w:t>
            </w:r>
            <w:r w:rsidRPr="00AD47B9">
              <w:rPr>
                <w:rFonts w:cstheme="minorHAnsi"/>
                <w:sz w:val="22"/>
                <w:szCs w:val="22"/>
              </w:rPr>
              <w:t>ones</w:t>
            </w:r>
            <w:r w:rsidR="001350B9" w:rsidRPr="00AD47B9">
              <w:rPr>
                <w:rFonts w:cstheme="minorHAnsi"/>
                <w:sz w:val="22"/>
                <w:szCs w:val="22"/>
              </w:rPr>
              <w:t xml:space="preserve"> de Estudio;</w:t>
            </w:r>
          </w:p>
          <w:p w14:paraId="65D0D61F" w14:textId="5117C7B9"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rPr>
            </w:pPr>
            <w:r w:rsidRPr="00AD47B9">
              <w:rPr>
                <w:rFonts w:cstheme="minorHAnsi"/>
                <w:sz w:val="22"/>
                <w:szCs w:val="22"/>
              </w:rPr>
              <w:t>–</w:t>
            </w:r>
            <w:r w:rsidR="001350B9" w:rsidRPr="00AD47B9">
              <w:rPr>
                <w:rFonts w:cstheme="minorHAnsi"/>
                <w:sz w:val="22"/>
                <w:szCs w:val="22"/>
              </w:rPr>
              <w:tab/>
              <w:t xml:space="preserve">Al </w:t>
            </w:r>
            <w:proofErr w:type="gramStart"/>
            <w:r w:rsidR="001350B9" w:rsidRPr="00AD47B9">
              <w:rPr>
                <w:rFonts w:cstheme="minorHAnsi"/>
                <w:sz w:val="22"/>
                <w:szCs w:val="22"/>
              </w:rPr>
              <w:t>Director</w:t>
            </w:r>
            <w:proofErr w:type="gramEnd"/>
            <w:r w:rsidR="001350B9" w:rsidRPr="00AD47B9">
              <w:rPr>
                <w:rFonts w:cstheme="minorHAnsi"/>
                <w:sz w:val="22"/>
                <w:szCs w:val="22"/>
              </w:rPr>
              <w:t xml:space="preserve"> de la Oficina de Desarrollo de las Telecomunicaciones;</w:t>
            </w:r>
          </w:p>
          <w:p w14:paraId="317F7AEF" w14:textId="3447E099" w:rsidR="001350B9"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rPr>
            </w:pPr>
            <w:r w:rsidRPr="00AD47B9">
              <w:rPr>
                <w:rFonts w:cstheme="minorHAnsi"/>
                <w:sz w:val="22"/>
                <w:szCs w:val="22"/>
              </w:rPr>
              <w:t>–</w:t>
            </w:r>
            <w:r w:rsidR="001350B9" w:rsidRPr="00AD47B9">
              <w:rPr>
                <w:rFonts w:cstheme="minorHAnsi"/>
                <w:sz w:val="22"/>
                <w:szCs w:val="22"/>
              </w:rPr>
              <w:tab/>
              <w:t xml:space="preserve">Al </w:t>
            </w:r>
            <w:proofErr w:type="gramStart"/>
            <w:r w:rsidR="001350B9" w:rsidRPr="00AD47B9">
              <w:rPr>
                <w:rFonts w:cstheme="minorHAnsi"/>
                <w:sz w:val="22"/>
                <w:szCs w:val="22"/>
              </w:rPr>
              <w:t>Director</w:t>
            </w:r>
            <w:proofErr w:type="gramEnd"/>
            <w:r w:rsidR="001350B9" w:rsidRPr="00AD47B9">
              <w:rPr>
                <w:rFonts w:cstheme="minorHAnsi"/>
                <w:sz w:val="22"/>
                <w:szCs w:val="22"/>
              </w:rPr>
              <w:t xml:space="preserve"> de la Oficina de Radiocomunicaciones</w:t>
            </w:r>
            <w:r w:rsidRPr="00AD47B9">
              <w:rPr>
                <w:rFonts w:cstheme="minorHAnsi"/>
                <w:sz w:val="22"/>
                <w:szCs w:val="22"/>
              </w:rPr>
              <w:t>;</w:t>
            </w:r>
          </w:p>
          <w:p w14:paraId="1FDEBFDE" w14:textId="00E5C966"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lang w:val="es-ES"/>
              </w:rPr>
            </w:pPr>
            <w:r w:rsidRPr="00AD47B9">
              <w:rPr>
                <w:rFonts w:cstheme="minorHAnsi"/>
                <w:sz w:val="22"/>
                <w:szCs w:val="22"/>
              </w:rPr>
              <w:t>–</w:t>
            </w:r>
            <w:r w:rsidRPr="00AD47B9">
              <w:rPr>
                <w:rFonts w:cstheme="minorHAnsi"/>
                <w:sz w:val="22"/>
                <w:szCs w:val="22"/>
              </w:rPr>
              <w:tab/>
              <w:t xml:space="preserve">Al </w:t>
            </w:r>
            <w:proofErr w:type="gramStart"/>
            <w:r w:rsidRPr="00AD47B9">
              <w:rPr>
                <w:rFonts w:cstheme="minorHAnsi"/>
                <w:sz w:val="22"/>
                <w:szCs w:val="22"/>
                <w:lang w:val="es-ES"/>
              </w:rPr>
              <w:t>Director</w:t>
            </w:r>
            <w:proofErr w:type="gramEnd"/>
            <w:r w:rsidRPr="00AD47B9">
              <w:rPr>
                <w:rFonts w:cstheme="minorHAnsi"/>
                <w:sz w:val="22"/>
                <w:szCs w:val="22"/>
                <w:lang w:val="es-ES"/>
              </w:rPr>
              <w:t xml:space="preserve"> de la Oficina Regional de la UIT para la Región Árabe, El Cairo, Egipto;</w:t>
            </w:r>
          </w:p>
          <w:p w14:paraId="360990C3" w14:textId="6986F27A"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lang w:val="es-ES"/>
              </w:rPr>
            </w:pPr>
            <w:r w:rsidRPr="00AD47B9">
              <w:rPr>
                <w:rFonts w:cstheme="minorHAnsi"/>
                <w:sz w:val="22"/>
                <w:szCs w:val="22"/>
                <w:lang w:val="es-ES"/>
              </w:rPr>
              <w:t>–</w:t>
            </w:r>
            <w:r w:rsidRPr="00AD47B9">
              <w:rPr>
                <w:rFonts w:cstheme="minorHAnsi"/>
                <w:sz w:val="22"/>
                <w:szCs w:val="22"/>
                <w:lang w:val="es-ES"/>
              </w:rPr>
              <w:tab/>
              <w:t xml:space="preserve">Al </w:t>
            </w:r>
            <w:proofErr w:type="gramStart"/>
            <w:r w:rsidRPr="00AD47B9">
              <w:rPr>
                <w:rFonts w:cstheme="minorHAnsi"/>
                <w:sz w:val="22"/>
                <w:szCs w:val="22"/>
                <w:lang w:val="es-ES"/>
              </w:rPr>
              <w:t>Director</w:t>
            </w:r>
            <w:proofErr w:type="gramEnd"/>
            <w:r w:rsidRPr="00AD47B9">
              <w:rPr>
                <w:rFonts w:cstheme="minorHAnsi"/>
                <w:sz w:val="22"/>
                <w:szCs w:val="22"/>
                <w:lang w:val="es-ES"/>
              </w:rPr>
              <w:t xml:space="preserve"> de la Oficina Regional de la UIT para África, Addis Abeba, Etiopía;</w:t>
            </w:r>
          </w:p>
          <w:p w14:paraId="16070BC6" w14:textId="23016982"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lang w:val="es-ES"/>
              </w:rPr>
            </w:pPr>
            <w:r w:rsidRPr="00AD47B9">
              <w:rPr>
                <w:rFonts w:cstheme="minorHAnsi"/>
                <w:sz w:val="22"/>
                <w:szCs w:val="22"/>
                <w:lang w:val="es-ES"/>
              </w:rPr>
              <w:t>–-</w:t>
            </w:r>
            <w:r w:rsidRPr="00AD47B9">
              <w:rPr>
                <w:rFonts w:cstheme="minorHAnsi"/>
                <w:sz w:val="22"/>
                <w:szCs w:val="22"/>
                <w:lang w:val="es-ES"/>
              </w:rPr>
              <w:tab/>
              <w:t>A la Unión Africana de Telecomunicaciones (UAT);</w:t>
            </w:r>
          </w:p>
          <w:p w14:paraId="46FB52C4" w14:textId="1E12C69D" w:rsidR="00D347EF" w:rsidRPr="00AD47B9" w:rsidRDefault="00D347EF" w:rsidP="00AD47B9">
            <w:pPr>
              <w:tabs>
                <w:tab w:val="clear" w:pos="794"/>
                <w:tab w:val="clear" w:pos="1191"/>
                <w:tab w:val="clear" w:pos="1588"/>
                <w:tab w:val="clear" w:pos="1985"/>
                <w:tab w:val="left" w:pos="330"/>
              </w:tabs>
              <w:spacing w:before="0"/>
              <w:ind w:left="284" w:hanging="227"/>
              <w:rPr>
                <w:rFonts w:cstheme="minorHAnsi"/>
                <w:sz w:val="22"/>
                <w:szCs w:val="22"/>
              </w:rPr>
            </w:pPr>
            <w:r w:rsidRPr="00AD47B9">
              <w:rPr>
                <w:rFonts w:cstheme="minorHAnsi"/>
                <w:sz w:val="22"/>
                <w:szCs w:val="22"/>
                <w:lang w:val="es-ES"/>
              </w:rPr>
              <w:t>–</w:t>
            </w:r>
            <w:r w:rsidRPr="00AD47B9">
              <w:rPr>
                <w:rFonts w:cstheme="minorHAnsi"/>
                <w:sz w:val="22"/>
                <w:szCs w:val="22"/>
                <w:lang w:val="es-ES"/>
              </w:rPr>
              <w:tab/>
              <w:t>A la Liga de Estados Árabes (LEA).</w:t>
            </w:r>
          </w:p>
        </w:tc>
      </w:tr>
      <w:tr w:rsidR="001350B9" w:rsidRPr="00AD47B9" w14:paraId="5D6F06D2" w14:textId="77777777" w:rsidTr="00AD47B9">
        <w:trPr>
          <w:cantSplit/>
        </w:trPr>
        <w:tc>
          <w:tcPr>
            <w:tcW w:w="1170" w:type="dxa"/>
          </w:tcPr>
          <w:p w14:paraId="327391C6" w14:textId="77777777" w:rsidR="001350B9" w:rsidRPr="00AD47B9" w:rsidRDefault="001350B9" w:rsidP="00303D62">
            <w:pPr>
              <w:tabs>
                <w:tab w:val="left" w:pos="4111"/>
              </w:tabs>
              <w:spacing w:before="10"/>
              <w:ind w:left="57"/>
              <w:rPr>
                <w:rFonts w:cstheme="minorHAnsi"/>
                <w:sz w:val="22"/>
                <w:szCs w:val="22"/>
              </w:rPr>
            </w:pPr>
            <w:r w:rsidRPr="00AD47B9">
              <w:rPr>
                <w:rFonts w:cstheme="minorHAnsi"/>
                <w:sz w:val="22"/>
                <w:szCs w:val="22"/>
              </w:rPr>
              <w:t>Tel.:</w:t>
            </w:r>
          </w:p>
        </w:tc>
        <w:tc>
          <w:tcPr>
            <w:tcW w:w="3870" w:type="dxa"/>
          </w:tcPr>
          <w:p w14:paraId="16AC2223" w14:textId="6B16E412" w:rsidR="001350B9" w:rsidRPr="00AD47B9" w:rsidRDefault="001350B9" w:rsidP="00303D62">
            <w:pPr>
              <w:tabs>
                <w:tab w:val="left" w:pos="4111"/>
              </w:tabs>
              <w:spacing w:before="0"/>
              <w:ind w:left="57"/>
              <w:rPr>
                <w:rStyle w:val="Hyperlink"/>
                <w:rFonts w:cstheme="minorHAnsi"/>
                <w:sz w:val="22"/>
                <w:szCs w:val="22"/>
              </w:rPr>
            </w:pPr>
            <w:r w:rsidRPr="00AD47B9">
              <w:rPr>
                <w:rFonts w:cstheme="minorHAnsi"/>
                <w:sz w:val="22"/>
                <w:szCs w:val="22"/>
              </w:rPr>
              <w:t>+41 22 730</w:t>
            </w:r>
            <w:r w:rsidR="00D347EF" w:rsidRPr="00AD47B9">
              <w:rPr>
                <w:rFonts w:cstheme="minorHAnsi"/>
                <w:sz w:val="22"/>
                <w:szCs w:val="22"/>
              </w:rPr>
              <w:t xml:space="preserve"> 5893</w:t>
            </w:r>
          </w:p>
        </w:tc>
        <w:tc>
          <w:tcPr>
            <w:tcW w:w="5264" w:type="dxa"/>
            <w:vMerge/>
          </w:tcPr>
          <w:p w14:paraId="64A65DF2" w14:textId="77777777" w:rsidR="001350B9" w:rsidRPr="00AD47B9" w:rsidRDefault="001350B9" w:rsidP="00303D62">
            <w:pPr>
              <w:tabs>
                <w:tab w:val="left" w:pos="226"/>
                <w:tab w:val="left" w:pos="510"/>
              </w:tabs>
              <w:spacing w:before="0"/>
              <w:ind w:left="226" w:hanging="169"/>
              <w:rPr>
                <w:rFonts w:cstheme="minorHAnsi"/>
                <w:b/>
                <w:sz w:val="22"/>
                <w:szCs w:val="22"/>
              </w:rPr>
            </w:pPr>
          </w:p>
        </w:tc>
      </w:tr>
      <w:tr w:rsidR="001350B9" w:rsidRPr="00AD47B9" w14:paraId="6C3E6B31" w14:textId="77777777" w:rsidTr="00AD47B9">
        <w:trPr>
          <w:cantSplit/>
        </w:trPr>
        <w:tc>
          <w:tcPr>
            <w:tcW w:w="1170" w:type="dxa"/>
          </w:tcPr>
          <w:p w14:paraId="07659470" w14:textId="77777777" w:rsidR="001350B9" w:rsidRPr="00AD47B9" w:rsidRDefault="001350B9" w:rsidP="00303D62">
            <w:pPr>
              <w:tabs>
                <w:tab w:val="left" w:pos="4111"/>
              </w:tabs>
              <w:spacing w:before="10"/>
              <w:ind w:left="57"/>
              <w:rPr>
                <w:rFonts w:cstheme="minorHAnsi"/>
                <w:sz w:val="22"/>
                <w:szCs w:val="22"/>
              </w:rPr>
            </w:pPr>
            <w:r w:rsidRPr="00AD47B9">
              <w:rPr>
                <w:rFonts w:cstheme="minorHAnsi"/>
                <w:sz w:val="22"/>
                <w:szCs w:val="22"/>
              </w:rPr>
              <w:t>Fax:</w:t>
            </w:r>
          </w:p>
        </w:tc>
        <w:tc>
          <w:tcPr>
            <w:tcW w:w="3870" w:type="dxa"/>
          </w:tcPr>
          <w:p w14:paraId="5EFC409C" w14:textId="77777777" w:rsidR="001350B9" w:rsidRPr="00AD47B9" w:rsidRDefault="001350B9" w:rsidP="00303D62">
            <w:pPr>
              <w:tabs>
                <w:tab w:val="left" w:pos="4111"/>
              </w:tabs>
              <w:spacing w:before="0"/>
              <w:ind w:left="57"/>
              <w:rPr>
                <w:rStyle w:val="Hyperlink"/>
                <w:rFonts w:cstheme="minorHAnsi"/>
                <w:sz w:val="22"/>
                <w:szCs w:val="22"/>
              </w:rPr>
            </w:pPr>
            <w:r w:rsidRPr="00AD47B9">
              <w:rPr>
                <w:rFonts w:cstheme="minorHAnsi"/>
                <w:sz w:val="22"/>
                <w:szCs w:val="22"/>
              </w:rPr>
              <w:t>+41 22 730 5853</w:t>
            </w:r>
          </w:p>
        </w:tc>
        <w:tc>
          <w:tcPr>
            <w:tcW w:w="5264" w:type="dxa"/>
            <w:vMerge/>
          </w:tcPr>
          <w:p w14:paraId="0E479C28" w14:textId="77777777" w:rsidR="001350B9" w:rsidRPr="00AD47B9" w:rsidRDefault="001350B9" w:rsidP="00303D62">
            <w:pPr>
              <w:tabs>
                <w:tab w:val="left" w:pos="226"/>
                <w:tab w:val="left" w:pos="510"/>
              </w:tabs>
              <w:spacing w:before="0"/>
              <w:ind w:left="226" w:hanging="169"/>
              <w:rPr>
                <w:rFonts w:cstheme="minorHAnsi"/>
                <w:b/>
                <w:sz w:val="22"/>
                <w:szCs w:val="22"/>
              </w:rPr>
            </w:pPr>
          </w:p>
        </w:tc>
      </w:tr>
      <w:tr w:rsidR="001350B9" w:rsidRPr="00AD47B9" w14:paraId="7372C10D" w14:textId="77777777" w:rsidTr="00AD47B9">
        <w:trPr>
          <w:cantSplit/>
          <w:trHeight w:val="3546"/>
        </w:trPr>
        <w:tc>
          <w:tcPr>
            <w:tcW w:w="1170" w:type="dxa"/>
          </w:tcPr>
          <w:p w14:paraId="31A32DA3" w14:textId="77777777" w:rsidR="001350B9" w:rsidRPr="00AD47B9" w:rsidRDefault="001350B9" w:rsidP="00303D62">
            <w:pPr>
              <w:tabs>
                <w:tab w:val="left" w:pos="4111"/>
              </w:tabs>
              <w:spacing w:before="10"/>
              <w:ind w:left="57"/>
              <w:rPr>
                <w:rFonts w:cstheme="minorHAnsi"/>
                <w:sz w:val="22"/>
                <w:szCs w:val="22"/>
              </w:rPr>
            </w:pPr>
            <w:r w:rsidRPr="00AD47B9">
              <w:rPr>
                <w:rFonts w:cstheme="minorHAnsi"/>
                <w:sz w:val="22"/>
                <w:szCs w:val="22"/>
              </w:rPr>
              <w:t>Correo-e:</w:t>
            </w:r>
          </w:p>
        </w:tc>
        <w:tc>
          <w:tcPr>
            <w:tcW w:w="3870" w:type="dxa"/>
          </w:tcPr>
          <w:p w14:paraId="2BF4C063" w14:textId="77777777" w:rsidR="001350B9" w:rsidRPr="00AD47B9" w:rsidRDefault="00D347EF" w:rsidP="00303D62">
            <w:pPr>
              <w:tabs>
                <w:tab w:val="left" w:pos="4111"/>
              </w:tabs>
              <w:spacing w:before="0"/>
              <w:ind w:left="57"/>
              <w:rPr>
                <w:rFonts w:cstheme="minorHAnsi"/>
                <w:sz w:val="22"/>
                <w:szCs w:val="22"/>
              </w:rPr>
            </w:pPr>
            <w:hyperlink r:id="rId9" w:history="1">
              <w:r w:rsidRPr="00AD47B9">
                <w:rPr>
                  <w:rStyle w:val="Hyperlink"/>
                  <w:rFonts w:cstheme="minorHAnsi"/>
                  <w:sz w:val="22"/>
                  <w:szCs w:val="22"/>
                </w:rPr>
                <w:t>tsbsg2@itu.int</w:t>
              </w:r>
            </w:hyperlink>
          </w:p>
          <w:p w14:paraId="5C1AA359" w14:textId="728E5ED8" w:rsidR="00D347EF" w:rsidRPr="00AD47B9" w:rsidRDefault="00D347EF" w:rsidP="00303D62">
            <w:pPr>
              <w:tabs>
                <w:tab w:val="left" w:pos="4111"/>
              </w:tabs>
              <w:spacing w:before="0"/>
              <w:ind w:left="57"/>
              <w:rPr>
                <w:rFonts w:cstheme="minorHAnsi"/>
                <w:sz w:val="22"/>
                <w:szCs w:val="22"/>
              </w:rPr>
            </w:pPr>
            <w:r w:rsidRPr="00AD47B9">
              <w:rPr>
                <w:rStyle w:val="Hyperlink"/>
                <w:rFonts w:cstheme="minorHAnsi"/>
                <w:sz w:val="22"/>
                <w:szCs w:val="22"/>
              </w:rPr>
              <w:t>tsbevents@itu.int</w:t>
            </w:r>
          </w:p>
        </w:tc>
        <w:tc>
          <w:tcPr>
            <w:tcW w:w="5264" w:type="dxa"/>
            <w:vMerge/>
          </w:tcPr>
          <w:p w14:paraId="04F98512" w14:textId="77777777" w:rsidR="001350B9" w:rsidRPr="00AD47B9"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7B6316" w:rsidRPr="00AD47B9" w14:paraId="58AD9C34" w14:textId="77777777" w:rsidTr="00AD47B9">
        <w:trPr>
          <w:cantSplit/>
        </w:trPr>
        <w:tc>
          <w:tcPr>
            <w:tcW w:w="1170" w:type="dxa"/>
          </w:tcPr>
          <w:p w14:paraId="434F1069" w14:textId="77777777" w:rsidR="007B6316" w:rsidRPr="00AD47B9" w:rsidRDefault="007B6316" w:rsidP="00303D62">
            <w:pPr>
              <w:tabs>
                <w:tab w:val="left" w:pos="4111"/>
              </w:tabs>
              <w:spacing w:before="10"/>
              <w:ind w:left="57"/>
              <w:rPr>
                <w:rFonts w:cstheme="minorHAnsi"/>
                <w:sz w:val="22"/>
                <w:szCs w:val="22"/>
              </w:rPr>
            </w:pPr>
            <w:r w:rsidRPr="00AD47B9">
              <w:rPr>
                <w:rFonts w:cstheme="minorHAnsi"/>
                <w:b/>
                <w:bCs/>
                <w:sz w:val="22"/>
                <w:szCs w:val="22"/>
              </w:rPr>
              <w:t>Asunto</w:t>
            </w:r>
            <w:r w:rsidRPr="00AD47B9">
              <w:rPr>
                <w:rFonts w:cstheme="minorHAnsi"/>
                <w:sz w:val="22"/>
                <w:szCs w:val="22"/>
              </w:rPr>
              <w:t>:</w:t>
            </w:r>
          </w:p>
        </w:tc>
        <w:tc>
          <w:tcPr>
            <w:tcW w:w="9134" w:type="dxa"/>
            <w:gridSpan w:val="2"/>
          </w:tcPr>
          <w:p w14:paraId="4B35593F" w14:textId="0A471760" w:rsidR="007B6316" w:rsidRPr="00AD47B9" w:rsidRDefault="00D347EF" w:rsidP="00303D62">
            <w:pPr>
              <w:tabs>
                <w:tab w:val="left" w:pos="4111"/>
              </w:tabs>
              <w:spacing w:before="0"/>
              <w:rPr>
                <w:rFonts w:cstheme="minorHAnsi"/>
                <w:b/>
                <w:sz w:val="22"/>
                <w:szCs w:val="22"/>
              </w:rPr>
            </w:pPr>
            <w:r w:rsidRPr="00AD47B9">
              <w:rPr>
                <w:rFonts w:cstheme="minorHAnsi"/>
                <w:b/>
                <w:sz w:val="22"/>
                <w:szCs w:val="22"/>
                <w:lang w:val="es-ES"/>
              </w:rPr>
              <w:t>Taller de la UIT sobre Experiencias y retos de la tasación de números de telecomunicaciones, Virtual, 16 de diciembre de 2024</w:t>
            </w:r>
          </w:p>
        </w:tc>
      </w:tr>
    </w:tbl>
    <w:p w14:paraId="174E5A53" w14:textId="54C3AD5D" w:rsidR="00C34772" w:rsidRPr="00AD47B9" w:rsidRDefault="00C34772" w:rsidP="00AD47B9">
      <w:pPr>
        <w:rPr>
          <w:rFonts w:cstheme="minorHAnsi"/>
          <w:sz w:val="22"/>
          <w:szCs w:val="22"/>
        </w:rPr>
      </w:pPr>
      <w:bookmarkStart w:id="1" w:name="StartTyping_S"/>
      <w:bookmarkStart w:id="2" w:name="suitetext"/>
      <w:bookmarkStart w:id="3" w:name="text"/>
      <w:bookmarkEnd w:id="1"/>
      <w:bookmarkEnd w:id="2"/>
      <w:bookmarkEnd w:id="3"/>
      <w:r w:rsidRPr="00AD47B9">
        <w:rPr>
          <w:rFonts w:cstheme="minorHAnsi"/>
          <w:sz w:val="22"/>
          <w:szCs w:val="22"/>
        </w:rPr>
        <w:t>Muy Señora mía/Muy Señor mío</w:t>
      </w:r>
      <w:r w:rsidR="00AD47B9">
        <w:rPr>
          <w:rFonts w:cstheme="minorHAnsi"/>
          <w:sz w:val="22"/>
          <w:szCs w:val="22"/>
        </w:rPr>
        <w:t>,</w:t>
      </w:r>
    </w:p>
    <w:p w14:paraId="33EBD70E" w14:textId="74449877" w:rsidR="007B6316" w:rsidRPr="00AD47B9" w:rsidRDefault="00D347EF" w:rsidP="00D347EF">
      <w:pPr>
        <w:rPr>
          <w:rFonts w:cstheme="minorHAnsi"/>
          <w:sz w:val="22"/>
          <w:szCs w:val="22"/>
        </w:rPr>
      </w:pPr>
      <w:r w:rsidRPr="00AD47B9">
        <w:rPr>
          <w:rFonts w:cstheme="minorHAnsi"/>
          <w:sz w:val="22"/>
          <w:szCs w:val="22"/>
          <w:lang w:val="es-ES"/>
        </w:rPr>
        <w:t>1</w:t>
      </w:r>
      <w:r w:rsidRPr="00AD47B9">
        <w:rPr>
          <w:rFonts w:cstheme="minorHAnsi"/>
          <w:sz w:val="22"/>
          <w:szCs w:val="22"/>
          <w:lang w:val="es-ES"/>
        </w:rPr>
        <w:tab/>
      </w:r>
      <w:proofErr w:type="gramStart"/>
      <w:r w:rsidRPr="00AD47B9">
        <w:rPr>
          <w:rFonts w:cstheme="minorHAnsi"/>
          <w:sz w:val="22"/>
          <w:szCs w:val="22"/>
          <w:lang w:val="es-ES"/>
        </w:rPr>
        <w:t>Me</w:t>
      </w:r>
      <w:proofErr w:type="gramEnd"/>
      <w:r w:rsidRPr="00AD47B9">
        <w:rPr>
          <w:rFonts w:cstheme="minorHAnsi"/>
          <w:sz w:val="22"/>
          <w:szCs w:val="22"/>
          <w:lang w:val="es-ES"/>
        </w:rPr>
        <w:t xml:space="preserve"> complace informarle de que la Unión Internacional de Telecomunicaciones (UIT</w:t>
      </w:r>
      <w:r w:rsidRPr="00AD47B9">
        <w:rPr>
          <w:rFonts w:cstheme="minorHAnsi"/>
          <w:sz w:val="22"/>
          <w:szCs w:val="22"/>
          <w:lang w:val="es-ES" w:eastAsia="zh-CN"/>
        </w:rPr>
        <w:t>) está organizando un taller sobre</w:t>
      </w:r>
      <w:r w:rsidRPr="00AD47B9">
        <w:rPr>
          <w:rFonts w:cstheme="minorHAnsi"/>
          <w:b/>
          <w:bCs/>
          <w:sz w:val="22"/>
          <w:szCs w:val="22"/>
          <w:lang w:val="es-ES" w:eastAsia="zh-CN"/>
        </w:rPr>
        <w:t xml:space="preserve"> "</w:t>
      </w:r>
      <w:r w:rsidRPr="00AD47B9">
        <w:rPr>
          <w:rFonts w:cstheme="minorHAnsi"/>
          <w:b/>
          <w:bCs/>
          <w:sz w:val="22"/>
          <w:szCs w:val="22"/>
          <w:lang w:val="es-ES"/>
        </w:rPr>
        <w:t>Experiencias y retos de la tasación de números de telecomunicaciones"</w:t>
      </w:r>
      <w:r w:rsidRPr="00AD47B9">
        <w:rPr>
          <w:rFonts w:cstheme="minorHAnsi"/>
          <w:sz w:val="22"/>
          <w:szCs w:val="22"/>
          <w:lang w:val="es-ES"/>
        </w:rPr>
        <w:t>, que se celebrará en formato virtual el 16 de diciembre de 2024, de las</w:t>
      </w:r>
      <w:r w:rsidR="0067184C" w:rsidRPr="00AD47B9">
        <w:rPr>
          <w:rFonts w:cstheme="minorHAnsi"/>
          <w:sz w:val="22"/>
          <w:szCs w:val="22"/>
          <w:lang w:val="es-ES"/>
        </w:rPr>
        <w:t> </w:t>
      </w:r>
      <w:r w:rsidRPr="00AD47B9">
        <w:rPr>
          <w:rFonts w:cstheme="minorHAnsi"/>
          <w:sz w:val="22"/>
          <w:szCs w:val="22"/>
          <w:lang w:val="es-ES"/>
        </w:rPr>
        <w:t>10.00</w:t>
      </w:r>
      <w:r w:rsidR="0067184C" w:rsidRPr="00AD47B9">
        <w:rPr>
          <w:rFonts w:cstheme="minorHAnsi"/>
          <w:sz w:val="22"/>
          <w:szCs w:val="22"/>
          <w:lang w:val="es-ES"/>
        </w:rPr>
        <w:t> </w:t>
      </w:r>
      <w:r w:rsidRPr="00AD47B9">
        <w:rPr>
          <w:rFonts w:cstheme="minorHAnsi"/>
          <w:sz w:val="22"/>
          <w:szCs w:val="22"/>
          <w:lang w:val="es-ES"/>
        </w:rPr>
        <w:t>a las 12.00 horas CET.</w:t>
      </w:r>
    </w:p>
    <w:p w14:paraId="79A5F0B3" w14:textId="5F52A973" w:rsidR="007B6316" w:rsidRPr="00AD47B9" w:rsidRDefault="00D347EF" w:rsidP="007B6316">
      <w:pPr>
        <w:rPr>
          <w:rFonts w:cstheme="minorHAnsi"/>
          <w:sz w:val="22"/>
          <w:szCs w:val="22"/>
        </w:rPr>
      </w:pPr>
      <w:r w:rsidRPr="00AD47B9">
        <w:rPr>
          <w:rFonts w:cstheme="minorHAnsi"/>
          <w:sz w:val="22"/>
          <w:szCs w:val="22"/>
          <w:lang w:val="es-ES"/>
        </w:rPr>
        <w:t xml:space="preserve">Tras el taller se celebrará la </w:t>
      </w:r>
      <w:r w:rsidRPr="00AD47B9">
        <w:rPr>
          <w:rFonts w:cstheme="minorHAnsi"/>
          <w:b/>
          <w:bCs/>
          <w:sz w:val="22"/>
          <w:szCs w:val="22"/>
          <w:lang w:val="es-ES"/>
        </w:rPr>
        <w:t>reunión conjunta de los Grupos Regionales de la CE</w:t>
      </w:r>
      <w:r w:rsidR="0067184C" w:rsidRPr="00AD47B9">
        <w:rPr>
          <w:rFonts w:cstheme="minorHAnsi"/>
          <w:b/>
          <w:bCs/>
          <w:sz w:val="22"/>
          <w:szCs w:val="22"/>
          <w:lang w:val="es-ES"/>
        </w:rPr>
        <w:t> </w:t>
      </w:r>
      <w:r w:rsidRPr="00AD47B9">
        <w:rPr>
          <w:rFonts w:cstheme="minorHAnsi"/>
          <w:b/>
          <w:bCs/>
          <w:sz w:val="22"/>
          <w:szCs w:val="22"/>
          <w:lang w:val="es-ES"/>
        </w:rPr>
        <w:t>2 para</w:t>
      </w:r>
      <w:r w:rsidRPr="00AD47B9">
        <w:rPr>
          <w:rFonts w:cstheme="minorHAnsi"/>
          <w:sz w:val="22"/>
          <w:szCs w:val="22"/>
          <w:lang w:val="es-ES"/>
        </w:rPr>
        <w:t xml:space="preserve"> </w:t>
      </w:r>
      <w:hyperlink r:id="rId10" w:history="1">
        <w:r w:rsidRPr="00AD47B9">
          <w:rPr>
            <w:rStyle w:val="Hyperlink"/>
            <w:rFonts w:cstheme="minorHAnsi"/>
            <w:b/>
            <w:bCs/>
            <w:sz w:val="22"/>
            <w:szCs w:val="22"/>
            <w:lang w:val="es-ES"/>
          </w:rPr>
          <w:t>África</w:t>
        </w:r>
      </w:hyperlink>
      <w:r w:rsidRPr="00AD47B9">
        <w:rPr>
          <w:rFonts w:cstheme="minorHAnsi"/>
          <w:b/>
          <w:bCs/>
          <w:sz w:val="22"/>
          <w:szCs w:val="22"/>
          <w:lang w:val="es-ES"/>
        </w:rPr>
        <w:t xml:space="preserve"> y los </w:t>
      </w:r>
      <w:hyperlink r:id="rId11" w:history="1">
        <w:r w:rsidRPr="00AD47B9">
          <w:rPr>
            <w:rStyle w:val="Hyperlink"/>
            <w:rFonts w:cstheme="minorHAnsi"/>
            <w:b/>
            <w:bCs/>
            <w:sz w:val="22"/>
            <w:szCs w:val="22"/>
            <w:lang w:val="es-ES"/>
          </w:rPr>
          <w:t>Estados Árabes</w:t>
        </w:r>
      </w:hyperlink>
      <w:r w:rsidRPr="00AD47B9">
        <w:rPr>
          <w:rStyle w:val="Hyperlink"/>
          <w:rFonts w:cstheme="minorHAnsi"/>
          <w:b/>
          <w:bCs/>
          <w:sz w:val="22"/>
          <w:szCs w:val="22"/>
          <w:lang w:val="es-ES"/>
        </w:rPr>
        <w:t>,</w:t>
      </w:r>
      <w:r w:rsidRPr="00AD47B9">
        <w:rPr>
          <w:rFonts w:cstheme="minorHAnsi"/>
          <w:sz w:val="22"/>
          <w:szCs w:val="22"/>
          <w:lang w:val="es-ES"/>
        </w:rPr>
        <w:t xml:space="preserve"> que se celebrará en línea el 17 de diciembre de</w:t>
      </w:r>
      <w:r w:rsidRPr="00AD47B9">
        <w:rPr>
          <w:rFonts w:cstheme="minorHAnsi"/>
          <w:sz w:val="22"/>
          <w:szCs w:val="22"/>
          <w:lang w:val="es-ES" w:eastAsia="zh-CN"/>
        </w:rPr>
        <w:t xml:space="preserve"> 2024.</w:t>
      </w:r>
    </w:p>
    <w:p w14:paraId="3348F402" w14:textId="62CA6656" w:rsidR="00D347EF" w:rsidRPr="00AD47B9" w:rsidRDefault="00D347EF" w:rsidP="007B6316">
      <w:pPr>
        <w:rPr>
          <w:rFonts w:cstheme="minorHAnsi"/>
          <w:sz w:val="22"/>
          <w:szCs w:val="22"/>
        </w:rPr>
      </w:pPr>
      <w:r w:rsidRPr="00AD47B9">
        <w:rPr>
          <w:rFonts w:cstheme="minorHAnsi"/>
          <w:sz w:val="22"/>
          <w:szCs w:val="22"/>
          <w:lang w:val="es-ES"/>
        </w:rPr>
        <w:t>2</w:t>
      </w:r>
      <w:r w:rsidRPr="00AD47B9">
        <w:rPr>
          <w:rFonts w:cstheme="minorHAnsi"/>
          <w:sz w:val="22"/>
          <w:szCs w:val="22"/>
          <w:lang w:val="es-ES"/>
        </w:rPr>
        <w:tab/>
      </w:r>
      <w:proofErr w:type="gramStart"/>
      <w:r w:rsidRPr="00AD47B9">
        <w:rPr>
          <w:rFonts w:cstheme="minorHAnsi"/>
          <w:sz w:val="22"/>
          <w:szCs w:val="22"/>
          <w:lang w:val="es-ES"/>
        </w:rPr>
        <w:t>El</w:t>
      </w:r>
      <w:proofErr w:type="gramEnd"/>
      <w:r w:rsidRPr="00AD47B9">
        <w:rPr>
          <w:rFonts w:cstheme="minorHAnsi"/>
          <w:sz w:val="22"/>
          <w:szCs w:val="22"/>
          <w:lang w:val="es-ES"/>
        </w:rPr>
        <w:t xml:space="preserve"> objetivo del taller es reunir a representantes de las autoridades nacionales de reglamentación (ANR) de toda África y la </w:t>
      </w:r>
      <w:r w:rsidR="0067184C" w:rsidRPr="00AD47B9">
        <w:rPr>
          <w:rFonts w:cstheme="minorHAnsi"/>
          <w:sz w:val="22"/>
          <w:szCs w:val="22"/>
          <w:lang w:val="es-ES"/>
        </w:rPr>
        <w:t>R</w:t>
      </w:r>
      <w:r w:rsidRPr="00AD47B9">
        <w:rPr>
          <w:rFonts w:cstheme="minorHAnsi"/>
          <w:sz w:val="22"/>
          <w:szCs w:val="22"/>
          <w:lang w:val="es-ES"/>
        </w:rPr>
        <w:t>egión Árabe para abordar las diversas experiencias y retos asociados a la tasación de los números de telecomunicaciones. A medida que el sector de las telecomunicaciones crece, se vuelve esencial gestionar eficazmente los recursos, en particular cuando las ANR se ven presionadas para equilibrar la equidad de los precios con el acceso equitativo y la eficaz atribución de números. Con este taller se desea crear una plataforma de intercambio de conocimientos y prácticas idóneas en materia de enfoques reglamentarios, modelos de fijación de precios y obstáculos que afrontan las ANR a la hora de implantar efectivamente sistemas de tasación de números.</w:t>
      </w:r>
    </w:p>
    <w:p w14:paraId="0E2437EC" w14:textId="026918D5" w:rsidR="00D347EF" w:rsidRPr="00AD47B9" w:rsidRDefault="00D347EF" w:rsidP="007B6316">
      <w:pPr>
        <w:rPr>
          <w:rFonts w:cstheme="minorHAnsi"/>
          <w:sz w:val="22"/>
          <w:szCs w:val="22"/>
          <w:lang w:val="es-ES"/>
        </w:rPr>
      </w:pPr>
      <w:r w:rsidRPr="00AD47B9">
        <w:rPr>
          <w:rFonts w:cstheme="minorHAnsi"/>
          <w:sz w:val="22"/>
          <w:szCs w:val="22"/>
          <w:lang w:val="es-ES"/>
        </w:rPr>
        <w:t>3</w:t>
      </w:r>
      <w:r w:rsidRPr="00AD47B9">
        <w:rPr>
          <w:rFonts w:cstheme="minorHAnsi"/>
          <w:sz w:val="22"/>
          <w:szCs w:val="22"/>
          <w:lang w:val="es-ES"/>
        </w:rPr>
        <w:tab/>
      </w:r>
      <w:proofErr w:type="gramStart"/>
      <w:r w:rsidRPr="00AD47B9">
        <w:rPr>
          <w:rFonts w:cstheme="minorHAnsi"/>
          <w:sz w:val="22"/>
          <w:szCs w:val="22"/>
          <w:lang w:val="es-ES"/>
        </w:rPr>
        <w:t>El</w:t>
      </w:r>
      <w:proofErr w:type="gramEnd"/>
      <w:r w:rsidRPr="00AD47B9">
        <w:rPr>
          <w:rFonts w:cstheme="minorHAnsi"/>
          <w:sz w:val="22"/>
          <w:szCs w:val="22"/>
          <w:lang w:val="es-ES"/>
        </w:rPr>
        <w:t xml:space="preserve"> principal objetivo es facilitar el intercambio de conocimientos y la colaboración entre ANR de las regiones africana y árabe sobre estrategias, prácticas idóneas y retos en materia de tasación de números de telecomunicaciones con el fin de mejorar los marcos reglamentarios y la gestión de los recursos en el sector de las telecomunicaciones.</w:t>
      </w:r>
    </w:p>
    <w:p w14:paraId="7DBF496D" w14:textId="295116F1" w:rsidR="00D347EF" w:rsidRPr="00AD47B9" w:rsidRDefault="00D347EF" w:rsidP="007B6316">
      <w:pPr>
        <w:rPr>
          <w:rFonts w:cstheme="minorHAnsi"/>
          <w:sz w:val="22"/>
          <w:szCs w:val="22"/>
          <w:lang w:val="es-ES"/>
        </w:rPr>
      </w:pPr>
      <w:r w:rsidRPr="00AD47B9">
        <w:rPr>
          <w:rFonts w:cstheme="minorHAnsi"/>
          <w:sz w:val="22"/>
          <w:szCs w:val="22"/>
          <w:lang w:val="es-ES"/>
        </w:rPr>
        <w:t>4</w:t>
      </w:r>
      <w:r w:rsidRPr="00AD47B9">
        <w:rPr>
          <w:rFonts w:cstheme="minorHAnsi"/>
          <w:sz w:val="22"/>
          <w:szCs w:val="22"/>
          <w:lang w:val="es-ES"/>
        </w:rPr>
        <w:tab/>
      </w:r>
      <w:proofErr w:type="gramStart"/>
      <w:r w:rsidRPr="00AD47B9">
        <w:rPr>
          <w:rFonts w:cstheme="minorHAnsi"/>
          <w:sz w:val="22"/>
          <w:szCs w:val="22"/>
          <w:lang w:val="es-ES"/>
        </w:rPr>
        <w:t>Entre</w:t>
      </w:r>
      <w:proofErr w:type="gramEnd"/>
      <w:r w:rsidRPr="00AD47B9">
        <w:rPr>
          <w:rFonts w:cstheme="minorHAnsi"/>
          <w:sz w:val="22"/>
          <w:szCs w:val="22"/>
          <w:lang w:val="es-ES"/>
        </w:rPr>
        <w:t xml:space="preserve"> otras cosas, con este evento se pretende:</w:t>
      </w:r>
    </w:p>
    <w:p w14:paraId="26E9D266" w14:textId="261BC545" w:rsidR="00D347EF" w:rsidRPr="00AD47B9" w:rsidRDefault="00D347EF" w:rsidP="007C134C">
      <w:pPr>
        <w:pStyle w:val="enumlev1"/>
        <w:rPr>
          <w:rFonts w:cstheme="minorHAnsi"/>
          <w:sz w:val="22"/>
          <w:szCs w:val="22"/>
          <w:lang w:val="es-ES"/>
        </w:rPr>
      </w:pPr>
      <w:r w:rsidRPr="00AD47B9">
        <w:rPr>
          <w:rFonts w:cstheme="minorHAnsi"/>
          <w:sz w:val="22"/>
          <w:szCs w:val="22"/>
          <w:lang w:val="es-ES"/>
        </w:rPr>
        <w:t>–</w:t>
      </w:r>
      <w:r w:rsidRPr="00AD47B9">
        <w:rPr>
          <w:rFonts w:cstheme="minorHAnsi"/>
          <w:sz w:val="22"/>
          <w:szCs w:val="22"/>
          <w:lang w:val="es-ES"/>
        </w:rPr>
        <w:tab/>
        <w:t>Examinar diversos modelos de fijación de precios y marcos reglamentarios empleados para tasar los números de telecomunicaciones y evaluar su eficacia en las distintas regiones</w:t>
      </w:r>
      <w:r w:rsidR="007C134C" w:rsidRPr="00AD47B9">
        <w:rPr>
          <w:rFonts w:cstheme="minorHAnsi"/>
          <w:sz w:val="22"/>
          <w:szCs w:val="22"/>
          <w:lang w:val="es-ES"/>
        </w:rPr>
        <w:t>.</w:t>
      </w:r>
    </w:p>
    <w:p w14:paraId="229168C7" w14:textId="4876CFEC" w:rsidR="00D347EF" w:rsidRPr="00AD47B9" w:rsidRDefault="00D347EF" w:rsidP="007C134C">
      <w:pPr>
        <w:pStyle w:val="enumlev1"/>
        <w:rPr>
          <w:rFonts w:cstheme="minorHAnsi"/>
          <w:sz w:val="22"/>
          <w:szCs w:val="22"/>
        </w:rPr>
      </w:pPr>
      <w:r w:rsidRPr="00AD47B9">
        <w:rPr>
          <w:rFonts w:cstheme="minorHAnsi"/>
          <w:sz w:val="22"/>
          <w:szCs w:val="22"/>
          <w:lang w:val="es-ES"/>
        </w:rPr>
        <w:t>–</w:t>
      </w:r>
      <w:r w:rsidRPr="00AD47B9">
        <w:rPr>
          <w:rFonts w:cstheme="minorHAnsi"/>
          <w:sz w:val="22"/>
          <w:szCs w:val="22"/>
          <w:lang w:val="es-ES"/>
        </w:rPr>
        <w:tab/>
        <w:t>Identificar retos y obstáculos comunes a todas las ANR a la hora de implantar y poner en marcha sistemas de tasación de números, incluidos los aspectos técnicos, económicos y relacionados con la observancia</w:t>
      </w:r>
      <w:r w:rsidR="007C134C" w:rsidRPr="00AD47B9">
        <w:rPr>
          <w:rFonts w:cstheme="minorHAnsi"/>
          <w:sz w:val="22"/>
          <w:szCs w:val="22"/>
          <w:lang w:val="es-ES"/>
        </w:rPr>
        <w:t>.</w:t>
      </w:r>
    </w:p>
    <w:p w14:paraId="3AE7370C" w14:textId="313717B7" w:rsidR="00D347EF" w:rsidRPr="00AD47B9" w:rsidRDefault="00D347EF" w:rsidP="007C134C">
      <w:pPr>
        <w:pStyle w:val="enumlev1"/>
        <w:rPr>
          <w:rFonts w:cstheme="minorHAnsi"/>
          <w:sz w:val="22"/>
          <w:szCs w:val="22"/>
        </w:rPr>
      </w:pPr>
      <w:r w:rsidRPr="00AD47B9">
        <w:rPr>
          <w:rFonts w:cstheme="minorHAnsi"/>
          <w:sz w:val="22"/>
          <w:szCs w:val="22"/>
          <w:lang w:val="es-ES"/>
        </w:rPr>
        <w:lastRenderedPageBreak/>
        <w:t>–</w:t>
      </w:r>
      <w:r w:rsidRPr="00AD47B9">
        <w:rPr>
          <w:rFonts w:cstheme="minorHAnsi"/>
          <w:sz w:val="22"/>
          <w:szCs w:val="22"/>
          <w:lang w:val="es-ES"/>
        </w:rPr>
        <w:tab/>
        <w:t>Explorar métodos y soluciones innovadores para gestionar la escasez de recursos numéricos, evitar el acaparamiento de números y promover el acceso equitativo en todos los sectores y segmentos demográficos</w:t>
      </w:r>
      <w:r w:rsidR="007C134C" w:rsidRPr="00AD47B9">
        <w:rPr>
          <w:rFonts w:cstheme="minorHAnsi"/>
          <w:sz w:val="22"/>
          <w:szCs w:val="22"/>
          <w:lang w:val="es-ES"/>
        </w:rPr>
        <w:t>.</w:t>
      </w:r>
    </w:p>
    <w:p w14:paraId="185271A6" w14:textId="67BA4DBE" w:rsidR="00D347EF" w:rsidRPr="00AD47B9" w:rsidRDefault="00D347EF" w:rsidP="007C134C">
      <w:pPr>
        <w:pStyle w:val="enumlev1"/>
        <w:rPr>
          <w:rFonts w:cstheme="minorHAnsi"/>
          <w:sz w:val="22"/>
          <w:szCs w:val="22"/>
        </w:rPr>
      </w:pPr>
      <w:r w:rsidRPr="00AD47B9">
        <w:rPr>
          <w:rFonts w:cstheme="minorHAnsi"/>
          <w:sz w:val="22"/>
          <w:szCs w:val="22"/>
          <w:lang w:val="es-ES"/>
        </w:rPr>
        <w:t>–</w:t>
      </w:r>
      <w:r w:rsidRPr="00AD47B9">
        <w:rPr>
          <w:rFonts w:cstheme="minorHAnsi"/>
          <w:sz w:val="22"/>
          <w:szCs w:val="22"/>
          <w:lang w:val="es-ES"/>
        </w:rPr>
        <w:tab/>
        <w:t>Abordar posibles vías de generación de ingresos y sostenibilidad financiera gracias a la utilización de prácticas de numeración eficientes que contribuyan al desarrollo de la infraestructura nacional de telecomunicaciones</w:t>
      </w:r>
      <w:r w:rsidR="007C134C" w:rsidRPr="00AD47B9">
        <w:rPr>
          <w:rFonts w:cstheme="minorHAnsi"/>
          <w:sz w:val="22"/>
          <w:szCs w:val="22"/>
          <w:lang w:val="es-ES"/>
        </w:rPr>
        <w:t>.</w:t>
      </w:r>
    </w:p>
    <w:p w14:paraId="54CFFC07" w14:textId="4552BA94" w:rsidR="00D347EF" w:rsidRPr="00AD47B9" w:rsidRDefault="00D347EF" w:rsidP="007C134C">
      <w:pPr>
        <w:pStyle w:val="enumlev1"/>
        <w:rPr>
          <w:rFonts w:cstheme="minorHAnsi"/>
          <w:sz w:val="22"/>
          <w:szCs w:val="22"/>
        </w:rPr>
      </w:pPr>
      <w:r w:rsidRPr="00AD47B9">
        <w:rPr>
          <w:rFonts w:cstheme="minorHAnsi"/>
          <w:sz w:val="22"/>
          <w:szCs w:val="22"/>
          <w:lang w:val="es-ES"/>
        </w:rPr>
        <w:t>–</w:t>
      </w:r>
      <w:r w:rsidRPr="00AD47B9">
        <w:rPr>
          <w:rFonts w:cstheme="minorHAnsi"/>
          <w:sz w:val="22"/>
          <w:szCs w:val="22"/>
          <w:lang w:val="es-ES"/>
        </w:rPr>
        <w:tab/>
        <w:t>Fomentar asociaciones y colaboraciones entre ANR, permitiendo un constante intercambio de conocimientos, la compartición de recursos y un apoyo mutuo a la hora de afrontar retos complejos de la gestión de números de telecomunicaciones.</w:t>
      </w:r>
    </w:p>
    <w:p w14:paraId="2AB2C819" w14:textId="5096FFB4" w:rsidR="00D347EF" w:rsidRPr="00AD47B9" w:rsidRDefault="00D347EF" w:rsidP="007B6316">
      <w:pPr>
        <w:rPr>
          <w:rFonts w:cstheme="minorHAnsi"/>
          <w:sz w:val="22"/>
          <w:szCs w:val="22"/>
        </w:rPr>
      </w:pPr>
      <w:r w:rsidRPr="00AD47B9">
        <w:rPr>
          <w:rFonts w:cstheme="minorHAnsi"/>
          <w:sz w:val="22"/>
          <w:szCs w:val="22"/>
          <w:lang w:val="es-ES"/>
        </w:rPr>
        <w:t>5</w:t>
      </w:r>
      <w:r w:rsidRPr="00AD47B9">
        <w:rPr>
          <w:rFonts w:cstheme="minorHAnsi"/>
          <w:sz w:val="22"/>
          <w:szCs w:val="22"/>
          <w:lang w:val="es-ES"/>
        </w:rPr>
        <w:tab/>
      </w:r>
      <w:proofErr w:type="gramStart"/>
      <w:r w:rsidRPr="00AD47B9">
        <w:rPr>
          <w:rFonts w:cstheme="minorHAnsi"/>
          <w:sz w:val="22"/>
          <w:szCs w:val="22"/>
          <w:lang w:val="es-ES"/>
        </w:rPr>
        <w:t>Toda</w:t>
      </w:r>
      <w:proofErr w:type="gramEnd"/>
      <w:r w:rsidRPr="00AD47B9">
        <w:rPr>
          <w:rFonts w:cstheme="minorHAnsi"/>
          <w:sz w:val="22"/>
          <w:szCs w:val="22"/>
          <w:lang w:val="es-ES"/>
        </w:rPr>
        <w:t xml:space="preserve"> la información pertinente sobre el taller, incluido el proyecto de programa, se publicará en el sitio web del evento: </w:t>
      </w:r>
      <w:hyperlink r:id="rId12" w:history="1">
        <w:r w:rsidRPr="00AD47B9">
          <w:rPr>
            <w:rStyle w:val="Hyperlink"/>
            <w:rFonts w:cstheme="minorHAnsi"/>
            <w:sz w:val="22"/>
            <w:szCs w:val="22"/>
            <w:lang w:val="es-ES"/>
          </w:rPr>
          <w:t>https://www.itu.int/en/ITU-T/Workshops-and-Seminars/2024/1216/Pages/default.aspx</w:t>
        </w:r>
      </w:hyperlink>
      <w:r w:rsidRPr="00AD47B9">
        <w:rPr>
          <w:rFonts w:cstheme="minorHAnsi"/>
          <w:sz w:val="22"/>
          <w:szCs w:val="22"/>
          <w:lang w:val="es-ES"/>
        </w:rPr>
        <w:t>. La página web del evento se actualizará periódicamente a medida que esté disponible la información. Se insta a los participantes a consultar periódicamente dicha página.</w:t>
      </w:r>
    </w:p>
    <w:p w14:paraId="217B3EAB" w14:textId="1A735F97" w:rsidR="00D347EF" w:rsidRPr="00AD47B9" w:rsidRDefault="00D347EF" w:rsidP="007B6316">
      <w:pPr>
        <w:rPr>
          <w:rFonts w:cstheme="minorHAnsi"/>
          <w:sz w:val="22"/>
          <w:szCs w:val="22"/>
        </w:rPr>
      </w:pPr>
      <w:r w:rsidRPr="00AD47B9">
        <w:rPr>
          <w:rFonts w:cstheme="minorHAnsi"/>
          <w:sz w:val="22"/>
          <w:szCs w:val="22"/>
          <w:lang w:val="es-ES"/>
        </w:rPr>
        <w:t>6</w:t>
      </w:r>
      <w:r w:rsidRPr="00AD47B9">
        <w:rPr>
          <w:rFonts w:cstheme="minorHAnsi"/>
          <w:sz w:val="22"/>
          <w:szCs w:val="22"/>
          <w:lang w:val="es-ES"/>
        </w:rPr>
        <w:tab/>
      </w:r>
      <w:proofErr w:type="gramStart"/>
      <w:r w:rsidRPr="00AD47B9">
        <w:rPr>
          <w:rFonts w:cstheme="minorHAnsi"/>
          <w:sz w:val="22"/>
          <w:szCs w:val="22"/>
          <w:lang w:val="es-ES"/>
        </w:rPr>
        <w:t>La</w:t>
      </w:r>
      <w:proofErr w:type="gramEnd"/>
      <w:r w:rsidRPr="00AD47B9">
        <w:rPr>
          <w:rFonts w:cstheme="minorHAnsi"/>
          <w:sz w:val="22"/>
          <w:szCs w:val="22"/>
          <w:lang w:val="es-ES"/>
        </w:rPr>
        <w:t xml:space="preserve"> </w:t>
      </w:r>
      <w:r w:rsidRPr="00AD47B9">
        <w:rPr>
          <w:rFonts w:cstheme="minorHAnsi"/>
          <w:b/>
          <w:bCs/>
          <w:sz w:val="22"/>
          <w:szCs w:val="22"/>
          <w:lang w:val="es-ES"/>
        </w:rPr>
        <w:t xml:space="preserve">inscripción es obligatoria </w:t>
      </w:r>
      <w:r w:rsidRPr="00AD47B9">
        <w:rPr>
          <w:rFonts w:cstheme="minorHAnsi"/>
          <w:sz w:val="22"/>
          <w:szCs w:val="22"/>
          <w:lang w:val="es-ES"/>
        </w:rPr>
        <w:t xml:space="preserve">para todos los participantes que deseen asistir al taller. Le rogamos cumplimente el formulario de inscripción en línea que encontrará en </w:t>
      </w:r>
      <w:hyperlink r:id="rId13" w:history="1">
        <w:r w:rsidRPr="00AD47B9">
          <w:rPr>
            <w:rStyle w:val="Hyperlink"/>
            <w:rFonts w:cstheme="minorHAnsi"/>
            <w:sz w:val="22"/>
            <w:szCs w:val="22"/>
            <w:lang w:val="es-ES"/>
          </w:rPr>
          <w:t>https://www.itu.int/net/CRM/js/sr/C-00014834</w:t>
        </w:r>
      </w:hyperlink>
      <w:r w:rsidRPr="00AD47B9">
        <w:rPr>
          <w:rFonts w:cstheme="minorHAnsi"/>
          <w:sz w:val="22"/>
          <w:szCs w:val="22"/>
          <w:lang w:val="es-ES"/>
        </w:rPr>
        <w:t xml:space="preserve"> a la mayor brevedad.</w:t>
      </w:r>
    </w:p>
    <w:p w14:paraId="34BCE849" w14:textId="306C2DF0" w:rsidR="00D347EF" w:rsidRPr="00AD47B9" w:rsidRDefault="00D347EF" w:rsidP="007B6316">
      <w:pPr>
        <w:rPr>
          <w:rFonts w:cstheme="minorHAnsi"/>
          <w:sz w:val="22"/>
          <w:szCs w:val="22"/>
        </w:rPr>
      </w:pPr>
      <w:r w:rsidRPr="00AD47B9">
        <w:rPr>
          <w:rFonts w:cstheme="minorHAnsi"/>
          <w:sz w:val="22"/>
          <w:szCs w:val="22"/>
          <w:lang w:val="es-ES"/>
        </w:rPr>
        <w:t>7</w:t>
      </w:r>
      <w:r w:rsidRPr="00AD47B9">
        <w:rPr>
          <w:rFonts w:cstheme="minorHAnsi"/>
          <w:sz w:val="22"/>
          <w:szCs w:val="22"/>
          <w:lang w:val="es-ES"/>
        </w:rPr>
        <w:tab/>
      </w:r>
      <w:proofErr w:type="gramStart"/>
      <w:r w:rsidRPr="00AD47B9">
        <w:rPr>
          <w:rFonts w:cstheme="minorHAnsi"/>
          <w:sz w:val="22"/>
          <w:szCs w:val="22"/>
          <w:lang w:val="es-ES"/>
        </w:rPr>
        <w:t>La</w:t>
      </w:r>
      <w:proofErr w:type="gramEnd"/>
      <w:r w:rsidRPr="00AD47B9">
        <w:rPr>
          <w:rFonts w:cstheme="minorHAnsi"/>
          <w:sz w:val="22"/>
          <w:szCs w:val="22"/>
          <w:lang w:val="es-ES"/>
        </w:rPr>
        <w:t xml:space="preserve"> participación es gratuita y está abierta todos los interesados, incluidos Estados Miembros de la UIT, Miembros de Sector, Asociados e Instituciones académicas, así como cualquier nacional de un país que sea Miembro de la UIT y desee contribuir a los trabajos, </w:t>
      </w:r>
      <w:r w:rsidRPr="00AD47B9">
        <w:rPr>
          <w:rFonts w:cstheme="minorHAnsi"/>
          <w:b/>
          <w:bCs/>
          <w:sz w:val="22"/>
          <w:szCs w:val="22"/>
          <w:lang w:val="es-ES"/>
        </w:rPr>
        <w:t>aunque en principio está destinado a los participantes de las dos regiones especificadas.</w:t>
      </w:r>
    </w:p>
    <w:p w14:paraId="6E100134" w14:textId="18F5E397" w:rsidR="007B6316" w:rsidRPr="00AD47B9" w:rsidRDefault="007B6316" w:rsidP="007B6316">
      <w:pPr>
        <w:rPr>
          <w:rFonts w:cstheme="minorHAnsi"/>
          <w:sz w:val="22"/>
          <w:szCs w:val="22"/>
        </w:rPr>
      </w:pPr>
      <w:r w:rsidRPr="00AD47B9">
        <w:rPr>
          <w:rFonts w:cstheme="minorHAnsi"/>
          <w:sz w:val="22"/>
          <w:szCs w:val="22"/>
        </w:rPr>
        <w:t>Atentamente,</w:t>
      </w:r>
    </w:p>
    <w:p w14:paraId="01617A3B" w14:textId="35FE072C" w:rsidR="007B6316" w:rsidRPr="00AD47B9" w:rsidRDefault="002D1B44" w:rsidP="00AD47B9">
      <w:pPr>
        <w:spacing w:before="720"/>
        <w:rPr>
          <w:rFonts w:cstheme="minorHAnsi"/>
          <w:sz w:val="22"/>
          <w:szCs w:val="22"/>
        </w:rPr>
      </w:pPr>
      <w:r>
        <w:rPr>
          <w:rFonts w:cstheme="minorHAnsi"/>
          <w:noProof/>
          <w:sz w:val="22"/>
          <w:szCs w:val="22"/>
          <w:lang w:val="es-ES"/>
        </w:rPr>
        <w:drawing>
          <wp:anchor distT="0" distB="0" distL="114300" distR="114300" simplePos="0" relativeHeight="251658240" behindDoc="0" locked="0" layoutInCell="1" allowOverlap="1" wp14:anchorId="6D65EB5D" wp14:editId="1A53C88E">
            <wp:simplePos x="0" y="0"/>
            <wp:positionH relativeFrom="margin">
              <wp:align>left</wp:align>
            </wp:positionH>
            <wp:positionV relativeFrom="paragraph">
              <wp:posOffset>46355</wp:posOffset>
            </wp:positionV>
            <wp:extent cx="825542" cy="330217"/>
            <wp:effectExtent l="0" t="0" r="0" b="0"/>
            <wp:wrapNone/>
            <wp:docPr id="209590435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04355" name="Picture 2" descr="A black text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1350B9" w:rsidRPr="00AD47B9">
        <w:rPr>
          <w:rFonts w:cstheme="minorHAnsi"/>
          <w:sz w:val="22"/>
          <w:szCs w:val="22"/>
          <w:lang w:val="es-ES"/>
        </w:rPr>
        <w:t>Seizo Onoe</w:t>
      </w:r>
      <w:r w:rsidR="007B6316" w:rsidRPr="00AD47B9">
        <w:rPr>
          <w:rFonts w:cstheme="minorHAnsi"/>
          <w:sz w:val="22"/>
          <w:szCs w:val="22"/>
        </w:rPr>
        <w:br/>
      </w:r>
      <w:proofErr w:type="gramStart"/>
      <w:r w:rsidR="007B6316" w:rsidRPr="00AD47B9">
        <w:rPr>
          <w:rFonts w:cstheme="minorHAnsi"/>
          <w:sz w:val="22"/>
          <w:szCs w:val="22"/>
        </w:rPr>
        <w:t>Director</w:t>
      </w:r>
      <w:proofErr w:type="gramEnd"/>
      <w:r w:rsidR="007B6316" w:rsidRPr="00AD47B9">
        <w:rPr>
          <w:rFonts w:cstheme="minorHAnsi"/>
          <w:sz w:val="22"/>
          <w:szCs w:val="22"/>
        </w:rPr>
        <w:t xml:space="preserve"> de la Oficina de </w:t>
      </w:r>
      <w:r w:rsidR="007B6316" w:rsidRPr="00AD47B9">
        <w:rPr>
          <w:rFonts w:cstheme="minorHAnsi"/>
          <w:sz w:val="22"/>
          <w:szCs w:val="22"/>
        </w:rPr>
        <w:br/>
        <w:t>Normalización de las Telecomunicaciones</w:t>
      </w:r>
    </w:p>
    <w:p w14:paraId="139ACE3A" w14:textId="55A30DA3" w:rsidR="00401C20" w:rsidRPr="00AD47B9" w:rsidRDefault="00401C20" w:rsidP="007B6316">
      <w:pPr>
        <w:ind w:right="92"/>
        <w:rPr>
          <w:rFonts w:cstheme="minorHAnsi"/>
          <w:sz w:val="22"/>
          <w:szCs w:val="22"/>
          <w:lang w:val="es-ES"/>
        </w:rPr>
      </w:pPr>
    </w:p>
    <w:sectPr w:rsidR="00401C20" w:rsidRPr="00AD47B9"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A96B" w14:textId="77777777" w:rsidR="00D347EF" w:rsidRDefault="00D347EF">
      <w:r>
        <w:separator/>
      </w:r>
    </w:p>
  </w:endnote>
  <w:endnote w:type="continuationSeparator" w:id="0">
    <w:p w14:paraId="21E5D44F" w14:textId="77777777" w:rsidR="00D347EF" w:rsidRDefault="00D3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D3C4"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01D0" w14:textId="77777777" w:rsidR="00D347EF" w:rsidRDefault="00D347EF">
      <w:r>
        <w:t>____________________</w:t>
      </w:r>
    </w:p>
  </w:footnote>
  <w:footnote w:type="continuationSeparator" w:id="0">
    <w:p w14:paraId="19C42C05" w14:textId="77777777" w:rsidR="00D347EF" w:rsidRDefault="00D3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4604" w14:textId="20937BDA"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550315EA" w14:textId="653333DD" w:rsidR="002325C1" w:rsidRPr="00303D62" w:rsidRDefault="002325C1">
    <w:pPr>
      <w:pStyle w:val="Header"/>
      <w:rPr>
        <w:sz w:val="18"/>
        <w:szCs w:val="18"/>
      </w:rPr>
    </w:pPr>
    <w:r>
      <w:rPr>
        <w:rStyle w:val="PageNumber"/>
        <w:sz w:val="18"/>
        <w:szCs w:val="18"/>
      </w:rPr>
      <w:t>Circular TSB 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77539"/>
    <w:multiLevelType w:val="hybridMultilevel"/>
    <w:tmpl w:val="D982F9F8"/>
    <w:lvl w:ilvl="0" w:tplc="4CFCB8E0">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4"/>
  </w:num>
  <w:num w:numId="3" w16cid:durableId="1069613404">
    <w:abstractNumId w:val="3"/>
  </w:num>
  <w:num w:numId="4" w16cid:durableId="374936234">
    <w:abstractNumId w:val="2"/>
  </w:num>
  <w:num w:numId="5" w16cid:durableId="5046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EF"/>
    <w:rsid w:val="00002529"/>
    <w:rsid w:val="00085662"/>
    <w:rsid w:val="000C382F"/>
    <w:rsid w:val="001173CC"/>
    <w:rsid w:val="001350B9"/>
    <w:rsid w:val="0014464D"/>
    <w:rsid w:val="001A54CC"/>
    <w:rsid w:val="002325C1"/>
    <w:rsid w:val="00257FB4"/>
    <w:rsid w:val="002D1B44"/>
    <w:rsid w:val="002E496E"/>
    <w:rsid w:val="00303D62"/>
    <w:rsid w:val="00335367"/>
    <w:rsid w:val="00370C2D"/>
    <w:rsid w:val="003D1E8D"/>
    <w:rsid w:val="003D673B"/>
    <w:rsid w:val="003F2855"/>
    <w:rsid w:val="00401C20"/>
    <w:rsid w:val="004A7957"/>
    <w:rsid w:val="004C4144"/>
    <w:rsid w:val="0055719E"/>
    <w:rsid w:val="0067184C"/>
    <w:rsid w:val="006969B4"/>
    <w:rsid w:val="006C5C48"/>
    <w:rsid w:val="006E4F7B"/>
    <w:rsid w:val="00781E2A"/>
    <w:rsid w:val="007933A2"/>
    <w:rsid w:val="00797154"/>
    <w:rsid w:val="007B6316"/>
    <w:rsid w:val="007C134C"/>
    <w:rsid w:val="00814503"/>
    <w:rsid w:val="008258C2"/>
    <w:rsid w:val="008505BD"/>
    <w:rsid w:val="00850C78"/>
    <w:rsid w:val="00876165"/>
    <w:rsid w:val="00884D12"/>
    <w:rsid w:val="008C17AD"/>
    <w:rsid w:val="008D02CD"/>
    <w:rsid w:val="0091370C"/>
    <w:rsid w:val="0095172A"/>
    <w:rsid w:val="009A0BA0"/>
    <w:rsid w:val="00A54E47"/>
    <w:rsid w:val="00AB6E3A"/>
    <w:rsid w:val="00AD47B9"/>
    <w:rsid w:val="00AE7093"/>
    <w:rsid w:val="00B422BC"/>
    <w:rsid w:val="00B43F77"/>
    <w:rsid w:val="00B55A3E"/>
    <w:rsid w:val="00B87E9E"/>
    <w:rsid w:val="00B95F0A"/>
    <w:rsid w:val="00B96180"/>
    <w:rsid w:val="00C116FE"/>
    <w:rsid w:val="00C17AC0"/>
    <w:rsid w:val="00C34772"/>
    <w:rsid w:val="00C5465A"/>
    <w:rsid w:val="00D347EF"/>
    <w:rsid w:val="00D54642"/>
    <w:rsid w:val="00D60619"/>
    <w:rsid w:val="00D75D64"/>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9C51"/>
  <w15:docId w15:val="{55FDCB87-8010-4780-8A46-C92258D8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D34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CRM/js/sr/C-000148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24/1216/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2-arb/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regionalgroups/sg02-afr/Pages/default.aspx"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17</TotalTime>
  <Pages>2</Pages>
  <Words>727</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5178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2025-04-11T09:49:00Z</cp:lastPrinted>
  <dcterms:created xsi:type="dcterms:W3CDTF">2024-11-19T09:19:00Z</dcterms:created>
  <dcterms:modified xsi:type="dcterms:W3CDTF">2025-04-11T09:49:00Z</dcterms:modified>
</cp:coreProperties>
</file>