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413"/>
        <w:gridCol w:w="5037"/>
      </w:tblGrid>
      <w:tr w:rsidR="00EF6A23" w:rsidRPr="00417733" w14:paraId="283C4B10" w14:textId="77777777" w:rsidTr="00020753">
        <w:trPr>
          <w:cantSplit/>
          <w:trHeight w:val="1341"/>
        </w:trPr>
        <w:tc>
          <w:tcPr>
            <w:tcW w:w="0" w:type="auto"/>
            <w:vAlign w:val="center"/>
          </w:tcPr>
          <w:p w14:paraId="1C38F991" w14:textId="77777777" w:rsidR="00EF6A23" w:rsidRPr="00417733" w:rsidRDefault="00EF6A23" w:rsidP="00755A82">
            <w:pPr>
              <w:tabs>
                <w:tab w:val="right" w:pos="8732"/>
              </w:tabs>
              <w:spacing w:before="0"/>
              <w:rPr>
                <w:b/>
                <w:bCs/>
                <w:iCs/>
                <w:color w:val="FFFFFF"/>
                <w:sz w:val="30"/>
                <w:szCs w:val="30"/>
              </w:rPr>
            </w:pPr>
            <w:r w:rsidRPr="00417733">
              <w:rPr>
                <w:noProof/>
                <w:lang w:eastAsia="zh-CN"/>
              </w:rPr>
              <w:drawing>
                <wp:inline distT="0" distB="0" distL="0" distR="0" wp14:anchorId="0D9E1ABB" wp14:editId="05742F7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50CAED0B" w14:textId="77777777" w:rsidR="00EF6A23" w:rsidRPr="00417733" w:rsidRDefault="00EF6A23" w:rsidP="00755A82">
            <w:pPr>
              <w:spacing w:before="0"/>
              <w:rPr>
                <w:rFonts w:cs="Times New Roman Bold"/>
                <w:b/>
                <w:bCs/>
                <w:iCs/>
                <w:smallCaps/>
                <w:sz w:val="34"/>
                <w:szCs w:val="34"/>
              </w:rPr>
            </w:pPr>
            <w:r w:rsidRPr="00417733">
              <w:rPr>
                <w:rFonts w:cs="Times New Roman Bold"/>
                <w:b/>
                <w:bCs/>
                <w:iCs/>
                <w:smallCaps/>
                <w:sz w:val="34"/>
                <w:szCs w:val="34"/>
              </w:rPr>
              <w:t>Union internationale des télécommunications</w:t>
            </w:r>
          </w:p>
          <w:p w14:paraId="13F48FC6" w14:textId="77777777" w:rsidR="00EF6A23" w:rsidRPr="00417733" w:rsidRDefault="00EF6A23" w:rsidP="00755A82">
            <w:pPr>
              <w:spacing w:before="0"/>
              <w:rPr>
                <w:color w:val="FFFFFF"/>
                <w:sz w:val="26"/>
                <w:szCs w:val="26"/>
              </w:rPr>
            </w:pPr>
            <w:r w:rsidRPr="00417733">
              <w:rPr>
                <w:rFonts w:cs="Times New Roman Bold"/>
                <w:b/>
                <w:bCs/>
                <w:iCs/>
                <w:smallCaps/>
                <w:sz w:val="28"/>
                <w:szCs w:val="28"/>
              </w:rPr>
              <w:t>B</w:t>
            </w:r>
            <w:r w:rsidRPr="00417733">
              <w:rPr>
                <w:b/>
                <w:bCs/>
                <w:iCs/>
                <w:smallCaps/>
                <w:sz w:val="28"/>
                <w:szCs w:val="28"/>
              </w:rPr>
              <w:t>ureau de la Normalisation des Télécommunications</w:t>
            </w:r>
          </w:p>
        </w:tc>
      </w:tr>
      <w:tr w:rsidR="00036F4F" w:rsidRPr="00020753" w14:paraId="7628FB71" w14:textId="77777777" w:rsidTr="00020753">
        <w:trPr>
          <w:cantSplit/>
          <w:trHeight w:val="612"/>
        </w:trPr>
        <w:tc>
          <w:tcPr>
            <w:tcW w:w="0" w:type="auto"/>
          </w:tcPr>
          <w:p w14:paraId="2C187E21" w14:textId="77777777" w:rsidR="00036F4F" w:rsidRPr="00020753" w:rsidRDefault="00036F4F" w:rsidP="00755A82">
            <w:pPr>
              <w:tabs>
                <w:tab w:val="left" w:pos="4111"/>
              </w:tabs>
              <w:spacing w:before="10"/>
              <w:ind w:left="57"/>
              <w:rPr>
                <w:rFonts w:cstheme="minorHAnsi"/>
                <w:sz w:val="22"/>
                <w:szCs w:val="22"/>
              </w:rPr>
            </w:pPr>
          </w:p>
        </w:tc>
        <w:tc>
          <w:tcPr>
            <w:tcW w:w="3407" w:type="dxa"/>
          </w:tcPr>
          <w:p w14:paraId="42AB7F3F" w14:textId="77777777" w:rsidR="00036F4F" w:rsidRPr="00020753" w:rsidRDefault="00036F4F" w:rsidP="00755A82">
            <w:pPr>
              <w:tabs>
                <w:tab w:val="left" w:pos="4111"/>
              </w:tabs>
              <w:spacing w:before="10"/>
              <w:ind w:left="57"/>
              <w:rPr>
                <w:rFonts w:cstheme="minorHAnsi"/>
                <w:b/>
                <w:sz w:val="22"/>
                <w:szCs w:val="22"/>
              </w:rPr>
            </w:pPr>
          </w:p>
        </w:tc>
        <w:tc>
          <w:tcPr>
            <w:tcW w:w="5043" w:type="dxa"/>
          </w:tcPr>
          <w:p w14:paraId="483D63C3" w14:textId="40C09F5B" w:rsidR="00036F4F" w:rsidRPr="00020753" w:rsidRDefault="00036F4F" w:rsidP="00020753">
            <w:pPr>
              <w:tabs>
                <w:tab w:val="clear" w:pos="794"/>
                <w:tab w:val="clear" w:pos="1191"/>
                <w:tab w:val="clear" w:pos="1588"/>
                <w:tab w:val="clear" w:pos="1985"/>
                <w:tab w:val="left" w:pos="284"/>
              </w:tabs>
              <w:spacing w:after="120"/>
              <w:rPr>
                <w:rFonts w:cstheme="minorHAnsi"/>
                <w:sz w:val="22"/>
                <w:szCs w:val="22"/>
              </w:rPr>
            </w:pPr>
            <w:r w:rsidRPr="00020753">
              <w:rPr>
                <w:rFonts w:cstheme="minorHAnsi"/>
                <w:sz w:val="22"/>
                <w:szCs w:val="22"/>
              </w:rPr>
              <w:t>Genève, le</w:t>
            </w:r>
            <w:r w:rsidR="004419E9" w:rsidRPr="00020753">
              <w:rPr>
                <w:rFonts w:cstheme="minorHAnsi"/>
                <w:sz w:val="22"/>
                <w:szCs w:val="22"/>
              </w:rPr>
              <w:t xml:space="preserve"> </w:t>
            </w:r>
            <w:r w:rsidR="00F05095" w:rsidRPr="00020753">
              <w:rPr>
                <w:rFonts w:cstheme="minorHAnsi"/>
                <w:sz w:val="22"/>
                <w:szCs w:val="22"/>
              </w:rPr>
              <w:t>15 novembre 2024</w:t>
            </w:r>
          </w:p>
        </w:tc>
      </w:tr>
      <w:tr w:rsidR="00020753" w:rsidRPr="00020753" w14:paraId="7A060632" w14:textId="77777777" w:rsidTr="00020753">
        <w:trPr>
          <w:cantSplit/>
          <w:trHeight w:val="340"/>
        </w:trPr>
        <w:tc>
          <w:tcPr>
            <w:tcW w:w="0" w:type="auto"/>
          </w:tcPr>
          <w:p w14:paraId="1D430275" w14:textId="77777777" w:rsidR="00020753" w:rsidRPr="00020753" w:rsidRDefault="00020753" w:rsidP="00020753">
            <w:pPr>
              <w:tabs>
                <w:tab w:val="left" w:pos="4111"/>
              </w:tabs>
              <w:spacing w:before="10"/>
              <w:rPr>
                <w:rFonts w:cstheme="minorHAnsi"/>
                <w:b/>
                <w:bCs/>
                <w:sz w:val="22"/>
                <w:szCs w:val="22"/>
              </w:rPr>
            </w:pPr>
            <w:proofErr w:type="gramStart"/>
            <w:r w:rsidRPr="00020753">
              <w:rPr>
                <w:rFonts w:cstheme="minorHAnsi"/>
                <w:b/>
                <w:bCs/>
                <w:sz w:val="22"/>
                <w:szCs w:val="22"/>
              </w:rPr>
              <w:t>Réf.:</w:t>
            </w:r>
            <w:proofErr w:type="gramEnd"/>
          </w:p>
        </w:tc>
        <w:tc>
          <w:tcPr>
            <w:tcW w:w="3407" w:type="dxa"/>
          </w:tcPr>
          <w:p w14:paraId="2EC20544" w14:textId="14AF1463" w:rsidR="00020753" w:rsidRPr="00020753" w:rsidRDefault="00020753" w:rsidP="00755A82">
            <w:pPr>
              <w:tabs>
                <w:tab w:val="left" w:pos="4111"/>
              </w:tabs>
              <w:spacing w:before="10"/>
              <w:ind w:left="57"/>
              <w:rPr>
                <w:rFonts w:cstheme="minorHAnsi"/>
                <w:b/>
                <w:sz w:val="22"/>
                <w:szCs w:val="22"/>
              </w:rPr>
            </w:pPr>
            <w:r w:rsidRPr="00020753">
              <w:rPr>
                <w:rFonts w:cstheme="minorHAnsi"/>
                <w:b/>
                <w:sz w:val="22"/>
                <w:szCs w:val="22"/>
              </w:rPr>
              <w:t>Circulaire TSB 007</w:t>
            </w:r>
          </w:p>
          <w:p w14:paraId="6450D579" w14:textId="63D68E74" w:rsidR="00020753" w:rsidRPr="00020753" w:rsidRDefault="00020753" w:rsidP="00755A82">
            <w:pPr>
              <w:tabs>
                <w:tab w:val="left" w:pos="4111"/>
              </w:tabs>
              <w:spacing w:before="10"/>
              <w:ind w:left="57"/>
              <w:rPr>
                <w:rFonts w:cstheme="minorHAnsi"/>
                <w:sz w:val="22"/>
                <w:szCs w:val="22"/>
              </w:rPr>
            </w:pPr>
            <w:r w:rsidRPr="00020753">
              <w:rPr>
                <w:rFonts w:cstheme="minorHAnsi"/>
                <w:sz w:val="22"/>
                <w:szCs w:val="22"/>
              </w:rPr>
              <w:t>Manifestations du TSB/MCB</w:t>
            </w:r>
          </w:p>
        </w:tc>
        <w:tc>
          <w:tcPr>
            <w:tcW w:w="5043" w:type="dxa"/>
            <w:vMerge w:val="restart"/>
          </w:tcPr>
          <w:p w14:paraId="0C1A5FA6" w14:textId="77777777" w:rsidR="00020753" w:rsidRPr="00020753" w:rsidRDefault="00020753" w:rsidP="00020753">
            <w:pPr>
              <w:tabs>
                <w:tab w:val="left" w:pos="226"/>
                <w:tab w:val="left" w:pos="4111"/>
              </w:tabs>
              <w:spacing w:before="0" w:after="20"/>
              <w:ind w:left="226" w:hanging="226"/>
              <w:rPr>
                <w:rFonts w:cstheme="minorHAnsi"/>
                <w:b/>
                <w:bCs/>
                <w:sz w:val="22"/>
                <w:szCs w:val="22"/>
              </w:rPr>
            </w:pPr>
            <w:bookmarkStart w:id="0" w:name="Addressee_F"/>
            <w:bookmarkEnd w:id="0"/>
            <w:proofErr w:type="gramStart"/>
            <w:r w:rsidRPr="00020753">
              <w:rPr>
                <w:rFonts w:cstheme="minorHAnsi"/>
                <w:b/>
                <w:bCs/>
                <w:sz w:val="22"/>
                <w:szCs w:val="22"/>
              </w:rPr>
              <w:t>Aux:</w:t>
            </w:r>
            <w:proofErr w:type="gramEnd"/>
          </w:p>
          <w:p w14:paraId="6AD40ADD" w14:textId="77777777" w:rsidR="00020753" w:rsidRPr="00020753" w:rsidRDefault="00020753" w:rsidP="00020753">
            <w:pPr>
              <w:tabs>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 xml:space="preserve">Administrations des États Membres de </w:t>
            </w:r>
            <w:proofErr w:type="gramStart"/>
            <w:r w:rsidRPr="00020753">
              <w:rPr>
                <w:rFonts w:cstheme="minorHAnsi"/>
                <w:sz w:val="22"/>
                <w:szCs w:val="22"/>
              </w:rPr>
              <w:t>l'Union;</w:t>
            </w:r>
            <w:proofErr w:type="gramEnd"/>
          </w:p>
          <w:p w14:paraId="63B1BCE4" w14:textId="77777777" w:rsidR="00020753" w:rsidRPr="00020753" w:rsidRDefault="00020753" w:rsidP="00020753">
            <w:pPr>
              <w:tabs>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Membres du Secteur de l'UIT-</w:t>
            </w:r>
            <w:proofErr w:type="gramStart"/>
            <w:r w:rsidRPr="00020753">
              <w:rPr>
                <w:rFonts w:cstheme="minorHAnsi"/>
                <w:sz w:val="22"/>
                <w:szCs w:val="22"/>
              </w:rPr>
              <w:t>T;</w:t>
            </w:r>
            <w:proofErr w:type="gramEnd"/>
          </w:p>
          <w:p w14:paraId="34A8535E" w14:textId="77777777" w:rsidR="00020753" w:rsidRPr="00020753" w:rsidRDefault="00020753" w:rsidP="00020753">
            <w:pPr>
              <w:tabs>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Associés de l'UIT-</w:t>
            </w:r>
            <w:proofErr w:type="gramStart"/>
            <w:r w:rsidRPr="00020753">
              <w:rPr>
                <w:rFonts w:cstheme="minorHAnsi"/>
                <w:sz w:val="22"/>
                <w:szCs w:val="22"/>
              </w:rPr>
              <w:t>T;</w:t>
            </w:r>
            <w:proofErr w:type="gramEnd"/>
          </w:p>
          <w:p w14:paraId="0D2FC320" w14:textId="77777777" w:rsidR="00020753" w:rsidRPr="00020753" w:rsidRDefault="00020753" w:rsidP="00020753">
            <w:pPr>
              <w:tabs>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Établissements universitaires participant aux travaux de l'UIT</w:t>
            </w:r>
          </w:p>
          <w:p w14:paraId="7C5D5067" w14:textId="77777777" w:rsidR="00020753" w:rsidRPr="00020753" w:rsidRDefault="00020753" w:rsidP="00020753">
            <w:pPr>
              <w:tabs>
                <w:tab w:val="clear" w:pos="794"/>
                <w:tab w:val="left" w:pos="226"/>
                <w:tab w:val="left" w:pos="4111"/>
              </w:tabs>
              <w:spacing w:before="0" w:after="20"/>
              <w:ind w:left="226" w:hanging="226"/>
              <w:rPr>
                <w:rFonts w:cstheme="minorHAnsi"/>
                <w:b/>
                <w:bCs/>
                <w:sz w:val="22"/>
                <w:szCs w:val="22"/>
              </w:rPr>
            </w:pPr>
            <w:proofErr w:type="gramStart"/>
            <w:r w:rsidRPr="00020753">
              <w:rPr>
                <w:rFonts w:cstheme="minorHAnsi"/>
                <w:b/>
                <w:bCs/>
                <w:sz w:val="22"/>
                <w:szCs w:val="22"/>
              </w:rPr>
              <w:t>Copie:</w:t>
            </w:r>
            <w:proofErr w:type="gramEnd"/>
          </w:p>
          <w:p w14:paraId="22E27EF3" w14:textId="77777777" w:rsidR="00020753" w:rsidRPr="00020753" w:rsidRDefault="00020753" w:rsidP="00020753">
            <w:pPr>
              <w:tabs>
                <w:tab w:val="clear" w:pos="794"/>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 xml:space="preserve">Aux Présidents et Vice-Présidents des Commissions </w:t>
            </w:r>
            <w:proofErr w:type="gramStart"/>
            <w:r w:rsidRPr="00020753">
              <w:rPr>
                <w:rFonts w:cstheme="minorHAnsi"/>
                <w:sz w:val="22"/>
                <w:szCs w:val="22"/>
              </w:rPr>
              <w:t>d'études;</w:t>
            </w:r>
            <w:proofErr w:type="gramEnd"/>
          </w:p>
          <w:p w14:paraId="662CE9BF" w14:textId="77777777" w:rsidR="00020753" w:rsidRPr="00020753" w:rsidRDefault="00020753" w:rsidP="00020753">
            <w:pPr>
              <w:tabs>
                <w:tab w:val="clear" w:pos="794"/>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 xml:space="preserve">Au Directeur du Bureau de développement des </w:t>
            </w:r>
            <w:proofErr w:type="gramStart"/>
            <w:r w:rsidRPr="00020753">
              <w:rPr>
                <w:rFonts w:cstheme="minorHAnsi"/>
                <w:sz w:val="22"/>
                <w:szCs w:val="22"/>
              </w:rPr>
              <w:t>télécommunications;</w:t>
            </w:r>
            <w:proofErr w:type="gramEnd"/>
          </w:p>
          <w:p w14:paraId="64102A70" w14:textId="77777777" w:rsidR="00020753" w:rsidRPr="00020753" w:rsidRDefault="00020753" w:rsidP="00020753">
            <w:pPr>
              <w:tabs>
                <w:tab w:val="clear" w:pos="794"/>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 xml:space="preserve">Au Directeur du Bureau des </w:t>
            </w:r>
            <w:proofErr w:type="gramStart"/>
            <w:r w:rsidRPr="00020753">
              <w:rPr>
                <w:rFonts w:cstheme="minorHAnsi"/>
                <w:sz w:val="22"/>
                <w:szCs w:val="22"/>
              </w:rPr>
              <w:t>radiocommunications;</w:t>
            </w:r>
            <w:proofErr w:type="gramEnd"/>
          </w:p>
          <w:p w14:paraId="5B38F3A9" w14:textId="77777777" w:rsidR="00020753" w:rsidRPr="00020753" w:rsidRDefault="00020753" w:rsidP="00020753">
            <w:pPr>
              <w:tabs>
                <w:tab w:val="clear" w:pos="794"/>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Au Directeur du Bureau régional de l'UIT pour les États arabes, Le Caire (Égypte</w:t>
            </w:r>
            <w:proofErr w:type="gramStart"/>
            <w:r w:rsidRPr="00020753">
              <w:rPr>
                <w:rFonts w:cstheme="minorHAnsi"/>
                <w:sz w:val="22"/>
                <w:szCs w:val="22"/>
              </w:rPr>
              <w:t>);</w:t>
            </w:r>
            <w:proofErr w:type="gramEnd"/>
          </w:p>
          <w:p w14:paraId="32E88698" w14:textId="77777777" w:rsidR="00020753" w:rsidRPr="00020753" w:rsidRDefault="00020753" w:rsidP="00020753">
            <w:pPr>
              <w:tabs>
                <w:tab w:val="clear" w:pos="794"/>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Au Directeur du Bureau régional de l'UIT pour l'Afrique, Addis Abeba (Éthiopie</w:t>
            </w:r>
            <w:proofErr w:type="gramStart"/>
            <w:r w:rsidRPr="00020753">
              <w:rPr>
                <w:rFonts w:cstheme="minorHAnsi"/>
                <w:sz w:val="22"/>
                <w:szCs w:val="22"/>
              </w:rPr>
              <w:t>);</w:t>
            </w:r>
            <w:proofErr w:type="gramEnd"/>
          </w:p>
          <w:p w14:paraId="1D8033C9" w14:textId="77777777" w:rsidR="00020753" w:rsidRPr="00020753" w:rsidRDefault="00020753" w:rsidP="00020753">
            <w:pPr>
              <w:tabs>
                <w:tab w:val="clear" w:pos="794"/>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À l'Union africaine des télécommunications (UAT</w:t>
            </w:r>
            <w:proofErr w:type="gramStart"/>
            <w:r w:rsidRPr="00020753">
              <w:rPr>
                <w:rFonts w:cstheme="minorHAnsi"/>
                <w:sz w:val="22"/>
                <w:szCs w:val="22"/>
              </w:rPr>
              <w:t>);</w:t>
            </w:r>
            <w:proofErr w:type="gramEnd"/>
          </w:p>
          <w:p w14:paraId="3892FD23" w14:textId="5A4F7332" w:rsidR="00020753" w:rsidRPr="00020753" w:rsidRDefault="00020753" w:rsidP="00020753">
            <w:pPr>
              <w:tabs>
                <w:tab w:val="left" w:pos="4111"/>
              </w:tabs>
              <w:spacing w:before="0" w:after="20"/>
              <w:ind w:left="426" w:hanging="426"/>
              <w:rPr>
                <w:rFonts w:cstheme="minorHAnsi"/>
                <w:sz w:val="22"/>
                <w:szCs w:val="22"/>
              </w:rPr>
            </w:pPr>
            <w:r w:rsidRPr="00020753">
              <w:rPr>
                <w:rFonts w:cstheme="minorHAnsi"/>
                <w:sz w:val="22"/>
                <w:szCs w:val="22"/>
              </w:rPr>
              <w:t>–</w:t>
            </w:r>
            <w:r w:rsidRPr="00020753">
              <w:rPr>
                <w:rFonts w:cstheme="minorHAnsi"/>
                <w:sz w:val="22"/>
                <w:szCs w:val="22"/>
              </w:rPr>
              <w:tab/>
              <w:t>À la Ligue des États arabes (LAS)</w:t>
            </w:r>
          </w:p>
        </w:tc>
      </w:tr>
      <w:tr w:rsidR="00020753" w:rsidRPr="00020753" w14:paraId="0D8FDE82" w14:textId="77777777" w:rsidTr="00020753">
        <w:trPr>
          <w:cantSplit/>
          <w:trHeight w:val="340"/>
        </w:trPr>
        <w:tc>
          <w:tcPr>
            <w:tcW w:w="0" w:type="auto"/>
          </w:tcPr>
          <w:p w14:paraId="5428AE3D" w14:textId="77777777" w:rsidR="00020753" w:rsidRPr="00020753" w:rsidRDefault="00020753" w:rsidP="00020753">
            <w:pPr>
              <w:tabs>
                <w:tab w:val="left" w:pos="4111"/>
              </w:tabs>
              <w:spacing w:before="10"/>
              <w:rPr>
                <w:rFonts w:cstheme="minorHAnsi"/>
                <w:sz w:val="22"/>
                <w:szCs w:val="22"/>
              </w:rPr>
            </w:pPr>
            <w:proofErr w:type="gramStart"/>
            <w:r w:rsidRPr="00020753">
              <w:rPr>
                <w:rFonts w:cstheme="minorHAnsi"/>
                <w:sz w:val="22"/>
                <w:szCs w:val="22"/>
              </w:rPr>
              <w:t>Contact:</w:t>
            </w:r>
            <w:proofErr w:type="gramEnd"/>
          </w:p>
        </w:tc>
        <w:tc>
          <w:tcPr>
            <w:tcW w:w="3407" w:type="dxa"/>
          </w:tcPr>
          <w:p w14:paraId="37B14097" w14:textId="6590BD86" w:rsidR="00020753" w:rsidRPr="00020753" w:rsidRDefault="00020753" w:rsidP="00755A82">
            <w:pPr>
              <w:tabs>
                <w:tab w:val="left" w:pos="4111"/>
              </w:tabs>
              <w:spacing w:before="10"/>
              <w:ind w:left="57"/>
              <w:rPr>
                <w:rFonts w:cstheme="minorHAnsi"/>
                <w:bCs/>
                <w:sz w:val="22"/>
                <w:szCs w:val="22"/>
              </w:rPr>
            </w:pPr>
            <w:r w:rsidRPr="00020753">
              <w:rPr>
                <w:rFonts w:cstheme="minorHAnsi"/>
                <w:bCs/>
                <w:sz w:val="22"/>
                <w:szCs w:val="22"/>
              </w:rPr>
              <w:t>Maite Comas Barnes</w:t>
            </w:r>
          </w:p>
        </w:tc>
        <w:tc>
          <w:tcPr>
            <w:tcW w:w="5043" w:type="dxa"/>
            <w:vMerge/>
          </w:tcPr>
          <w:p w14:paraId="26079FF2" w14:textId="1C308A21" w:rsidR="00020753" w:rsidRPr="00020753" w:rsidRDefault="00020753" w:rsidP="00755A82">
            <w:pPr>
              <w:tabs>
                <w:tab w:val="left" w:pos="4111"/>
              </w:tabs>
              <w:spacing w:before="0"/>
              <w:ind w:left="426" w:hanging="426"/>
              <w:rPr>
                <w:rFonts w:cstheme="minorHAnsi"/>
                <w:sz w:val="22"/>
                <w:szCs w:val="22"/>
              </w:rPr>
            </w:pPr>
          </w:p>
        </w:tc>
      </w:tr>
      <w:tr w:rsidR="00020753" w:rsidRPr="00020753" w14:paraId="5FFF3631" w14:textId="77777777" w:rsidTr="00020753">
        <w:trPr>
          <w:cantSplit/>
        </w:trPr>
        <w:tc>
          <w:tcPr>
            <w:tcW w:w="0" w:type="auto"/>
          </w:tcPr>
          <w:p w14:paraId="6357E1AA" w14:textId="77777777" w:rsidR="00020753" w:rsidRPr="00020753" w:rsidRDefault="00020753" w:rsidP="00020753">
            <w:pPr>
              <w:tabs>
                <w:tab w:val="left" w:pos="4111"/>
              </w:tabs>
              <w:spacing w:before="10"/>
              <w:rPr>
                <w:rFonts w:cstheme="minorHAnsi"/>
                <w:sz w:val="22"/>
                <w:szCs w:val="22"/>
              </w:rPr>
            </w:pPr>
            <w:proofErr w:type="gramStart"/>
            <w:r w:rsidRPr="00020753">
              <w:rPr>
                <w:rFonts w:cstheme="minorHAnsi"/>
                <w:sz w:val="22"/>
                <w:szCs w:val="22"/>
              </w:rPr>
              <w:t>Tél.:</w:t>
            </w:r>
            <w:proofErr w:type="gramEnd"/>
          </w:p>
        </w:tc>
        <w:tc>
          <w:tcPr>
            <w:tcW w:w="3407" w:type="dxa"/>
          </w:tcPr>
          <w:p w14:paraId="3D7918B1" w14:textId="6CDBC904" w:rsidR="00020753" w:rsidRPr="00020753" w:rsidRDefault="00020753" w:rsidP="00755A82">
            <w:pPr>
              <w:tabs>
                <w:tab w:val="left" w:pos="4111"/>
              </w:tabs>
              <w:spacing w:before="0"/>
              <w:ind w:left="57"/>
              <w:rPr>
                <w:rFonts w:cstheme="minorHAnsi"/>
                <w:sz w:val="22"/>
                <w:szCs w:val="22"/>
              </w:rPr>
            </w:pPr>
            <w:r w:rsidRPr="00020753">
              <w:rPr>
                <w:rFonts w:cstheme="minorHAnsi"/>
                <w:sz w:val="22"/>
                <w:szCs w:val="22"/>
              </w:rPr>
              <w:t>+41 22 730 5893</w:t>
            </w:r>
          </w:p>
        </w:tc>
        <w:tc>
          <w:tcPr>
            <w:tcW w:w="5043" w:type="dxa"/>
            <w:vMerge/>
          </w:tcPr>
          <w:p w14:paraId="69B50149" w14:textId="2E0D5887" w:rsidR="00020753" w:rsidRPr="00020753" w:rsidRDefault="00020753" w:rsidP="00755A82">
            <w:pPr>
              <w:tabs>
                <w:tab w:val="left" w:pos="4111"/>
              </w:tabs>
              <w:spacing w:before="0"/>
              <w:ind w:left="426" w:hanging="426"/>
              <w:rPr>
                <w:rFonts w:cstheme="minorHAnsi"/>
                <w:b/>
                <w:sz w:val="22"/>
                <w:szCs w:val="22"/>
              </w:rPr>
            </w:pPr>
          </w:p>
        </w:tc>
      </w:tr>
      <w:tr w:rsidR="00020753" w:rsidRPr="00020753" w14:paraId="026007DF" w14:textId="77777777" w:rsidTr="00020753">
        <w:trPr>
          <w:cantSplit/>
          <w:trHeight w:val="586"/>
        </w:trPr>
        <w:tc>
          <w:tcPr>
            <w:tcW w:w="0" w:type="auto"/>
          </w:tcPr>
          <w:p w14:paraId="5CCEEC7C" w14:textId="77777777" w:rsidR="00020753" w:rsidRPr="00020753" w:rsidRDefault="00020753" w:rsidP="00020753">
            <w:pPr>
              <w:tabs>
                <w:tab w:val="left" w:pos="4111"/>
              </w:tabs>
              <w:spacing w:before="10"/>
              <w:rPr>
                <w:rFonts w:cstheme="minorHAnsi"/>
                <w:sz w:val="22"/>
                <w:szCs w:val="22"/>
              </w:rPr>
            </w:pPr>
            <w:proofErr w:type="gramStart"/>
            <w:r w:rsidRPr="00020753">
              <w:rPr>
                <w:rFonts w:cstheme="minorHAnsi"/>
                <w:sz w:val="22"/>
                <w:szCs w:val="22"/>
              </w:rPr>
              <w:t>Télécopie:</w:t>
            </w:r>
            <w:proofErr w:type="gramEnd"/>
          </w:p>
        </w:tc>
        <w:tc>
          <w:tcPr>
            <w:tcW w:w="3407" w:type="dxa"/>
          </w:tcPr>
          <w:p w14:paraId="09534677" w14:textId="77777777" w:rsidR="00020753" w:rsidRPr="00020753" w:rsidRDefault="00020753" w:rsidP="00755A82">
            <w:pPr>
              <w:tabs>
                <w:tab w:val="left" w:pos="4111"/>
              </w:tabs>
              <w:spacing w:before="0"/>
              <w:ind w:left="57"/>
              <w:rPr>
                <w:rFonts w:cstheme="minorHAnsi"/>
                <w:sz w:val="22"/>
                <w:szCs w:val="22"/>
              </w:rPr>
            </w:pPr>
            <w:r w:rsidRPr="00020753">
              <w:rPr>
                <w:rFonts w:cstheme="minorHAnsi"/>
                <w:sz w:val="22"/>
                <w:szCs w:val="22"/>
              </w:rPr>
              <w:t>+41 22 730 5853</w:t>
            </w:r>
          </w:p>
        </w:tc>
        <w:tc>
          <w:tcPr>
            <w:tcW w:w="5043" w:type="dxa"/>
            <w:vMerge/>
          </w:tcPr>
          <w:p w14:paraId="5AC2E88B" w14:textId="1B76FE11" w:rsidR="00020753" w:rsidRPr="00020753" w:rsidRDefault="00020753" w:rsidP="00755A82">
            <w:pPr>
              <w:tabs>
                <w:tab w:val="left" w:pos="4111"/>
              </w:tabs>
              <w:spacing w:before="0"/>
              <w:ind w:left="426" w:hanging="426"/>
              <w:rPr>
                <w:rFonts w:cstheme="minorHAnsi"/>
                <w:b/>
                <w:sz w:val="22"/>
                <w:szCs w:val="22"/>
              </w:rPr>
            </w:pPr>
          </w:p>
        </w:tc>
      </w:tr>
      <w:tr w:rsidR="00020753" w:rsidRPr="00020753" w14:paraId="290A42C0" w14:textId="77777777" w:rsidTr="00020753">
        <w:trPr>
          <w:cantSplit/>
          <w:trHeight w:val="3474"/>
        </w:trPr>
        <w:tc>
          <w:tcPr>
            <w:tcW w:w="0" w:type="auto"/>
          </w:tcPr>
          <w:p w14:paraId="391AB4A7" w14:textId="77777777" w:rsidR="00020753" w:rsidRPr="00020753" w:rsidRDefault="00020753" w:rsidP="00020753">
            <w:pPr>
              <w:tabs>
                <w:tab w:val="left" w:pos="4111"/>
              </w:tabs>
              <w:spacing w:before="10"/>
              <w:rPr>
                <w:rFonts w:cstheme="minorHAnsi"/>
                <w:sz w:val="22"/>
                <w:szCs w:val="22"/>
              </w:rPr>
            </w:pPr>
            <w:proofErr w:type="gramStart"/>
            <w:r w:rsidRPr="00020753">
              <w:rPr>
                <w:rFonts w:cstheme="minorHAnsi"/>
                <w:sz w:val="22"/>
                <w:szCs w:val="22"/>
              </w:rPr>
              <w:t>Courriel:</w:t>
            </w:r>
            <w:proofErr w:type="gramEnd"/>
          </w:p>
        </w:tc>
        <w:tc>
          <w:tcPr>
            <w:tcW w:w="3407" w:type="dxa"/>
          </w:tcPr>
          <w:p w14:paraId="639E4393" w14:textId="085B9FFD" w:rsidR="00020753" w:rsidRPr="00020753" w:rsidRDefault="00020753" w:rsidP="00755A82">
            <w:pPr>
              <w:tabs>
                <w:tab w:val="left" w:pos="4111"/>
              </w:tabs>
              <w:spacing w:before="10"/>
              <w:ind w:left="57"/>
              <w:rPr>
                <w:rFonts w:cstheme="minorHAnsi"/>
                <w:sz w:val="22"/>
                <w:szCs w:val="22"/>
              </w:rPr>
            </w:pPr>
            <w:hyperlink r:id="rId9" w:history="1">
              <w:r w:rsidRPr="00020753">
                <w:rPr>
                  <w:rStyle w:val="Hyperlink"/>
                  <w:rFonts w:cstheme="minorHAnsi"/>
                  <w:sz w:val="22"/>
                  <w:szCs w:val="22"/>
                </w:rPr>
                <w:t>tsbsg2@itu.int</w:t>
              </w:r>
            </w:hyperlink>
          </w:p>
          <w:p w14:paraId="50913ED0" w14:textId="3E155718" w:rsidR="00020753" w:rsidRPr="00020753" w:rsidRDefault="00020753" w:rsidP="00755A82">
            <w:pPr>
              <w:tabs>
                <w:tab w:val="left" w:pos="4111"/>
              </w:tabs>
              <w:spacing w:before="0"/>
              <w:ind w:left="57"/>
              <w:rPr>
                <w:rFonts w:cstheme="minorHAnsi"/>
                <w:sz w:val="22"/>
                <w:szCs w:val="22"/>
              </w:rPr>
            </w:pPr>
            <w:hyperlink r:id="rId10" w:history="1">
              <w:r w:rsidRPr="00020753">
                <w:rPr>
                  <w:rStyle w:val="Hyperlink"/>
                  <w:rFonts w:cstheme="minorHAnsi"/>
                  <w:sz w:val="22"/>
                  <w:szCs w:val="22"/>
                </w:rPr>
                <w:t>tsbevents@itu.int</w:t>
              </w:r>
            </w:hyperlink>
          </w:p>
        </w:tc>
        <w:tc>
          <w:tcPr>
            <w:tcW w:w="5043" w:type="dxa"/>
            <w:vMerge/>
          </w:tcPr>
          <w:p w14:paraId="5781C909" w14:textId="5981727F" w:rsidR="00020753" w:rsidRPr="00020753" w:rsidRDefault="00020753" w:rsidP="00755A82">
            <w:pPr>
              <w:tabs>
                <w:tab w:val="clear" w:pos="794"/>
                <w:tab w:val="left" w:pos="4111"/>
              </w:tabs>
              <w:spacing w:before="0"/>
              <w:ind w:left="426" w:hanging="426"/>
              <w:rPr>
                <w:rFonts w:cstheme="minorHAnsi"/>
                <w:sz w:val="22"/>
                <w:szCs w:val="22"/>
              </w:rPr>
            </w:pPr>
          </w:p>
        </w:tc>
      </w:tr>
      <w:tr w:rsidR="00517A03" w:rsidRPr="00020753" w14:paraId="029EB0F2" w14:textId="77777777" w:rsidTr="00C41B89">
        <w:trPr>
          <w:cantSplit/>
          <w:trHeight w:val="397"/>
        </w:trPr>
        <w:tc>
          <w:tcPr>
            <w:tcW w:w="0" w:type="auto"/>
          </w:tcPr>
          <w:p w14:paraId="09AF897C" w14:textId="77777777" w:rsidR="00517A03" w:rsidRPr="00020753" w:rsidRDefault="00517A03" w:rsidP="00020753">
            <w:pPr>
              <w:tabs>
                <w:tab w:val="left" w:pos="4111"/>
              </w:tabs>
              <w:rPr>
                <w:rFonts w:cstheme="minorHAnsi"/>
                <w:b/>
                <w:bCs/>
                <w:sz w:val="22"/>
                <w:szCs w:val="22"/>
              </w:rPr>
            </w:pPr>
            <w:proofErr w:type="gramStart"/>
            <w:r w:rsidRPr="00020753">
              <w:rPr>
                <w:rFonts w:cstheme="minorHAnsi"/>
                <w:b/>
                <w:bCs/>
                <w:sz w:val="22"/>
                <w:szCs w:val="22"/>
              </w:rPr>
              <w:t>Objet:</w:t>
            </w:r>
            <w:proofErr w:type="gramEnd"/>
          </w:p>
        </w:tc>
        <w:tc>
          <w:tcPr>
            <w:tcW w:w="0" w:type="auto"/>
            <w:gridSpan w:val="2"/>
          </w:tcPr>
          <w:p w14:paraId="2E3A0355" w14:textId="3B31A619" w:rsidR="00517A03" w:rsidRPr="00020753" w:rsidRDefault="00F05095" w:rsidP="00755A82">
            <w:pPr>
              <w:tabs>
                <w:tab w:val="left" w:pos="4111"/>
              </w:tabs>
              <w:spacing w:after="120"/>
              <w:ind w:left="57"/>
              <w:rPr>
                <w:rFonts w:cstheme="minorHAnsi"/>
                <w:b/>
                <w:bCs/>
                <w:sz w:val="22"/>
                <w:szCs w:val="22"/>
              </w:rPr>
            </w:pPr>
            <w:r w:rsidRPr="00020753">
              <w:rPr>
                <w:rFonts w:cstheme="minorHAnsi"/>
                <w:b/>
                <w:bCs/>
                <w:sz w:val="22"/>
                <w:szCs w:val="22"/>
              </w:rPr>
              <w:t>Atelier de l'UIT sur le thème "Données d'expérience et difficultés relatives à la taxation des numéros de télécommunication" (manifestation entièrement virtuelle,</w:t>
            </w:r>
            <w:r w:rsidR="004B5565" w:rsidRPr="00020753">
              <w:rPr>
                <w:rFonts w:cstheme="minorHAnsi"/>
                <w:b/>
                <w:bCs/>
                <w:sz w:val="22"/>
                <w:szCs w:val="22"/>
              </w:rPr>
              <w:t> </w:t>
            </w:r>
            <w:r w:rsidRPr="00020753">
              <w:rPr>
                <w:rFonts w:cstheme="minorHAnsi"/>
                <w:b/>
                <w:bCs/>
                <w:sz w:val="22"/>
                <w:szCs w:val="22"/>
              </w:rPr>
              <w:t>16 décembre 2024)</w:t>
            </w:r>
          </w:p>
        </w:tc>
      </w:tr>
    </w:tbl>
    <w:p w14:paraId="1CF6D7F5" w14:textId="77777777" w:rsidR="00517A03" w:rsidRPr="00020753" w:rsidRDefault="00517A03" w:rsidP="00020753">
      <w:pPr>
        <w:pStyle w:val="Normalaftertitle"/>
        <w:spacing w:before="120"/>
        <w:rPr>
          <w:rFonts w:cstheme="minorHAnsi"/>
          <w:sz w:val="22"/>
          <w:szCs w:val="22"/>
        </w:rPr>
      </w:pPr>
      <w:bookmarkStart w:id="1" w:name="StartTyping_F"/>
      <w:bookmarkEnd w:id="1"/>
      <w:r w:rsidRPr="00020753">
        <w:rPr>
          <w:rFonts w:cstheme="minorHAnsi"/>
          <w:sz w:val="22"/>
          <w:szCs w:val="22"/>
        </w:rPr>
        <w:t>Madame, Monsieur,</w:t>
      </w:r>
    </w:p>
    <w:p w14:paraId="381547B8" w14:textId="353B9BC2" w:rsidR="00F05095" w:rsidRPr="00020753" w:rsidRDefault="00F05095" w:rsidP="00975225">
      <w:pPr>
        <w:rPr>
          <w:rFonts w:cstheme="minorHAnsi"/>
          <w:sz w:val="22"/>
          <w:szCs w:val="22"/>
        </w:rPr>
      </w:pPr>
      <w:r w:rsidRPr="00020753">
        <w:rPr>
          <w:rFonts w:cstheme="minorHAnsi"/>
          <w:sz w:val="22"/>
          <w:szCs w:val="22"/>
        </w:rPr>
        <w:t>1</w:t>
      </w:r>
      <w:r w:rsidRPr="00020753">
        <w:rPr>
          <w:rFonts w:cstheme="minorHAnsi"/>
          <w:sz w:val="22"/>
          <w:szCs w:val="22"/>
        </w:rPr>
        <w:tab/>
        <w:t>J'ai l'honneur de vous informer que l'Union internationale des télécommunications (UIT) organise un atelier sur le thème "</w:t>
      </w:r>
      <w:r w:rsidRPr="00020753">
        <w:rPr>
          <w:rFonts w:cstheme="minorHAnsi"/>
          <w:b/>
          <w:sz w:val="22"/>
          <w:szCs w:val="22"/>
        </w:rPr>
        <w:t>Données d'expérience et difficultés relatives à la taxation des numéros de télécommunication</w:t>
      </w:r>
      <w:r w:rsidRPr="00020753">
        <w:rPr>
          <w:rFonts w:cstheme="minorHAnsi"/>
          <w:sz w:val="22"/>
          <w:szCs w:val="22"/>
        </w:rPr>
        <w:t>", qui se tiendra sous forme virtuelle le 16 décembre 2024, de</w:t>
      </w:r>
      <w:r w:rsidR="005B3381" w:rsidRPr="00020753">
        <w:rPr>
          <w:rFonts w:cstheme="minorHAnsi"/>
          <w:sz w:val="22"/>
          <w:szCs w:val="22"/>
        </w:rPr>
        <w:t> </w:t>
      </w:r>
      <w:r w:rsidRPr="00020753">
        <w:rPr>
          <w:rFonts w:cstheme="minorHAnsi"/>
          <w:sz w:val="22"/>
          <w:szCs w:val="22"/>
        </w:rPr>
        <w:t>10</w:t>
      </w:r>
      <w:r w:rsidR="005B3381" w:rsidRPr="00020753">
        <w:rPr>
          <w:rFonts w:cstheme="minorHAnsi"/>
          <w:sz w:val="22"/>
          <w:szCs w:val="22"/>
        </w:rPr>
        <w:t> </w:t>
      </w:r>
      <w:r w:rsidRPr="00020753">
        <w:rPr>
          <w:rFonts w:cstheme="minorHAnsi"/>
          <w:sz w:val="22"/>
          <w:szCs w:val="22"/>
        </w:rPr>
        <w:t>heures à 12 heures CET.</w:t>
      </w:r>
    </w:p>
    <w:p w14:paraId="236D2BC5" w14:textId="6E316696" w:rsidR="00F05095" w:rsidRPr="00020753" w:rsidRDefault="00F05095" w:rsidP="00975225">
      <w:pPr>
        <w:rPr>
          <w:rFonts w:cstheme="minorHAnsi"/>
          <w:bCs/>
          <w:sz w:val="22"/>
          <w:szCs w:val="22"/>
        </w:rPr>
      </w:pPr>
      <w:r w:rsidRPr="00020753">
        <w:rPr>
          <w:rFonts w:cstheme="minorHAnsi"/>
          <w:bCs/>
          <w:sz w:val="22"/>
          <w:szCs w:val="22"/>
        </w:rPr>
        <w:t xml:space="preserve">L'atelier sera suivi de la </w:t>
      </w:r>
      <w:r w:rsidRPr="00020753">
        <w:rPr>
          <w:rFonts w:cstheme="minorHAnsi"/>
          <w:b/>
          <w:sz w:val="22"/>
          <w:szCs w:val="22"/>
        </w:rPr>
        <w:t xml:space="preserve">réunion conjointe des Groupes régionaux de la CE 2 pour la région </w:t>
      </w:r>
      <w:hyperlink r:id="rId11" w:history="1">
        <w:r w:rsidRPr="00020753">
          <w:rPr>
            <w:rStyle w:val="Hyperlink"/>
            <w:rFonts w:cstheme="minorHAnsi"/>
            <w:b/>
            <w:sz w:val="22"/>
            <w:szCs w:val="22"/>
          </w:rPr>
          <w:t>Afrique</w:t>
        </w:r>
      </w:hyperlink>
      <w:r w:rsidRPr="00020753">
        <w:rPr>
          <w:rFonts w:cstheme="minorHAnsi"/>
          <w:b/>
          <w:sz w:val="22"/>
          <w:szCs w:val="22"/>
        </w:rPr>
        <w:t xml:space="preserve"> et pour la région des </w:t>
      </w:r>
      <w:hyperlink r:id="rId12" w:history="1">
        <w:r w:rsidRPr="00020753">
          <w:rPr>
            <w:rStyle w:val="Hyperlink"/>
            <w:rFonts w:cstheme="minorHAnsi"/>
            <w:b/>
            <w:sz w:val="22"/>
            <w:szCs w:val="22"/>
          </w:rPr>
          <w:t>États arabes</w:t>
        </w:r>
      </w:hyperlink>
      <w:r w:rsidRPr="00020753">
        <w:rPr>
          <w:rFonts w:cstheme="minorHAnsi"/>
          <w:bCs/>
          <w:sz w:val="22"/>
          <w:szCs w:val="22"/>
        </w:rPr>
        <w:t>, qui se tiendra en ligne le 17 décembre 2024.</w:t>
      </w:r>
    </w:p>
    <w:p w14:paraId="2E34FACF" w14:textId="34368752" w:rsidR="00F05095" w:rsidRPr="00020753" w:rsidRDefault="00F05095" w:rsidP="00975225">
      <w:pPr>
        <w:rPr>
          <w:rFonts w:cstheme="minorHAnsi"/>
          <w:sz w:val="22"/>
          <w:szCs w:val="22"/>
        </w:rPr>
      </w:pPr>
      <w:r w:rsidRPr="00020753">
        <w:rPr>
          <w:rFonts w:cstheme="minorHAnsi"/>
          <w:sz w:val="22"/>
          <w:szCs w:val="22"/>
        </w:rPr>
        <w:t>2</w:t>
      </w:r>
      <w:r w:rsidRPr="00020753">
        <w:rPr>
          <w:rFonts w:cstheme="minorHAnsi"/>
          <w:sz w:val="22"/>
          <w:szCs w:val="22"/>
        </w:rPr>
        <w:tab/>
        <w:t xml:space="preserve">Cet atelier vise à réunir des représentants des autorités nationales de régulation de la région Afrique et de la région des </w:t>
      </w:r>
      <w:r w:rsidR="005B3381" w:rsidRPr="00020753">
        <w:rPr>
          <w:rFonts w:cstheme="minorHAnsi"/>
          <w:sz w:val="22"/>
          <w:szCs w:val="22"/>
        </w:rPr>
        <w:t>États</w:t>
      </w:r>
      <w:r w:rsidRPr="00020753">
        <w:rPr>
          <w:rFonts w:cstheme="minorHAnsi"/>
          <w:sz w:val="22"/>
          <w:szCs w:val="22"/>
        </w:rPr>
        <w:t xml:space="preserve"> arabes, afin d'échanger au sujet des différentes données d'expériences et des difficultés relatives à la taxation des numéros de télécommunication. Dans un contexte de croissance du secteur des télécommunications, la gestion efficace des ressources de numérotage devient essentielle, d'autant plus que les autorités nationales de régulation sont soumises à des pressions pour trouver un équilibre entre des prix justes, un accès équitable et une attribution efficace des numéros. L'objectif de cet atelier est de créer une plate-forme d'échange de connaissances et de bonnes pratiques sur les approches réglementaires, les modèles de tarification et les obstacles rencontrés par les autorités nationales de régulation pour mettre en œuvre efficacement les systèmes de taxation des numéros.</w:t>
      </w:r>
    </w:p>
    <w:p w14:paraId="4186B3A9" w14:textId="77777777" w:rsidR="00F05095" w:rsidRPr="00020753" w:rsidRDefault="00F05095" w:rsidP="00975225">
      <w:pPr>
        <w:rPr>
          <w:rFonts w:cstheme="minorHAnsi"/>
          <w:sz w:val="22"/>
          <w:szCs w:val="22"/>
        </w:rPr>
      </w:pPr>
      <w:r w:rsidRPr="00020753">
        <w:rPr>
          <w:rFonts w:cstheme="minorHAnsi"/>
          <w:sz w:val="22"/>
          <w:szCs w:val="22"/>
        </w:rPr>
        <w:t>3</w:t>
      </w:r>
      <w:r w:rsidRPr="00020753">
        <w:rPr>
          <w:rFonts w:cstheme="minorHAnsi"/>
          <w:sz w:val="22"/>
          <w:szCs w:val="22"/>
        </w:rPr>
        <w:tab/>
        <w:t>L'objectif principal est de faciliter l'échange de connaissances et la collaboration entre les autorités nationales de régulation dans la région Afrique et la région des États arabes sur les stratégies, les bonnes pratiques et les difficultés relatives à la taxation des numéros de télécommunication, en favorisant l'amélioration des cadres réglementaires et de la gestion des ressources dans le secteur des télécommunications.</w:t>
      </w:r>
    </w:p>
    <w:p w14:paraId="67A739C7" w14:textId="77777777" w:rsidR="00F05095" w:rsidRPr="00020753" w:rsidRDefault="00F05095" w:rsidP="00975225">
      <w:pPr>
        <w:rPr>
          <w:rFonts w:cstheme="minorHAnsi"/>
          <w:sz w:val="22"/>
          <w:szCs w:val="22"/>
        </w:rPr>
      </w:pPr>
      <w:r w:rsidRPr="00020753">
        <w:rPr>
          <w:rFonts w:cstheme="minorHAnsi"/>
          <w:sz w:val="22"/>
          <w:szCs w:val="22"/>
        </w:rPr>
        <w:lastRenderedPageBreak/>
        <w:t>4</w:t>
      </w:r>
      <w:r w:rsidRPr="00020753">
        <w:rPr>
          <w:rFonts w:cstheme="minorHAnsi"/>
          <w:sz w:val="22"/>
          <w:szCs w:val="22"/>
        </w:rPr>
        <w:tab/>
        <w:t xml:space="preserve">Les objectifs de cette manifestation sont notamment, mais pas exclusivement, les </w:t>
      </w:r>
      <w:proofErr w:type="gramStart"/>
      <w:r w:rsidRPr="00020753">
        <w:rPr>
          <w:rFonts w:cstheme="minorHAnsi"/>
          <w:sz w:val="22"/>
          <w:szCs w:val="22"/>
        </w:rPr>
        <w:t>suivants:</w:t>
      </w:r>
      <w:proofErr w:type="gramEnd"/>
    </w:p>
    <w:p w14:paraId="156069E7" w14:textId="77777777" w:rsidR="00F05095" w:rsidRPr="00020753" w:rsidRDefault="00F05095" w:rsidP="00755A82">
      <w:pPr>
        <w:pStyle w:val="enumlev1"/>
        <w:rPr>
          <w:rFonts w:cstheme="minorHAnsi"/>
          <w:sz w:val="22"/>
          <w:szCs w:val="22"/>
        </w:rPr>
      </w:pPr>
      <w:r w:rsidRPr="00020753">
        <w:rPr>
          <w:rFonts w:cstheme="minorHAnsi"/>
          <w:sz w:val="22"/>
          <w:szCs w:val="22"/>
        </w:rPr>
        <w:t>–</w:t>
      </w:r>
      <w:r w:rsidRPr="00020753">
        <w:rPr>
          <w:rFonts w:cstheme="minorHAnsi"/>
          <w:sz w:val="22"/>
          <w:szCs w:val="22"/>
        </w:rPr>
        <w:tab/>
        <w:t xml:space="preserve">examiner les différents modèles et cadres réglementaires utilisés pour la tarification des numéros de télécommunication et évaluer leur efficacité dans différentes </w:t>
      </w:r>
      <w:proofErr w:type="gramStart"/>
      <w:r w:rsidRPr="00020753">
        <w:rPr>
          <w:rFonts w:cstheme="minorHAnsi"/>
          <w:sz w:val="22"/>
          <w:szCs w:val="22"/>
        </w:rPr>
        <w:t>régions;</w:t>
      </w:r>
      <w:proofErr w:type="gramEnd"/>
    </w:p>
    <w:p w14:paraId="2ECB77E5" w14:textId="77777777" w:rsidR="00F05095" w:rsidRPr="00020753" w:rsidRDefault="00F05095" w:rsidP="00755A82">
      <w:pPr>
        <w:pStyle w:val="enumlev1"/>
        <w:rPr>
          <w:rFonts w:cstheme="minorHAnsi"/>
          <w:sz w:val="22"/>
          <w:szCs w:val="22"/>
        </w:rPr>
      </w:pPr>
      <w:r w:rsidRPr="00020753">
        <w:rPr>
          <w:rFonts w:cstheme="minorHAnsi"/>
          <w:sz w:val="22"/>
          <w:szCs w:val="22"/>
        </w:rPr>
        <w:t>–</w:t>
      </w:r>
      <w:r w:rsidRPr="00020753">
        <w:rPr>
          <w:rFonts w:cstheme="minorHAnsi"/>
          <w:sz w:val="22"/>
          <w:szCs w:val="22"/>
        </w:rPr>
        <w:tab/>
        <w:t xml:space="preserve">recenser les difficultés et les obstacles couramment rencontrés par les autorités nationales de régulation dans la mise en œuvre et l'application des systèmes de taxation des numéros, y compris les questions techniques, économiques et liées à la </w:t>
      </w:r>
      <w:proofErr w:type="gramStart"/>
      <w:r w:rsidRPr="00020753">
        <w:rPr>
          <w:rFonts w:cstheme="minorHAnsi"/>
          <w:sz w:val="22"/>
          <w:szCs w:val="22"/>
        </w:rPr>
        <w:t>conformité;</w:t>
      </w:r>
      <w:proofErr w:type="gramEnd"/>
    </w:p>
    <w:p w14:paraId="4EC34FC7" w14:textId="77777777" w:rsidR="00F05095" w:rsidRPr="00020753" w:rsidRDefault="00F05095" w:rsidP="00755A82">
      <w:pPr>
        <w:pStyle w:val="enumlev1"/>
        <w:rPr>
          <w:rFonts w:cstheme="minorHAnsi"/>
          <w:sz w:val="22"/>
          <w:szCs w:val="22"/>
        </w:rPr>
      </w:pPr>
      <w:r w:rsidRPr="00020753">
        <w:rPr>
          <w:rFonts w:cstheme="minorHAnsi"/>
          <w:sz w:val="22"/>
          <w:szCs w:val="22"/>
        </w:rPr>
        <w:t>–</w:t>
      </w:r>
      <w:r w:rsidRPr="00020753">
        <w:rPr>
          <w:rFonts w:cstheme="minorHAnsi"/>
          <w:sz w:val="22"/>
          <w:szCs w:val="22"/>
        </w:rPr>
        <w:tab/>
        <w:t xml:space="preserve">étudier des méthodes et des solutions innovantes pour gérer la rareté des ressources de numérotage, prévenir la thésaurisation de ces ressources et promouvoir un accès équitable pour tous les secteurs et toutes les catégories </w:t>
      </w:r>
      <w:proofErr w:type="gramStart"/>
      <w:r w:rsidRPr="00020753">
        <w:rPr>
          <w:rFonts w:cstheme="minorHAnsi"/>
          <w:sz w:val="22"/>
          <w:szCs w:val="22"/>
        </w:rPr>
        <w:t>démographiques;</w:t>
      </w:r>
      <w:proofErr w:type="gramEnd"/>
    </w:p>
    <w:p w14:paraId="35D858FD" w14:textId="77777777" w:rsidR="00F05095" w:rsidRPr="00020753" w:rsidRDefault="00F05095" w:rsidP="00755A82">
      <w:pPr>
        <w:pStyle w:val="enumlev1"/>
        <w:rPr>
          <w:rFonts w:cstheme="minorHAnsi"/>
          <w:sz w:val="22"/>
          <w:szCs w:val="22"/>
        </w:rPr>
      </w:pPr>
      <w:r w:rsidRPr="00020753">
        <w:rPr>
          <w:rFonts w:cstheme="minorHAnsi"/>
          <w:sz w:val="22"/>
          <w:szCs w:val="22"/>
        </w:rPr>
        <w:t>–</w:t>
      </w:r>
      <w:r w:rsidRPr="00020753">
        <w:rPr>
          <w:rFonts w:cstheme="minorHAnsi"/>
          <w:sz w:val="22"/>
          <w:szCs w:val="22"/>
        </w:rPr>
        <w:tab/>
        <w:t xml:space="preserve">examiner les possibilités de générer des recettes et d'assurer la viabilité financière grâce à des pratiques de numérotage efficaces, en contribuant au développement des infrastructures de télécommunication </w:t>
      </w:r>
      <w:proofErr w:type="gramStart"/>
      <w:r w:rsidRPr="00020753">
        <w:rPr>
          <w:rFonts w:cstheme="minorHAnsi"/>
          <w:sz w:val="22"/>
          <w:szCs w:val="22"/>
        </w:rPr>
        <w:t>nationales;</w:t>
      </w:r>
      <w:proofErr w:type="gramEnd"/>
    </w:p>
    <w:p w14:paraId="47DAB7A1" w14:textId="77777777" w:rsidR="00F05095" w:rsidRPr="00020753" w:rsidRDefault="00F05095" w:rsidP="00755A82">
      <w:pPr>
        <w:pStyle w:val="enumlev1"/>
        <w:rPr>
          <w:rFonts w:cstheme="minorHAnsi"/>
          <w:sz w:val="22"/>
          <w:szCs w:val="22"/>
        </w:rPr>
      </w:pPr>
      <w:r w:rsidRPr="00020753">
        <w:rPr>
          <w:rFonts w:cstheme="minorHAnsi"/>
          <w:sz w:val="22"/>
          <w:szCs w:val="22"/>
        </w:rPr>
        <w:t>–</w:t>
      </w:r>
      <w:r w:rsidRPr="00020753">
        <w:rPr>
          <w:rFonts w:cstheme="minorHAnsi"/>
          <w:sz w:val="22"/>
          <w:szCs w:val="22"/>
        </w:rPr>
        <w:tab/>
        <w:t>encourager les partenariats et la collaboration entre les autorités nationales de régulation, afin de permettre un échange continu de connaissances, un partage des ressources et un soutien mutuel pour relever les défis complexes de la gestion des numéros de télécommunication.</w:t>
      </w:r>
    </w:p>
    <w:p w14:paraId="2CC36D89" w14:textId="369A1BB8" w:rsidR="00F05095" w:rsidRPr="00020753" w:rsidRDefault="00F05095" w:rsidP="00975225">
      <w:pPr>
        <w:rPr>
          <w:rFonts w:cstheme="minorHAnsi"/>
          <w:sz w:val="22"/>
          <w:szCs w:val="22"/>
        </w:rPr>
      </w:pPr>
      <w:r w:rsidRPr="00020753">
        <w:rPr>
          <w:rFonts w:cstheme="minorHAnsi"/>
          <w:sz w:val="22"/>
          <w:szCs w:val="22"/>
        </w:rPr>
        <w:t>5</w:t>
      </w:r>
      <w:r w:rsidRPr="00020753">
        <w:rPr>
          <w:rFonts w:cstheme="minorHAnsi"/>
          <w:sz w:val="22"/>
          <w:szCs w:val="22"/>
        </w:rPr>
        <w:tab/>
        <w:t xml:space="preserve">Toutes les informations utiles concernant l'atelier, notamment le projet de programme, seront communiquées sur le site web de la manifestation à l'adresse </w:t>
      </w:r>
      <w:proofErr w:type="gramStart"/>
      <w:r w:rsidRPr="00020753">
        <w:rPr>
          <w:rFonts w:cstheme="minorHAnsi"/>
          <w:sz w:val="22"/>
          <w:szCs w:val="22"/>
        </w:rPr>
        <w:t>suivante:</w:t>
      </w:r>
      <w:proofErr w:type="gramEnd"/>
      <w:r w:rsidRPr="00020753">
        <w:rPr>
          <w:rFonts w:cstheme="minorHAnsi"/>
          <w:sz w:val="22"/>
          <w:szCs w:val="22"/>
        </w:rPr>
        <w:t xml:space="preserve"> </w:t>
      </w:r>
      <w:hyperlink r:id="rId13" w:history="1">
        <w:r w:rsidR="005B3381" w:rsidRPr="00020753">
          <w:rPr>
            <w:rStyle w:val="Hyperlink"/>
            <w:rFonts w:cstheme="minorHAnsi"/>
            <w:bCs/>
            <w:sz w:val="22"/>
            <w:szCs w:val="22"/>
          </w:rPr>
          <w:t>https://www.itu.int/en/ITU-T/Workshops-and-Seminars/2024/1216/Pages/default.aspx</w:t>
        </w:r>
      </w:hyperlink>
      <w:r w:rsidRPr="00020753">
        <w:rPr>
          <w:rFonts w:cstheme="minorHAnsi"/>
          <w:sz w:val="22"/>
          <w:szCs w:val="22"/>
        </w:rPr>
        <w:t>. La page web de la manifestation sera mise à jour périodiquement, à mesure que parviendront des informations nouvelles. Il est recommandé aux participants de consulter régulièrement le site web pour prendre connaissance des dernières informations.</w:t>
      </w:r>
    </w:p>
    <w:p w14:paraId="604DF6A3" w14:textId="56A5EDA1" w:rsidR="00F05095" w:rsidRPr="00020753" w:rsidRDefault="00F05095" w:rsidP="00975225">
      <w:pPr>
        <w:rPr>
          <w:rFonts w:cstheme="minorHAnsi"/>
          <w:sz w:val="22"/>
          <w:szCs w:val="22"/>
        </w:rPr>
      </w:pPr>
      <w:r w:rsidRPr="00020753">
        <w:rPr>
          <w:rFonts w:cstheme="minorHAnsi"/>
          <w:sz w:val="22"/>
          <w:szCs w:val="22"/>
        </w:rPr>
        <w:t>6</w:t>
      </w:r>
      <w:r w:rsidRPr="00020753">
        <w:rPr>
          <w:rFonts w:cstheme="minorHAnsi"/>
          <w:sz w:val="22"/>
          <w:szCs w:val="22"/>
        </w:rPr>
        <w:tab/>
      </w:r>
      <w:r w:rsidRPr="00020753">
        <w:rPr>
          <w:rFonts w:cstheme="minorHAnsi"/>
          <w:b/>
          <w:sz w:val="22"/>
          <w:szCs w:val="22"/>
        </w:rPr>
        <w:t>L'inscription est obligatoire</w:t>
      </w:r>
      <w:r w:rsidRPr="00020753">
        <w:rPr>
          <w:rFonts w:cstheme="minorHAnsi"/>
          <w:sz w:val="22"/>
          <w:szCs w:val="22"/>
        </w:rPr>
        <w:t xml:space="preserve"> pour toutes les personnes qui souhaitent participer à l'atelier. Pour vous inscrire, vous êtes invités à remplir dès que possible le formulaire en ligne disponible à l'adresse </w:t>
      </w:r>
      <w:hyperlink r:id="rId14" w:history="1">
        <w:r w:rsidR="005B3381" w:rsidRPr="00020753">
          <w:rPr>
            <w:rStyle w:val="Hyperlink"/>
            <w:rFonts w:cstheme="minorHAnsi"/>
            <w:bCs/>
            <w:sz w:val="22"/>
            <w:szCs w:val="22"/>
          </w:rPr>
          <w:t>https://www.itu.int/net/CRM/js/sr/C-00014834</w:t>
        </w:r>
      </w:hyperlink>
      <w:r w:rsidRPr="00020753">
        <w:rPr>
          <w:rFonts w:cstheme="minorHAnsi"/>
          <w:sz w:val="22"/>
          <w:szCs w:val="22"/>
        </w:rPr>
        <w:t>.</w:t>
      </w:r>
    </w:p>
    <w:p w14:paraId="44C793A5" w14:textId="5B428AAE" w:rsidR="00307FB4" w:rsidRPr="00020753" w:rsidRDefault="00F05095" w:rsidP="00975225">
      <w:pPr>
        <w:rPr>
          <w:rFonts w:cstheme="minorHAnsi"/>
          <w:sz w:val="22"/>
          <w:szCs w:val="22"/>
        </w:rPr>
      </w:pPr>
      <w:r w:rsidRPr="00020753">
        <w:rPr>
          <w:rFonts w:cstheme="minorHAnsi"/>
          <w:sz w:val="22"/>
          <w:szCs w:val="22"/>
        </w:rPr>
        <w:t>7</w:t>
      </w:r>
      <w:r w:rsidRPr="00020753">
        <w:rPr>
          <w:rFonts w:cstheme="minorHAnsi"/>
          <w:sz w:val="22"/>
          <w:szCs w:val="22"/>
        </w:rPr>
        <w:tab/>
        <w:t xml:space="preserve">La participation est gratuite et ouverte à toutes les parties prenantes intéressées, notamment les États Membres, les Membres de Secteur, les Associés de l'UIT et les établissements universitaires participant aux travaux de l'UIT, ainsi qu'à toute personne issue d'un pays membre de l'UIT qui souhaite contribuer aux travaux. </w:t>
      </w:r>
      <w:r w:rsidRPr="00020753">
        <w:rPr>
          <w:rFonts w:cstheme="minorHAnsi"/>
          <w:b/>
          <w:sz w:val="22"/>
          <w:szCs w:val="22"/>
        </w:rPr>
        <w:t>Il convient toutefois de noter que cette manifestation est principalement destinée aux participants issus des deux régions concernées</w:t>
      </w:r>
      <w:r w:rsidR="00975225" w:rsidRPr="00020753">
        <w:rPr>
          <w:rFonts w:cstheme="minorHAnsi"/>
          <w:b/>
          <w:bCs/>
          <w:sz w:val="22"/>
          <w:szCs w:val="22"/>
        </w:rPr>
        <w:t>.</w:t>
      </w:r>
    </w:p>
    <w:p w14:paraId="0F3BCF15" w14:textId="16D84C37" w:rsidR="00B60868" w:rsidRPr="00020753" w:rsidRDefault="00307FB4" w:rsidP="00020753">
      <w:pPr>
        <w:rPr>
          <w:rFonts w:cstheme="minorHAnsi"/>
          <w:sz w:val="22"/>
          <w:szCs w:val="22"/>
        </w:rPr>
      </w:pPr>
      <w:r w:rsidRPr="00020753">
        <w:rPr>
          <w:rFonts w:cstheme="minorHAnsi"/>
          <w:sz w:val="22"/>
          <w:szCs w:val="22"/>
        </w:rPr>
        <w:t>Veuillez agréer, Madame, Monsieur, l'assurance de ma considération distinguée.</w:t>
      </w:r>
    </w:p>
    <w:p w14:paraId="6B148779" w14:textId="015AEF9E" w:rsidR="00517A03" w:rsidRPr="00020753" w:rsidRDefault="00BC6D1B" w:rsidP="00020753">
      <w:pPr>
        <w:spacing w:before="720"/>
        <w:rPr>
          <w:rFonts w:cstheme="minorHAnsi"/>
          <w:bCs/>
          <w:sz w:val="22"/>
          <w:szCs w:val="22"/>
        </w:rPr>
      </w:pPr>
      <w:r>
        <w:rPr>
          <w:rFonts w:cstheme="minorHAnsi"/>
          <w:bCs/>
          <w:noProof/>
          <w:sz w:val="22"/>
          <w:szCs w:val="22"/>
        </w:rPr>
        <w:drawing>
          <wp:anchor distT="0" distB="0" distL="114300" distR="114300" simplePos="0" relativeHeight="251658240" behindDoc="0" locked="0" layoutInCell="1" allowOverlap="1" wp14:anchorId="18A73334" wp14:editId="18E0A0EC">
            <wp:simplePos x="0" y="0"/>
            <wp:positionH relativeFrom="margin">
              <wp:align>left</wp:align>
            </wp:positionH>
            <wp:positionV relativeFrom="paragraph">
              <wp:posOffset>80010</wp:posOffset>
            </wp:positionV>
            <wp:extent cx="692186" cy="330217"/>
            <wp:effectExtent l="0" t="0" r="0" b="0"/>
            <wp:wrapNone/>
            <wp:docPr id="129451754"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1754" name="Picture 2" descr="A black text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020753">
        <w:rPr>
          <w:rFonts w:cstheme="minorHAnsi"/>
          <w:bCs/>
          <w:sz w:val="22"/>
          <w:szCs w:val="22"/>
        </w:rPr>
        <w:t>Seizo Onoe</w:t>
      </w:r>
      <w:r w:rsidR="00B60868" w:rsidRPr="00020753">
        <w:rPr>
          <w:rFonts w:cstheme="minorHAnsi"/>
          <w:bCs/>
          <w:sz w:val="22"/>
          <w:szCs w:val="22"/>
        </w:rPr>
        <w:br/>
      </w:r>
      <w:r w:rsidR="00307FB4" w:rsidRPr="00020753">
        <w:rPr>
          <w:rFonts w:cstheme="minorHAnsi"/>
          <w:bCs/>
          <w:sz w:val="22"/>
          <w:szCs w:val="22"/>
        </w:rPr>
        <w:t>Directeur du Bureau de la normalisation</w:t>
      </w:r>
      <w:r w:rsidR="00B60868" w:rsidRPr="00020753">
        <w:rPr>
          <w:rFonts w:cstheme="minorHAnsi"/>
          <w:bCs/>
          <w:sz w:val="22"/>
          <w:szCs w:val="22"/>
        </w:rPr>
        <w:br/>
      </w:r>
      <w:r w:rsidR="00307FB4" w:rsidRPr="00020753">
        <w:rPr>
          <w:rFonts w:cstheme="minorHAnsi"/>
          <w:bCs/>
          <w:sz w:val="22"/>
          <w:szCs w:val="22"/>
        </w:rPr>
        <w:t>des télécommunications</w:t>
      </w:r>
    </w:p>
    <w:sectPr w:rsidR="00517A03" w:rsidRPr="00020753"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E95D5" w14:textId="77777777" w:rsidR="00B166F0" w:rsidRDefault="00B166F0">
      <w:r>
        <w:separator/>
      </w:r>
    </w:p>
  </w:endnote>
  <w:endnote w:type="continuationSeparator" w:id="0">
    <w:p w14:paraId="4C30B9AB" w14:textId="77777777" w:rsidR="00B166F0" w:rsidRDefault="00B1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DECC" w14:textId="744EEF8E"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0991" w14:textId="77777777" w:rsidR="00B166F0" w:rsidRDefault="00B166F0">
      <w:r>
        <w:t>____________________</w:t>
      </w:r>
    </w:p>
  </w:footnote>
  <w:footnote w:type="continuationSeparator" w:id="0">
    <w:p w14:paraId="6234F356" w14:textId="77777777" w:rsidR="00B166F0" w:rsidRDefault="00B1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009F" w14:textId="2D01A3CA" w:rsidR="00697BC1" w:rsidRDefault="00A60A5E" w:rsidP="00697BC1">
    <w:pPr>
      <w:pStyle w:val="Header"/>
      <w:rPr>
        <w:noProof/>
        <w:sz w:val="18"/>
        <w:szCs w:val="16"/>
      </w:rPr>
    </w:pPr>
    <w:r>
      <w:rPr>
        <w:sz w:val="18"/>
        <w:szCs w:val="16"/>
      </w:rPr>
      <w:t xml:space="preserve">- </w:t>
    </w: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Pr>
            <w:noProof/>
            <w:sz w:val="18"/>
            <w:szCs w:val="16"/>
          </w:rPr>
          <w:t xml:space="preserve"> -</w:t>
        </w:r>
      </w:sdtContent>
    </w:sdt>
    <w:r w:rsidR="00AF0D7D">
      <w:rPr>
        <w:noProof/>
        <w:sz w:val="18"/>
        <w:szCs w:val="16"/>
      </w:rPr>
      <w:br/>
      <w:t xml:space="preserve">Circulaire TSB </w:t>
    </w:r>
    <w:r w:rsidR="00F05095">
      <w:rPr>
        <w:noProof/>
        <w:sz w:val="18"/>
        <w:szCs w:val="16"/>
      </w:rPr>
      <w:t>007</w:t>
    </w:r>
  </w:p>
  <w:p w14:paraId="3CCD8FBC" w14:textId="77777777" w:rsidR="00020753" w:rsidRPr="00697BC1" w:rsidRDefault="00020753" w:rsidP="00697BC1">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0753"/>
    <w:rsid w:val="0002519E"/>
    <w:rsid w:val="00035B43"/>
    <w:rsid w:val="00036F4F"/>
    <w:rsid w:val="000758B3"/>
    <w:rsid w:val="00085F5A"/>
    <w:rsid w:val="000B0D96"/>
    <w:rsid w:val="000B59D8"/>
    <w:rsid w:val="000C1F6B"/>
    <w:rsid w:val="000C25CC"/>
    <w:rsid w:val="000C56BE"/>
    <w:rsid w:val="000F3BCB"/>
    <w:rsid w:val="001026FD"/>
    <w:rsid w:val="001077FD"/>
    <w:rsid w:val="00115DD7"/>
    <w:rsid w:val="00167472"/>
    <w:rsid w:val="00167F92"/>
    <w:rsid w:val="00173738"/>
    <w:rsid w:val="001B79A3"/>
    <w:rsid w:val="002152A3"/>
    <w:rsid w:val="0023667A"/>
    <w:rsid w:val="002937DB"/>
    <w:rsid w:val="002E395D"/>
    <w:rsid w:val="00307FB4"/>
    <w:rsid w:val="003131F0"/>
    <w:rsid w:val="0033133E"/>
    <w:rsid w:val="00333A80"/>
    <w:rsid w:val="00341117"/>
    <w:rsid w:val="00364E95"/>
    <w:rsid w:val="00372875"/>
    <w:rsid w:val="003742F8"/>
    <w:rsid w:val="003B1E80"/>
    <w:rsid w:val="003B66E8"/>
    <w:rsid w:val="003E66AD"/>
    <w:rsid w:val="004033F1"/>
    <w:rsid w:val="00414B0C"/>
    <w:rsid w:val="00417733"/>
    <w:rsid w:val="00423C21"/>
    <w:rsid w:val="004257AC"/>
    <w:rsid w:val="0043711B"/>
    <w:rsid w:val="004419E9"/>
    <w:rsid w:val="00445B68"/>
    <w:rsid w:val="0048088B"/>
    <w:rsid w:val="004977C9"/>
    <w:rsid w:val="004B5565"/>
    <w:rsid w:val="004B732E"/>
    <w:rsid w:val="004D51F4"/>
    <w:rsid w:val="004D64E0"/>
    <w:rsid w:val="005120A2"/>
    <w:rsid w:val="0051210D"/>
    <w:rsid w:val="005136D2"/>
    <w:rsid w:val="00517A03"/>
    <w:rsid w:val="005A3DD9"/>
    <w:rsid w:val="005B1DFC"/>
    <w:rsid w:val="005B3381"/>
    <w:rsid w:val="00601682"/>
    <w:rsid w:val="00603470"/>
    <w:rsid w:val="00625E79"/>
    <w:rsid w:val="006333F7"/>
    <w:rsid w:val="006427A1"/>
    <w:rsid w:val="00644741"/>
    <w:rsid w:val="00697BC1"/>
    <w:rsid w:val="006A6FFE"/>
    <w:rsid w:val="006C5A91"/>
    <w:rsid w:val="006F52F7"/>
    <w:rsid w:val="00716BBC"/>
    <w:rsid w:val="007321BC"/>
    <w:rsid w:val="00755A82"/>
    <w:rsid w:val="00760063"/>
    <w:rsid w:val="00775E4B"/>
    <w:rsid w:val="0079553B"/>
    <w:rsid w:val="00795679"/>
    <w:rsid w:val="007A40FE"/>
    <w:rsid w:val="00810105"/>
    <w:rsid w:val="008157E0"/>
    <w:rsid w:val="00850477"/>
    <w:rsid w:val="00854E1D"/>
    <w:rsid w:val="00887FA6"/>
    <w:rsid w:val="008C4397"/>
    <w:rsid w:val="008C465A"/>
    <w:rsid w:val="008F2C9B"/>
    <w:rsid w:val="00905069"/>
    <w:rsid w:val="00923CD6"/>
    <w:rsid w:val="00935AA8"/>
    <w:rsid w:val="00966D53"/>
    <w:rsid w:val="00971C9A"/>
    <w:rsid w:val="00975225"/>
    <w:rsid w:val="00994B2D"/>
    <w:rsid w:val="009D51FA"/>
    <w:rsid w:val="009F1E23"/>
    <w:rsid w:val="00A15179"/>
    <w:rsid w:val="00A51537"/>
    <w:rsid w:val="00A5280F"/>
    <w:rsid w:val="00A5645A"/>
    <w:rsid w:val="00A60A5E"/>
    <w:rsid w:val="00A60FC1"/>
    <w:rsid w:val="00A97C37"/>
    <w:rsid w:val="00AA131B"/>
    <w:rsid w:val="00AC37B5"/>
    <w:rsid w:val="00AD752F"/>
    <w:rsid w:val="00AF08A4"/>
    <w:rsid w:val="00AF0D7D"/>
    <w:rsid w:val="00B166F0"/>
    <w:rsid w:val="00B27B41"/>
    <w:rsid w:val="00B42659"/>
    <w:rsid w:val="00B46F2D"/>
    <w:rsid w:val="00B60868"/>
    <w:rsid w:val="00B8573E"/>
    <w:rsid w:val="00BB24C0"/>
    <w:rsid w:val="00BC6D1B"/>
    <w:rsid w:val="00BD6ECF"/>
    <w:rsid w:val="00C26F2E"/>
    <w:rsid w:val="00C302E3"/>
    <w:rsid w:val="00C35D1A"/>
    <w:rsid w:val="00C41B89"/>
    <w:rsid w:val="00C45376"/>
    <w:rsid w:val="00C9028F"/>
    <w:rsid w:val="00CA0416"/>
    <w:rsid w:val="00CB1125"/>
    <w:rsid w:val="00CB4E80"/>
    <w:rsid w:val="00CD042E"/>
    <w:rsid w:val="00CF2560"/>
    <w:rsid w:val="00CF5B46"/>
    <w:rsid w:val="00D46B68"/>
    <w:rsid w:val="00D542A5"/>
    <w:rsid w:val="00D75D64"/>
    <w:rsid w:val="00DC3D47"/>
    <w:rsid w:val="00DD77DA"/>
    <w:rsid w:val="00E06C61"/>
    <w:rsid w:val="00E13DB3"/>
    <w:rsid w:val="00E2408B"/>
    <w:rsid w:val="00E62CEA"/>
    <w:rsid w:val="00E72AE1"/>
    <w:rsid w:val="00ED6A7A"/>
    <w:rsid w:val="00EE4C36"/>
    <w:rsid w:val="00EF6A23"/>
    <w:rsid w:val="00F05095"/>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0B97A"/>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4/1216/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regionalgroups/sg02-arb/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2-afr/Pages/default.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tsbevent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net/CRM/js/sr/C-0001483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40</TotalTime>
  <Pages>2</Pages>
  <Words>782</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6004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11</cp:revision>
  <cp:lastPrinted>2025-04-11T09:45:00Z</cp:lastPrinted>
  <dcterms:created xsi:type="dcterms:W3CDTF">2024-11-20T10:08:00Z</dcterms:created>
  <dcterms:modified xsi:type="dcterms:W3CDTF">2025-04-11T09:47:00Z</dcterms:modified>
</cp:coreProperties>
</file>