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3467"/>
        <w:gridCol w:w="5329"/>
      </w:tblGrid>
      <w:tr w:rsidR="007B6316" w14:paraId="25F7AE9A" w14:textId="77777777" w:rsidTr="007B6316">
        <w:trPr>
          <w:cantSplit/>
          <w:trHeight w:val="340"/>
        </w:trPr>
        <w:tc>
          <w:tcPr>
            <w:tcW w:w="1410" w:type="dxa"/>
          </w:tcPr>
          <w:p w14:paraId="7C37BEF2"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51A79ED" wp14:editId="23C443C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1A55788"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F1BBB9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760E30" w14:paraId="23B075A9" w14:textId="77777777" w:rsidTr="009D30AE">
        <w:trPr>
          <w:cantSplit/>
          <w:trHeight w:val="340"/>
        </w:trPr>
        <w:tc>
          <w:tcPr>
            <w:tcW w:w="1410" w:type="dxa"/>
          </w:tcPr>
          <w:p w14:paraId="29F211BA" w14:textId="77777777" w:rsidR="007B6316" w:rsidRPr="00760E30" w:rsidRDefault="007B6316" w:rsidP="00303D62">
            <w:pPr>
              <w:tabs>
                <w:tab w:val="left" w:pos="4111"/>
              </w:tabs>
              <w:spacing w:before="10"/>
              <w:ind w:left="57"/>
              <w:rPr>
                <w:b/>
                <w:bCs/>
                <w:szCs w:val="24"/>
              </w:rPr>
            </w:pPr>
          </w:p>
        </w:tc>
        <w:tc>
          <w:tcPr>
            <w:tcW w:w="3467" w:type="dxa"/>
          </w:tcPr>
          <w:p w14:paraId="469EE6DC" w14:textId="77777777" w:rsidR="007B6316" w:rsidRPr="00760E30" w:rsidRDefault="007B6316" w:rsidP="00303D62">
            <w:pPr>
              <w:tabs>
                <w:tab w:val="left" w:pos="4111"/>
              </w:tabs>
              <w:spacing w:before="0"/>
              <w:ind w:left="57"/>
              <w:rPr>
                <w:b/>
                <w:szCs w:val="24"/>
              </w:rPr>
            </w:pPr>
          </w:p>
        </w:tc>
        <w:tc>
          <w:tcPr>
            <w:tcW w:w="5329" w:type="dxa"/>
          </w:tcPr>
          <w:p w14:paraId="590B5B0A" w14:textId="4776067B" w:rsidR="007B6316" w:rsidRPr="00760E30" w:rsidRDefault="007B6316" w:rsidP="007B6316">
            <w:pPr>
              <w:tabs>
                <w:tab w:val="clear" w:pos="794"/>
                <w:tab w:val="clear" w:pos="1191"/>
                <w:tab w:val="clear" w:pos="1588"/>
                <w:tab w:val="clear" w:pos="1985"/>
                <w:tab w:val="left" w:pos="284"/>
              </w:tabs>
              <w:spacing w:after="120"/>
              <w:ind w:left="284" w:hanging="227"/>
              <w:rPr>
                <w:szCs w:val="24"/>
              </w:rPr>
            </w:pPr>
            <w:r w:rsidRPr="00760E30">
              <w:rPr>
                <w:szCs w:val="24"/>
              </w:rPr>
              <w:t>Ginebra,</w:t>
            </w:r>
            <w:r w:rsidR="00126C1B" w:rsidRPr="00760E30">
              <w:rPr>
                <w:szCs w:val="24"/>
              </w:rPr>
              <w:t xml:space="preserve"> </w:t>
            </w:r>
            <w:r w:rsidR="00126C1B" w:rsidRPr="00760E30">
              <w:rPr>
                <w:szCs w:val="24"/>
                <w:lang w:val="es-ES"/>
              </w:rPr>
              <w:t>1</w:t>
            </w:r>
            <w:r w:rsidR="00214AAC">
              <w:rPr>
                <w:szCs w:val="24"/>
                <w:lang w:val="es-ES"/>
              </w:rPr>
              <w:t>3</w:t>
            </w:r>
            <w:r w:rsidR="00126C1B" w:rsidRPr="00760E30">
              <w:rPr>
                <w:szCs w:val="24"/>
                <w:lang w:val="es-ES"/>
              </w:rPr>
              <w:t xml:space="preserve"> de noviembre de 2024</w:t>
            </w:r>
          </w:p>
        </w:tc>
      </w:tr>
      <w:tr w:rsidR="001350B9" w:rsidRPr="00760E30" w14:paraId="4F93D5BC" w14:textId="77777777" w:rsidTr="009D30AE">
        <w:trPr>
          <w:cantSplit/>
          <w:trHeight w:val="340"/>
        </w:trPr>
        <w:tc>
          <w:tcPr>
            <w:tcW w:w="1410" w:type="dxa"/>
          </w:tcPr>
          <w:p w14:paraId="3827B5A3" w14:textId="4DDBCB23" w:rsidR="001350B9" w:rsidRPr="00760E30" w:rsidRDefault="001350B9" w:rsidP="007B6316">
            <w:pPr>
              <w:tabs>
                <w:tab w:val="left" w:pos="4111"/>
              </w:tabs>
              <w:spacing w:before="10"/>
              <w:ind w:left="57"/>
              <w:rPr>
                <w:szCs w:val="24"/>
              </w:rPr>
            </w:pPr>
            <w:r w:rsidRPr="00760E30">
              <w:rPr>
                <w:szCs w:val="24"/>
              </w:rPr>
              <w:t>Ref.:</w:t>
            </w:r>
          </w:p>
        </w:tc>
        <w:tc>
          <w:tcPr>
            <w:tcW w:w="3467" w:type="dxa"/>
          </w:tcPr>
          <w:p w14:paraId="75F1888E" w14:textId="34D79780" w:rsidR="001350B9" w:rsidRPr="00760E30" w:rsidRDefault="001350B9" w:rsidP="00742E32">
            <w:pPr>
              <w:tabs>
                <w:tab w:val="left" w:pos="4111"/>
              </w:tabs>
              <w:spacing w:before="0"/>
              <w:ind w:left="57"/>
              <w:rPr>
                <w:b/>
                <w:szCs w:val="24"/>
              </w:rPr>
            </w:pPr>
            <w:r w:rsidRPr="00760E30">
              <w:rPr>
                <w:b/>
                <w:szCs w:val="24"/>
              </w:rPr>
              <w:t xml:space="preserve">Circular TSB </w:t>
            </w:r>
            <w:r w:rsidR="00742E32" w:rsidRPr="00760E30">
              <w:rPr>
                <w:b/>
                <w:bCs/>
                <w:szCs w:val="24"/>
              </w:rPr>
              <w:t>006</w:t>
            </w:r>
          </w:p>
        </w:tc>
        <w:tc>
          <w:tcPr>
            <w:tcW w:w="5329" w:type="dxa"/>
            <w:vMerge w:val="restart"/>
          </w:tcPr>
          <w:p w14:paraId="6D664B49" w14:textId="77777777" w:rsidR="00742E32" w:rsidRPr="00760E30" w:rsidRDefault="00742E32" w:rsidP="00742E32">
            <w:pPr>
              <w:pStyle w:val="Tabletext0"/>
              <w:tabs>
                <w:tab w:val="clear" w:pos="284"/>
                <w:tab w:val="left" w:pos="639"/>
              </w:tabs>
              <w:ind w:left="497" w:hanging="425"/>
              <w:rPr>
                <w:rFonts w:cs="Calibri"/>
                <w:sz w:val="24"/>
                <w:szCs w:val="24"/>
                <w:lang w:val="es-ES"/>
              </w:rPr>
            </w:pPr>
            <w:bookmarkStart w:id="0" w:name="Addressee_S"/>
            <w:bookmarkEnd w:id="0"/>
            <w:r w:rsidRPr="00760E30">
              <w:rPr>
                <w:b/>
                <w:bCs/>
                <w:sz w:val="24"/>
                <w:szCs w:val="24"/>
                <w:lang w:val="es-ES"/>
              </w:rPr>
              <w:t>A:</w:t>
            </w:r>
          </w:p>
          <w:p w14:paraId="08632E3A" w14:textId="362994E3"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las Administraciones de los Estados Miembros de la Unión;</w:t>
            </w:r>
          </w:p>
          <w:p w14:paraId="5FF1208A" w14:textId="128C9813"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los Miembros de Sector del UIT-T;</w:t>
            </w:r>
          </w:p>
          <w:p w14:paraId="407A342F" w14:textId="04DF3AFF"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los Asociados del UIT-T;</w:t>
            </w:r>
          </w:p>
          <w:p w14:paraId="580B965A" w14:textId="74F218B8" w:rsidR="001350B9" w:rsidRPr="00760E30" w:rsidRDefault="00BD2D41" w:rsidP="00742E32">
            <w:pPr>
              <w:tabs>
                <w:tab w:val="clear" w:pos="794"/>
                <w:tab w:val="clear" w:pos="1191"/>
                <w:tab w:val="clear" w:pos="1588"/>
                <w:tab w:val="clear" w:pos="1985"/>
              </w:tabs>
              <w:spacing w:before="40" w:after="40"/>
              <w:ind w:left="497" w:hanging="425"/>
              <w:rPr>
                <w:szCs w:val="24"/>
              </w:rPr>
            </w:pPr>
            <w:r w:rsidRPr="00760E30">
              <w:rPr>
                <w:rFonts w:cs="Calibri"/>
                <w:szCs w:val="24"/>
                <w:lang w:val="es-ES"/>
              </w:rPr>
              <w:t>–</w:t>
            </w:r>
            <w:r w:rsidR="00742E32" w:rsidRPr="00760E30">
              <w:rPr>
                <w:rFonts w:cs="Calibri"/>
                <w:szCs w:val="24"/>
                <w:lang w:val="es-ES"/>
              </w:rPr>
              <w:tab/>
            </w:r>
            <w:r w:rsidR="00742E32" w:rsidRPr="00760E30">
              <w:rPr>
                <w:szCs w:val="24"/>
                <w:lang w:val="es-ES"/>
              </w:rPr>
              <w:t>las Instituciones Académicas de la UIT;</w:t>
            </w:r>
          </w:p>
        </w:tc>
      </w:tr>
      <w:tr w:rsidR="00742E32" w:rsidRPr="00760E30" w14:paraId="2F686838" w14:textId="77777777" w:rsidTr="009D30AE">
        <w:trPr>
          <w:cantSplit/>
          <w:trHeight w:val="340"/>
        </w:trPr>
        <w:tc>
          <w:tcPr>
            <w:tcW w:w="1410" w:type="dxa"/>
          </w:tcPr>
          <w:p w14:paraId="5BD618F7" w14:textId="37F36A03" w:rsidR="00742E32" w:rsidRPr="00760E30" w:rsidRDefault="00742E32" w:rsidP="00303D62">
            <w:pPr>
              <w:tabs>
                <w:tab w:val="left" w:pos="4111"/>
              </w:tabs>
              <w:spacing w:before="10"/>
              <w:ind w:left="57"/>
              <w:rPr>
                <w:szCs w:val="24"/>
              </w:rPr>
            </w:pPr>
            <w:r w:rsidRPr="00760E30">
              <w:rPr>
                <w:rFonts w:cs="Calibri"/>
                <w:szCs w:val="24"/>
                <w:lang w:val="es-ES"/>
              </w:rPr>
              <w:t>Contacto:</w:t>
            </w:r>
          </w:p>
        </w:tc>
        <w:tc>
          <w:tcPr>
            <w:tcW w:w="3467" w:type="dxa"/>
          </w:tcPr>
          <w:p w14:paraId="3F88A0BC" w14:textId="3F5283D1" w:rsidR="00742E32" w:rsidRPr="00760E30" w:rsidRDefault="00742E32" w:rsidP="00742E32">
            <w:pPr>
              <w:tabs>
                <w:tab w:val="clear" w:pos="794"/>
                <w:tab w:val="clear" w:pos="1191"/>
                <w:tab w:val="clear" w:pos="1588"/>
                <w:tab w:val="clear" w:pos="1985"/>
                <w:tab w:val="left" w:pos="284"/>
              </w:tabs>
              <w:spacing w:before="0"/>
              <w:ind w:left="284" w:hanging="227"/>
              <w:rPr>
                <w:b/>
                <w:szCs w:val="24"/>
              </w:rPr>
            </w:pPr>
            <w:r w:rsidRPr="00760E30">
              <w:rPr>
                <w:szCs w:val="24"/>
              </w:rPr>
              <w:t>Vijay Mauree</w:t>
            </w:r>
          </w:p>
        </w:tc>
        <w:tc>
          <w:tcPr>
            <w:tcW w:w="5329" w:type="dxa"/>
            <w:vMerge/>
          </w:tcPr>
          <w:p w14:paraId="778B2070" w14:textId="77777777" w:rsidR="00742E32" w:rsidRPr="00760E30" w:rsidRDefault="00742E32" w:rsidP="00303D62">
            <w:pPr>
              <w:tabs>
                <w:tab w:val="clear" w:pos="794"/>
                <w:tab w:val="clear" w:pos="1191"/>
                <w:tab w:val="clear" w:pos="1588"/>
                <w:tab w:val="clear" w:pos="1985"/>
                <w:tab w:val="left" w:pos="284"/>
              </w:tabs>
              <w:spacing w:before="0"/>
              <w:ind w:left="284" w:hanging="227"/>
              <w:rPr>
                <w:szCs w:val="24"/>
              </w:rPr>
            </w:pPr>
          </w:p>
        </w:tc>
      </w:tr>
      <w:tr w:rsidR="001350B9" w:rsidRPr="00760E30" w14:paraId="2A384752" w14:textId="77777777" w:rsidTr="009D30AE">
        <w:trPr>
          <w:cantSplit/>
        </w:trPr>
        <w:tc>
          <w:tcPr>
            <w:tcW w:w="1410" w:type="dxa"/>
          </w:tcPr>
          <w:p w14:paraId="757B5B5F" w14:textId="77777777" w:rsidR="001350B9" w:rsidRPr="00760E30" w:rsidRDefault="001350B9" w:rsidP="00303D62">
            <w:pPr>
              <w:tabs>
                <w:tab w:val="left" w:pos="4111"/>
              </w:tabs>
              <w:spacing w:before="10"/>
              <w:ind w:left="57"/>
              <w:rPr>
                <w:szCs w:val="24"/>
              </w:rPr>
            </w:pPr>
            <w:r w:rsidRPr="00760E30">
              <w:rPr>
                <w:szCs w:val="24"/>
              </w:rPr>
              <w:t>Tel.:</w:t>
            </w:r>
          </w:p>
        </w:tc>
        <w:tc>
          <w:tcPr>
            <w:tcW w:w="3467" w:type="dxa"/>
          </w:tcPr>
          <w:p w14:paraId="186D2FB2" w14:textId="0AC12D9E" w:rsidR="001350B9" w:rsidRPr="00760E30" w:rsidRDefault="001350B9" w:rsidP="00303D62">
            <w:pPr>
              <w:tabs>
                <w:tab w:val="left" w:pos="4111"/>
              </w:tabs>
              <w:spacing w:before="0"/>
              <w:ind w:left="57"/>
              <w:rPr>
                <w:rStyle w:val="Hyperlink"/>
                <w:szCs w:val="24"/>
              </w:rPr>
            </w:pPr>
            <w:r w:rsidRPr="00760E30">
              <w:rPr>
                <w:szCs w:val="24"/>
              </w:rPr>
              <w:t>+41 22 730</w:t>
            </w:r>
            <w:r w:rsidR="00742E32" w:rsidRPr="00760E30">
              <w:rPr>
                <w:szCs w:val="24"/>
              </w:rPr>
              <w:t xml:space="preserve"> 5591</w:t>
            </w:r>
          </w:p>
        </w:tc>
        <w:tc>
          <w:tcPr>
            <w:tcW w:w="5329" w:type="dxa"/>
            <w:vMerge/>
          </w:tcPr>
          <w:p w14:paraId="2FCB6D99" w14:textId="77777777" w:rsidR="001350B9" w:rsidRPr="00760E30" w:rsidRDefault="001350B9" w:rsidP="00303D62">
            <w:pPr>
              <w:tabs>
                <w:tab w:val="left" w:pos="226"/>
                <w:tab w:val="left" w:pos="510"/>
              </w:tabs>
              <w:spacing w:before="0"/>
              <w:ind w:left="226" w:hanging="169"/>
              <w:rPr>
                <w:b/>
                <w:szCs w:val="24"/>
              </w:rPr>
            </w:pPr>
          </w:p>
        </w:tc>
      </w:tr>
      <w:tr w:rsidR="001350B9" w:rsidRPr="00760E30" w14:paraId="7E2CA641" w14:textId="77777777" w:rsidTr="009D30AE">
        <w:trPr>
          <w:cantSplit/>
        </w:trPr>
        <w:tc>
          <w:tcPr>
            <w:tcW w:w="1410" w:type="dxa"/>
          </w:tcPr>
          <w:p w14:paraId="4C14EC3B" w14:textId="77777777" w:rsidR="001350B9" w:rsidRPr="00760E30" w:rsidRDefault="001350B9" w:rsidP="00303D62">
            <w:pPr>
              <w:tabs>
                <w:tab w:val="left" w:pos="4111"/>
              </w:tabs>
              <w:spacing w:before="10"/>
              <w:ind w:left="57"/>
              <w:rPr>
                <w:szCs w:val="24"/>
              </w:rPr>
            </w:pPr>
            <w:r w:rsidRPr="00760E30">
              <w:rPr>
                <w:szCs w:val="24"/>
              </w:rPr>
              <w:t>Fax:</w:t>
            </w:r>
          </w:p>
        </w:tc>
        <w:tc>
          <w:tcPr>
            <w:tcW w:w="3467" w:type="dxa"/>
          </w:tcPr>
          <w:p w14:paraId="59B76C4C" w14:textId="77777777" w:rsidR="001350B9" w:rsidRPr="00760E30" w:rsidRDefault="001350B9" w:rsidP="00303D62">
            <w:pPr>
              <w:tabs>
                <w:tab w:val="left" w:pos="4111"/>
              </w:tabs>
              <w:spacing w:before="0"/>
              <w:ind w:left="57"/>
              <w:rPr>
                <w:rStyle w:val="Hyperlink"/>
                <w:szCs w:val="24"/>
              </w:rPr>
            </w:pPr>
            <w:r w:rsidRPr="00760E30">
              <w:rPr>
                <w:szCs w:val="24"/>
              </w:rPr>
              <w:t>+41 22 730 5853</w:t>
            </w:r>
          </w:p>
        </w:tc>
        <w:tc>
          <w:tcPr>
            <w:tcW w:w="5329" w:type="dxa"/>
            <w:vMerge/>
          </w:tcPr>
          <w:p w14:paraId="6CC289C8" w14:textId="77777777" w:rsidR="001350B9" w:rsidRPr="00760E30" w:rsidRDefault="001350B9" w:rsidP="00303D62">
            <w:pPr>
              <w:tabs>
                <w:tab w:val="left" w:pos="226"/>
                <w:tab w:val="left" w:pos="510"/>
              </w:tabs>
              <w:spacing w:before="0"/>
              <w:ind w:left="226" w:hanging="169"/>
              <w:rPr>
                <w:b/>
                <w:szCs w:val="24"/>
              </w:rPr>
            </w:pPr>
          </w:p>
        </w:tc>
      </w:tr>
      <w:tr w:rsidR="00742E32" w:rsidRPr="00760E30" w14:paraId="331C3BF7" w14:textId="77777777" w:rsidTr="009D30AE">
        <w:trPr>
          <w:cantSplit/>
          <w:trHeight w:val="667"/>
        </w:trPr>
        <w:tc>
          <w:tcPr>
            <w:tcW w:w="1410" w:type="dxa"/>
            <w:vMerge w:val="restart"/>
          </w:tcPr>
          <w:p w14:paraId="11F2FB56" w14:textId="77777777" w:rsidR="00742E32" w:rsidRPr="00760E30" w:rsidRDefault="00742E32" w:rsidP="00303D62">
            <w:pPr>
              <w:tabs>
                <w:tab w:val="left" w:pos="4111"/>
              </w:tabs>
              <w:spacing w:before="10"/>
              <w:ind w:left="57"/>
              <w:rPr>
                <w:szCs w:val="24"/>
              </w:rPr>
            </w:pPr>
            <w:r w:rsidRPr="00760E30">
              <w:rPr>
                <w:szCs w:val="24"/>
              </w:rPr>
              <w:t>Correo-e:</w:t>
            </w:r>
          </w:p>
        </w:tc>
        <w:tc>
          <w:tcPr>
            <w:tcW w:w="3467" w:type="dxa"/>
            <w:vMerge w:val="restart"/>
          </w:tcPr>
          <w:p w14:paraId="31A0BF20" w14:textId="631721AE" w:rsidR="00742E32" w:rsidRPr="00760E30" w:rsidRDefault="00742E32" w:rsidP="00303D62">
            <w:pPr>
              <w:tabs>
                <w:tab w:val="left" w:pos="4111"/>
              </w:tabs>
              <w:spacing w:before="0"/>
              <w:ind w:left="57"/>
              <w:rPr>
                <w:szCs w:val="24"/>
              </w:rPr>
            </w:pPr>
            <w:r w:rsidRPr="00760E30">
              <w:rPr>
                <w:rStyle w:val="Hyperlink"/>
                <w:rFonts w:ascii="Calibri" w:eastAsia="SimSun" w:hAnsi="Calibri"/>
                <w:szCs w:val="24"/>
                <w:lang w:val="en-GB"/>
              </w:rPr>
              <w:t>gcc-secretariat@itu.in</w:t>
            </w:r>
          </w:p>
        </w:tc>
        <w:tc>
          <w:tcPr>
            <w:tcW w:w="5329" w:type="dxa"/>
            <w:vMerge/>
          </w:tcPr>
          <w:p w14:paraId="7ED100E5" w14:textId="77777777" w:rsidR="00742E32" w:rsidRPr="00760E30" w:rsidRDefault="00742E32" w:rsidP="00303D62">
            <w:pPr>
              <w:tabs>
                <w:tab w:val="clear" w:pos="794"/>
                <w:tab w:val="clear" w:pos="1191"/>
                <w:tab w:val="clear" w:pos="1588"/>
                <w:tab w:val="clear" w:pos="1985"/>
                <w:tab w:val="left" w:pos="226"/>
                <w:tab w:val="left" w:pos="510"/>
              </w:tabs>
              <w:spacing w:before="0"/>
              <w:ind w:left="226" w:hanging="169"/>
              <w:rPr>
                <w:szCs w:val="24"/>
              </w:rPr>
            </w:pPr>
          </w:p>
        </w:tc>
      </w:tr>
      <w:tr w:rsidR="00742E32" w:rsidRPr="00760E30" w14:paraId="7F29D0E3" w14:textId="77777777" w:rsidTr="009D30AE">
        <w:trPr>
          <w:cantSplit/>
          <w:trHeight w:val="2482"/>
        </w:trPr>
        <w:tc>
          <w:tcPr>
            <w:tcW w:w="1410" w:type="dxa"/>
            <w:vMerge/>
          </w:tcPr>
          <w:p w14:paraId="3636E8F6" w14:textId="77777777" w:rsidR="00742E32" w:rsidRPr="00760E30" w:rsidRDefault="00742E32" w:rsidP="00303D62">
            <w:pPr>
              <w:tabs>
                <w:tab w:val="left" w:pos="4111"/>
              </w:tabs>
              <w:spacing w:before="10"/>
              <w:ind w:left="57"/>
              <w:rPr>
                <w:szCs w:val="24"/>
              </w:rPr>
            </w:pPr>
          </w:p>
        </w:tc>
        <w:tc>
          <w:tcPr>
            <w:tcW w:w="3467" w:type="dxa"/>
            <w:vMerge/>
          </w:tcPr>
          <w:p w14:paraId="7393FEFB" w14:textId="77777777" w:rsidR="00742E32" w:rsidRPr="00760E30" w:rsidRDefault="00742E32" w:rsidP="00303D62">
            <w:pPr>
              <w:tabs>
                <w:tab w:val="left" w:pos="4111"/>
              </w:tabs>
              <w:spacing w:before="0"/>
              <w:ind w:left="57"/>
              <w:rPr>
                <w:rStyle w:val="Hyperlink"/>
                <w:rFonts w:ascii="Calibri" w:eastAsia="SimSun" w:hAnsi="Calibri"/>
                <w:szCs w:val="24"/>
                <w:lang w:val="en-GB"/>
              </w:rPr>
            </w:pPr>
          </w:p>
        </w:tc>
        <w:tc>
          <w:tcPr>
            <w:tcW w:w="5329" w:type="dxa"/>
          </w:tcPr>
          <w:p w14:paraId="2BEE37E5" w14:textId="77777777" w:rsidR="00742E32" w:rsidRPr="00760E30" w:rsidRDefault="00742E32" w:rsidP="00742E32">
            <w:pPr>
              <w:pStyle w:val="Tabletext0"/>
              <w:tabs>
                <w:tab w:val="clear" w:pos="284"/>
                <w:tab w:val="left" w:pos="639"/>
              </w:tabs>
              <w:ind w:left="497" w:hanging="425"/>
              <w:rPr>
                <w:rFonts w:cs="Calibri"/>
                <w:sz w:val="24"/>
                <w:szCs w:val="24"/>
                <w:lang w:val="es-ES"/>
              </w:rPr>
            </w:pPr>
            <w:r w:rsidRPr="00760E30">
              <w:rPr>
                <w:b/>
                <w:bCs/>
                <w:sz w:val="24"/>
                <w:szCs w:val="24"/>
                <w:lang w:val="es-ES"/>
              </w:rPr>
              <w:t>Copia a:</w:t>
            </w:r>
          </w:p>
          <w:p w14:paraId="6CE31B50" w14:textId="71855566"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 xml:space="preserve">los </w:t>
            </w:r>
            <w:proofErr w:type="gramStart"/>
            <w:r w:rsidR="00742E32" w:rsidRPr="00760E30">
              <w:rPr>
                <w:szCs w:val="24"/>
                <w:lang w:val="es-ES"/>
              </w:rPr>
              <w:t>Presidentes</w:t>
            </w:r>
            <w:proofErr w:type="gramEnd"/>
            <w:r w:rsidR="00742E32" w:rsidRPr="00760E30">
              <w:rPr>
                <w:szCs w:val="24"/>
                <w:lang w:val="es-ES"/>
              </w:rPr>
              <w:t xml:space="preserve"> y a los Vicepresidentes de las Comisiones de Estudio del UIT-T;</w:t>
            </w:r>
          </w:p>
          <w:p w14:paraId="5F9BC512" w14:textId="20933B1B"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 xml:space="preserve">el </w:t>
            </w:r>
            <w:proofErr w:type="gramStart"/>
            <w:r w:rsidR="00742E32" w:rsidRPr="00760E30">
              <w:rPr>
                <w:szCs w:val="24"/>
                <w:lang w:val="es-ES"/>
              </w:rPr>
              <w:t>Director</w:t>
            </w:r>
            <w:proofErr w:type="gramEnd"/>
            <w:r w:rsidR="00742E32" w:rsidRPr="00760E30">
              <w:rPr>
                <w:szCs w:val="24"/>
                <w:lang w:val="es-ES"/>
              </w:rPr>
              <w:t xml:space="preserve"> de la Oficina de Desarrollo de las Telecomunicaciones;</w:t>
            </w:r>
          </w:p>
          <w:p w14:paraId="75E42ADD" w14:textId="3B94EB51" w:rsidR="00742E32" w:rsidRPr="00760E30" w:rsidRDefault="00BD2D41" w:rsidP="00742E32">
            <w:pPr>
              <w:tabs>
                <w:tab w:val="clear" w:pos="794"/>
                <w:tab w:val="clear" w:pos="1191"/>
                <w:tab w:val="clear" w:pos="1588"/>
                <w:tab w:val="clear" w:pos="1985"/>
              </w:tabs>
              <w:spacing w:before="40" w:after="40"/>
              <w:ind w:left="497" w:hanging="425"/>
              <w:rPr>
                <w:rFonts w:cs="Calibri"/>
                <w:szCs w:val="24"/>
                <w:lang w:val="es-ES"/>
              </w:rPr>
            </w:pPr>
            <w:r w:rsidRPr="00760E30">
              <w:rPr>
                <w:rFonts w:cs="Calibri"/>
                <w:szCs w:val="24"/>
                <w:lang w:val="es-ES"/>
              </w:rPr>
              <w:t>–</w:t>
            </w:r>
            <w:r w:rsidR="00742E32" w:rsidRPr="00760E30">
              <w:rPr>
                <w:rFonts w:cs="Calibri"/>
                <w:szCs w:val="24"/>
                <w:lang w:val="es-ES"/>
              </w:rPr>
              <w:tab/>
            </w:r>
            <w:r w:rsidR="00742E32" w:rsidRPr="00760E30">
              <w:rPr>
                <w:szCs w:val="24"/>
                <w:lang w:val="es-ES"/>
              </w:rPr>
              <w:t xml:space="preserve">el </w:t>
            </w:r>
            <w:proofErr w:type="gramStart"/>
            <w:r w:rsidR="00742E32" w:rsidRPr="00760E30">
              <w:rPr>
                <w:szCs w:val="24"/>
                <w:lang w:val="es-ES"/>
              </w:rPr>
              <w:t>Director</w:t>
            </w:r>
            <w:proofErr w:type="gramEnd"/>
            <w:r w:rsidR="00742E32" w:rsidRPr="00760E30">
              <w:rPr>
                <w:szCs w:val="24"/>
                <w:lang w:val="es-ES"/>
              </w:rPr>
              <w:t xml:space="preserve"> de la Oficina de Radiocomunicaciones;</w:t>
            </w:r>
          </w:p>
          <w:p w14:paraId="0FA9C651" w14:textId="357DE163" w:rsidR="00742E32" w:rsidRPr="00760E30" w:rsidRDefault="00BD2D41" w:rsidP="00742E32">
            <w:pPr>
              <w:tabs>
                <w:tab w:val="clear" w:pos="794"/>
                <w:tab w:val="clear" w:pos="1191"/>
                <w:tab w:val="clear" w:pos="1588"/>
                <w:tab w:val="clear" w:pos="1985"/>
              </w:tabs>
              <w:spacing w:before="40" w:after="40"/>
              <w:ind w:left="497" w:hanging="425"/>
              <w:rPr>
                <w:szCs w:val="24"/>
              </w:rPr>
            </w:pPr>
            <w:r w:rsidRPr="00760E30">
              <w:rPr>
                <w:rFonts w:cs="Calibri"/>
                <w:szCs w:val="24"/>
                <w:lang w:val="es-ES"/>
              </w:rPr>
              <w:t>–</w:t>
            </w:r>
            <w:r w:rsidR="00742E32" w:rsidRPr="00760E30">
              <w:rPr>
                <w:rFonts w:cs="Calibri"/>
                <w:szCs w:val="24"/>
                <w:lang w:val="es-ES"/>
              </w:rPr>
              <w:tab/>
            </w:r>
            <w:r w:rsidR="00742E32" w:rsidRPr="00760E30">
              <w:rPr>
                <w:szCs w:val="24"/>
                <w:lang w:val="es-ES"/>
              </w:rPr>
              <w:t xml:space="preserve">los </w:t>
            </w:r>
            <w:proofErr w:type="gramStart"/>
            <w:r w:rsidR="00742E32" w:rsidRPr="00760E30">
              <w:rPr>
                <w:szCs w:val="24"/>
                <w:lang w:val="es-ES"/>
              </w:rPr>
              <w:t>Directores</w:t>
            </w:r>
            <w:proofErr w:type="gramEnd"/>
            <w:r w:rsidR="00742E32" w:rsidRPr="00760E30">
              <w:rPr>
                <w:szCs w:val="24"/>
                <w:lang w:val="es-ES"/>
              </w:rPr>
              <w:t xml:space="preserve"> de las Oficinas Regionales de la UIT</w:t>
            </w:r>
          </w:p>
        </w:tc>
      </w:tr>
      <w:tr w:rsidR="007B6316" w:rsidRPr="00760E30" w14:paraId="3869A1D7" w14:textId="77777777" w:rsidTr="009D30AE">
        <w:trPr>
          <w:cantSplit/>
          <w:trHeight w:val="429"/>
        </w:trPr>
        <w:tc>
          <w:tcPr>
            <w:tcW w:w="1410" w:type="dxa"/>
          </w:tcPr>
          <w:p w14:paraId="31EE19D3" w14:textId="77777777" w:rsidR="007B6316" w:rsidRPr="00760E30" w:rsidRDefault="007B6316" w:rsidP="00303D62">
            <w:pPr>
              <w:tabs>
                <w:tab w:val="left" w:pos="4111"/>
              </w:tabs>
              <w:spacing w:before="10"/>
              <w:ind w:left="57"/>
              <w:rPr>
                <w:szCs w:val="24"/>
              </w:rPr>
            </w:pPr>
            <w:r w:rsidRPr="00760E30">
              <w:rPr>
                <w:szCs w:val="24"/>
              </w:rPr>
              <w:t>Asunto:</w:t>
            </w:r>
          </w:p>
        </w:tc>
        <w:tc>
          <w:tcPr>
            <w:tcW w:w="8796" w:type="dxa"/>
            <w:gridSpan w:val="2"/>
          </w:tcPr>
          <w:p w14:paraId="166193A3" w14:textId="2F697848" w:rsidR="007B6316" w:rsidRPr="00760E30" w:rsidRDefault="00742E32" w:rsidP="00303D62">
            <w:pPr>
              <w:tabs>
                <w:tab w:val="left" w:pos="4111"/>
              </w:tabs>
              <w:spacing w:before="0"/>
              <w:rPr>
                <w:b/>
                <w:szCs w:val="24"/>
              </w:rPr>
            </w:pPr>
            <w:r w:rsidRPr="00760E30">
              <w:rPr>
                <w:b/>
                <w:bCs/>
                <w:szCs w:val="24"/>
                <w:lang w:val="es-ES"/>
              </w:rPr>
              <w:t>Configuración del Foro OpenWallet e invitación a unirse a la primera reunión del Comité Consultivo Gubernamental (GCC) del Foro OpenWallet, que tendrá lugar en línea el 6 de diciembre de 2024 de 13.00 a 14.30 horas CET.</w:t>
            </w:r>
          </w:p>
        </w:tc>
      </w:tr>
    </w:tbl>
    <w:p w14:paraId="477295D6" w14:textId="77777777" w:rsidR="00C34772" w:rsidRPr="00760E30" w:rsidRDefault="00C34772" w:rsidP="00126C1B">
      <w:pPr>
        <w:pStyle w:val="Normalaftertitle"/>
        <w:rPr>
          <w:szCs w:val="24"/>
        </w:rPr>
      </w:pPr>
      <w:bookmarkStart w:id="1" w:name="StartTyping_S"/>
      <w:bookmarkStart w:id="2" w:name="suitetext"/>
      <w:bookmarkStart w:id="3" w:name="text"/>
      <w:bookmarkEnd w:id="1"/>
      <w:bookmarkEnd w:id="2"/>
      <w:bookmarkEnd w:id="3"/>
      <w:r w:rsidRPr="00760E30">
        <w:rPr>
          <w:szCs w:val="24"/>
        </w:rPr>
        <w:t>Muy Señora mía/Muy Señor mío:</w:t>
      </w:r>
    </w:p>
    <w:p w14:paraId="42413EC8" w14:textId="77777777" w:rsidR="00742E32" w:rsidRPr="00760E30" w:rsidRDefault="00742E32" w:rsidP="00126C1B">
      <w:pPr>
        <w:rPr>
          <w:rFonts w:cs="Calibri"/>
          <w:szCs w:val="24"/>
          <w:lang w:val="es-ES"/>
        </w:rPr>
      </w:pPr>
      <w:r w:rsidRPr="00760E30">
        <w:rPr>
          <w:szCs w:val="24"/>
          <w:lang w:val="es-ES"/>
        </w:rPr>
        <w:t>1</w:t>
      </w:r>
      <w:r w:rsidRPr="00760E30">
        <w:rPr>
          <w:szCs w:val="24"/>
          <w:lang w:val="es-ES"/>
        </w:rPr>
        <w:tab/>
      </w:r>
      <w:proofErr w:type="gramStart"/>
      <w:r w:rsidRPr="00760E30">
        <w:rPr>
          <w:szCs w:val="24"/>
          <w:lang w:val="es-ES"/>
        </w:rPr>
        <w:t>Me</w:t>
      </w:r>
      <w:proofErr w:type="gramEnd"/>
      <w:r w:rsidRPr="00760E30">
        <w:rPr>
          <w:szCs w:val="24"/>
          <w:lang w:val="es-ES"/>
        </w:rPr>
        <w:t xml:space="preserve"> complace anunciar la creación del Foro OpenWallet, convocado por la Unión Internacional de Telecomunicaciones (UIT). El Foro OpenWallet se anunció en el Evento de Alto Nivel del Foro CMSI+20 celebrado del 27 al 31 de mayo de 2024, en el que la UIT y la </w:t>
      </w:r>
      <w:hyperlink r:id="rId9" w:history="1">
        <w:r w:rsidRPr="00760E30">
          <w:rPr>
            <w:rStyle w:val="Hyperlink"/>
            <w:szCs w:val="24"/>
            <w:lang w:val="es-ES"/>
          </w:rPr>
          <w:t>Fundación Linux</w:t>
        </w:r>
      </w:hyperlink>
      <w:r w:rsidRPr="00760E30">
        <w:rPr>
          <w:szCs w:val="24"/>
          <w:lang w:val="es-ES"/>
        </w:rPr>
        <w:t xml:space="preserve"> anunciaron su intención de colaborar para avanzar en la cooperación </w:t>
      </w:r>
      <w:proofErr w:type="spellStart"/>
      <w:r w:rsidRPr="00760E30">
        <w:rPr>
          <w:szCs w:val="24"/>
          <w:lang w:val="es-ES"/>
        </w:rPr>
        <w:t>multipartita</w:t>
      </w:r>
      <w:proofErr w:type="spellEnd"/>
      <w:r w:rsidRPr="00760E30">
        <w:rPr>
          <w:szCs w:val="24"/>
          <w:lang w:val="es-ES"/>
        </w:rPr>
        <w:t xml:space="preserve"> en el desarrollo y despliegue de monederos digitales e infraestructuras públicas digitales interoperables a escala mundial. La nueva Resolución de la AMNT-24 sobre </w:t>
      </w:r>
      <w:r w:rsidRPr="00760E30">
        <w:rPr>
          <w:i/>
          <w:iCs/>
          <w:szCs w:val="24"/>
          <w:lang w:val="es-ES"/>
        </w:rPr>
        <w:t xml:space="preserve">la mejora de las actividades de normalización de la infraestructura pública digital </w:t>
      </w:r>
      <w:r w:rsidRPr="00760E30">
        <w:rPr>
          <w:szCs w:val="24"/>
          <w:lang w:val="es-ES"/>
        </w:rPr>
        <w:t xml:space="preserve">pide al </w:t>
      </w:r>
      <w:proofErr w:type="gramStart"/>
      <w:r w:rsidRPr="00760E30">
        <w:rPr>
          <w:szCs w:val="24"/>
          <w:lang w:val="es-ES"/>
        </w:rPr>
        <w:t>Director</w:t>
      </w:r>
      <w:proofErr w:type="gramEnd"/>
      <w:r w:rsidRPr="00760E30">
        <w:rPr>
          <w:szCs w:val="24"/>
          <w:lang w:val="es-ES"/>
        </w:rPr>
        <w:t xml:space="preserve"> de la Oficina de Normalización de las Telecomunicaciones (TSB) que promueva la participación de los miembros en las actividades del UIT-T sobre la infraestructura pública digital, incluso mediante la integración de diálogos para compartir experiencias y lecciones aprendidas.</w:t>
      </w:r>
    </w:p>
    <w:p w14:paraId="5C124A68" w14:textId="77777777" w:rsidR="00742E32" w:rsidRPr="00760E30" w:rsidRDefault="00742E32" w:rsidP="00801955">
      <w:pPr>
        <w:rPr>
          <w:rFonts w:cs="Calibri"/>
          <w:szCs w:val="24"/>
          <w:lang w:val="es-ES"/>
        </w:rPr>
      </w:pPr>
      <w:r w:rsidRPr="00760E30">
        <w:rPr>
          <w:szCs w:val="24"/>
          <w:lang w:val="es-ES"/>
        </w:rPr>
        <w:t>2</w:t>
      </w:r>
      <w:r w:rsidRPr="00760E30">
        <w:rPr>
          <w:szCs w:val="24"/>
          <w:lang w:val="es-ES"/>
        </w:rPr>
        <w:tab/>
      </w:r>
      <w:proofErr w:type="gramStart"/>
      <w:r w:rsidRPr="00760E30">
        <w:rPr>
          <w:szCs w:val="24"/>
          <w:lang w:val="es-ES"/>
        </w:rPr>
        <w:t>Los</w:t>
      </w:r>
      <w:proofErr w:type="gramEnd"/>
      <w:r w:rsidRPr="00760E30">
        <w:rPr>
          <w:szCs w:val="24"/>
          <w:lang w:val="es-ES"/>
        </w:rPr>
        <w:t xml:space="preserve"> monederos digitales se han convertido en componentes esenciales de la infraestructura pública digital (IPD), ya que permiten a las personas acceder a servicios públicos digitales, demostrar su identidad, realizar pagos y almacenar diversas credenciales, como identidad digital, monedas digitales, activos digitales, historiales médicos, permisos de conducir, documentos de viaje y cualificaciones académicas. </w:t>
      </w:r>
    </w:p>
    <w:p w14:paraId="44BD6A1F" w14:textId="77777777" w:rsidR="00742E32" w:rsidRPr="00760E30" w:rsidRDefault="00742E32" w:rsidP="00801955">
      <w:pPr>
        <w:rPr>
          <w:rFonts w:cs="Calibri"/>
          <w:szCs w:val="24"/>
          <w:lang w:val="es-ES"/>
        </w:rPr>
      </w:pPr>
      <w:r w:rsidRPr="00760E30">
        <w:rPr>
          <w:szCs w:val="24"/>
          <w:lang w:val="es-ES"/>
        </w:rPr>
        <w:t>3</w:t>
      </w:r>
      <w:r w:rsidRPr="00760E30">
        <w:rPr>
          <w:szCs w:val="24"/>
          <w:lang w:val="es-ES"/>
        </w:rPr>
        <w:tab/>
      </w:r>
      <w:proofErr w:type="gramStart"/>
      <w:r w:rsidRPr="00760E30">
        <w:rPr>
          <w:szCs w:val="24"/>
          <w:lang w:val="es-ES"/>
        </w:rPr>
        <w:t>En</w:t>
      </w:r>
      <w:proofErr w:type="gramEnd"/>
      <w:r w:rsidRPr="00760E30">
        <w:rPr>
          <w:szCs w:val="24"/>
          <w:lang w:val="es-ES"/>
        </w:rPr>
        <w:t xml:space="preserve"> este contexto, el Foro OpenWallet tiene como objetivo servir como una plataforma neutral, inclusiva y </w:t>
      </w:r>
      <w:proofErr w:type="spellStart"/>
      <w:r w:rsidRPr="00760E30">
        <w:rPr>
          <w:szCs w:val="24"/>
          <w:lang w:val="es-ES"/>
        </w:rPr>
        <w:t>multipartita</w:t>
      </w:r>
      <w:proofErr w:type="spellEnd"/>
      <w:r w:rsidRPr="00760E30">
        <w:rPr>
          <w:szCs w:val="24"/>
          <w:lang w:val="es-ES"/>
        </w:rPr>
        <w:t xml:space="preserve"> para el diálogo sobre cuestiones de política pública, requisitos técnicos y especificaciones relacionadas con los monederos digitales interoperables multipropósito. Esto permitirá a los gobiernos, en colaboración con el sector privado, las organizaciones de normalización, las instituciones académicas y la sociedad civil, construir y </w:t>
      </w:r>
      <w:r w:rsidRPr="00760E30">
        <w:rPr>
          <w:szCs w:val="24"/>
          <w:lang w:val="es-ES"/>
        </w:rPr>
        <w:lastRenderedPageBreak/>
        <w:t xml:space="preserve">desplegar sus servicios y aplicaciones digitales de manera rentable, acelerada e interoperable, garantizando una participación segura en la economía digital mundial. </w:t>
      </w:r>
    </w:p>
    <w:p w14:paraId="042B80D4" w14:textId="31ED7465" w:rsidR="007B6316" w:rsidRPr="00760E30" w:rsidRDefault="00742E32" w:rsidP="00801955">
      <w:pPr>
        <w:rPr>
          <w:szCs w:val="24"/>
          <w:lang w:val="es-ES"/>
        </w:rPr>
      </w:pPr>
      <w:r w:rsidRPr="00760E30">
        <w:rPr>
          <w:szCs w:val="24"/>
          <w:lang w:val="es-ES"/>
        </w:rPr>
        <w:t>4</w:t>
      </w:r>
      <w:r w:rsidRPr="00760E30">
        <w:rPr>
          <w:szCs w:val="24"/>
          <w:lang w:val="es-ES"/>
        </w:rPr>
        <w:tab/>
      </w:r>
      <w:proofErr w:type="gramStart"/>
      <w:r w:rsidRPr="00760E30">
        <w:rPr>
          <w:szCs w:val="24"/>
          <w:lang w:val="es-ES"/>
        </w:rPr>
        <w:t>Para</w:t>
      </w:r>
      <w:proofErr w:type="gramEnd"/>
      <w:r w:rsidRPr="00760E30">
        <w:rPr>
          <w:szCs w:val="24"/>
          <w:lang w:val="es-ES"/>
        </w:rPr>
        <w:t xml:space="preserve"> lograr este objetivo, el Foro OpenWallet está estableciendo un Comité Consultivo Gubernamental (GCC), como parte del Foro, para proporcionar una plataforma de diálogo para que los gobiernos discutan las políticas públicas y los requisitos tecnológicos relacionados con los monederos digitales, aprendan de las prácticas idóneas y formulen requisitos técnicos que satisfagan sus necesidades. La reunión inaugural del GCC se celebrará virtualmente el </w:t>
      </w:r>
      <w:r w:rsidRPr="00760E30">
        <w:rPr>
          <w:b/>
          <w:bCs/>
          <w:szCs w:val="24"/>
          <w:u w:val="single"/>
          <w:lang w:val="es-ES"/>
        </w:rPr>
        <w:t>6 de diciembre de 2024 a las 13.00 horas CET</w:t>
      </w:r>
      <w:r w:rsidRPr="00760E30">
        <w:rPr>
          <w:szCs w:val="24"/>
          <w:lang w:val="es-ES"/>
        </w:rPr>
        <w:t>. Véase el proyecto de orden del día en el Anexo 1.</w:t>
      </w:r>
    </w:p>
    <w:p w14:paraId="6B3A22C0" w14:textId="067B77AC" w:rsidR="00E267D7" w:rsidRPr="00760E30" w:rsidRDefault="00E267D7" w:rsidP="00E267D7">
      <w:pPr>
        <w:spacing w:before="0" w:after="120"/>
        <w:rPr>
          <w:rFonts w:cs="Calibri"/>
          <w:szCs w:val="24"/>
          <w:lang w:val="es-ES"/>
        </w:rPr>
      </w:pPr>
      <w:r w:rsidRPr="00760E30">
        <w:rPr>
          <w:szCs w:val="24"/>
          <w:lang w:val="es-ES"/>
        </w:rPr>
        <w:t xml:space="preserve">Para obtener más información sobre el Foro OpenWallet y sus actividades, visite el sitio web de la UIT: </w:t>
      </w:r>
      <w:hyperlink r:id="rId10" w:history="1">
        <w:r w:rsidR="005477C6" w:rsidRPr="00760E30">
          <w:rPr>
            <w:rStyle w:val="Hyperlink"/>
            <w:szCs w:val="24"/>
            <w:lang w:val="es-ES"/>
          </w:rPr>
          <w:t>https://www.itu.int/en/ITU-T/extcoop/openwalletforum/Pages/default.aspx/es</w:t>
        </w:r>
      </w:hyperlink>
      <w:r w:rsidRPr="00760E30">
        <w:rPr>
          <w:szCs w:val="24"/>
          <w:lang w:val="es-ES"/>
        </w:rPr>
        <w:t xml:space="preserve">. </w:t>
      </w:r>
    </w:p>
    <w:p w14:paraId="3054044E" w14:textId="016C16C2" w:rsidR="00E267D7" w:rsidRPr="00760E30" w:rsidRDefault="003F29F3" w:rsidP="00E267D7">
      <w:pPr>
        <w:spacing w:before="0" w:after="120"/>
        <w:rPr>
          <w:szCs w:val="24"/>
          <w:lang w:val="es-ES"/>
        </w:rPr>
      </w:pPr>
      <w:r>
        <w:rPr>
          <w:szCs w:val="24"/>
          <w:lang w:val="es-ES"/>
        </w:rPr>
        <w:t>5</w:t>
      </w:r>
      <w:r w:rsidR="00E267D7" w:rsidRPr="00760E30">
        <w:rPr>
          <w:szCs w:val="24"/>
          <w:lang w:val="es-ES"/>
        </w:rPr>
        <w:tab/>
      </w:r>
      <w:proofErr w:type="gramStart"/>
      <w:r w:rsidR="00E267D7" w:rsidRPr="00760E30">
        <w:rPr>
          <w:szCs w:val="24"/>
          <w:lang w:val="es-ES"/>
        </w:rPr>
        <w:t>El</w:t>
      </w:r>
      <w:proofErr w:type="gramEnd"/>
      <w:r w:rsidR="00E267D7" w:rsidRPr="00760E30">
        <w:rPr>
          <w:szCs w:val="24"/>
          <w:lang w:val="es-ES"/>
        </w:rPr>
        <w:t xml:space="preserve"> GCC es un componente fundamental del Foro OpenWallet, abierto a los representantes de los Estados Miembros de la UIT, con organizaciones intergubernamentales invitadas en calidad de observadores. Las principales funciones del GCC incluyen:</w:t>
      </w:r>
    </w:p>
    <w:p w14:paraId="2235F530" w14:textId="377CD548" w:rsidR="00E267D7" w:rsidRPr="00760E30" w:rsidRDefault="005477C6" w:rsidP="005477C6">
      <w:pPr>
        <w:pStyle w:val="enumlev1"/>
        <w:rPr>
          <w:rFonts w:cs="Calibri"/>
          <w:szCs w:val="24"/>
          <w:lang w:val="es-ES"/>
        </w:rPr>
      </w:pPr>
      <w:r w:rsidRPr="00760E30">
        <w:rPr>
          <w:szCs w:val="24"/>
          <w:lang w:val="es-ES"/>
        </w:rPr>
        <w:t>•</w:t>
      </w:r>
      <w:r w:rsidRPr="00760E30">
        <w:rPr>
          <w:szCs w:val="24"/>
          <w:lang w:val="es-ES"/>
        </w:rPr>
        <w:tab/>
      </w:r>
      <w:r w:rsidR="00E267D7" w:rsidRPr="00760E30">
        <w:rPr>
          <w:szCs w:val="24"/>
          <w:lang w:val="es-ES"/>
        </w:rPr>
        <w:t>Debatir los intereses y preocupaciones del gobierno y de otras políticas públicas en relación con los monederos digitales.</w:t>
      </w:r>
    </w:p>
    <w:p w14:paraId="0B0BE58B" w14:textId="3C2E2961" w:rsidR="00E267D7" w:rsidRPr="00760E30" w:rsidRDefault="005477C6" w:rsidP="005477C6">
      <w:pPr>
        <w:pStyle w:val="enumlev1"/>
        <w:rPr>
          <w:rFonts w:cs="Calibri"/>
          <w:szCs w:val="24"/>
          <w:lang w:val="es-ES"/>
        </w:rPr>
      </w:pPr>
      <w:r w:rsidRPr="00760E30">
        <w:rPr>
          <w:szCs w:val="24"/>
          <w:lang w:val="es-ES"/>
        </w:rPr>
        <w:t>•</w:t>
      </w:r>
      <w:r w:rsidRPr="00760E30">
        <w:rPr>
          <w:szCs w:val="24"/>
          <w:lang w:val="es-ES"/>
        </w:rPr>
        <w:tab/>
      </w:r>
      <w:r w:rsidR="00E267D7" w:rsidRPr="00760E30">
        <w:rPr>
          <w:szCs w:val="24"/>
          <w:lang w:val="es-ES"/>
        </w:rPr>
        <w:t>Intercambio de opiniones diversas sobre una amplia gama de cuestiones de política pública y requisitos para la interoperabilidad global de los monederos digitales.</w:t>
      </w:r>
    </w:p>
    <w:p w14:paraId="6271B453" w14:textId="6D5DD9C9" w:rsidR="00E267D7" w:rsidRPr="00760E30" w:rsidRDefault="005477C6" w:rsidP="005477C6">
      <w:pPr>
        <w:pStyle w:val="enumlev1"/>
        <w:rPr>
          <w:rFonts w:cs="Calibri"/>
          <w:szCs w:val="24"/>
          <w:lang w:val="es-ES"/>
        </w:rPr>
      </w:pPr>
      <w:r w:rsidRPr="00760E30">
        <w:rPr>
          <w:szCs w:val="24"/>
          <w:lang w:val="es-ES"/>
        </w:rPr>
        <w:t>•</w:t>
      </w:r>
      <w:r w:rsidRPr="00760E30">
        <w:rPr>
          <w:szCs w:val="24"/>
          <w:lang w:val="es-ES"/>
        </w:rPr>
        <w:tab/>
      </w:r>
      <w:r w:rsidR="00E267D7" w:rsidRPr="00760E30">
        <w:rPr>
          <w:szCs w:val="24"/>
          <w:lang w:val="es-ES"/>
        </w:rPr>
        <w:t xml:space="preserve">Fomentar la colaboración internacional y </w:t>
      </w:r>
      <w:proofErr w:type="spellStart"/>
      <w:r w:rsidR="00E267D7" w:rsidRPr="00760E30">
        <w:rPr>
          <w:szCs w:val="24"/>
          <w:lang w:val="es-ES"/>
        </w:rPr>
        <w:t>multipartita</w:t>
      </w:r>
      <w:proofErr w:type="spellEnd"/>
      <w:r w:rsidR="00E267D7" w:rsidRPr="00760E30">
        <w:rPr>
          <w:szCs w:val="24"/>
          <w:lang w:val="es-ES"/>
        </w:rPr>
        <w:t xml:space="preserve"> para compartir conocimientos y prácticas idóneas y explorar las oportunidades y los retos relacionados con los monederos digitales.</w:t>
      </w:r>
    </w:p>
    <w:p w14:paraId="3F1FC226" w14:textId="77777777" w:rsidR="00E267D7" w:rsidRPr="00760E30" w:rsidRDefault="00E267D7" w:rsidP="00E267D7">
      <w:pPr>
        <w:spacing w:before="0" w:after="120"/>
        <w:rPr>
          <w:rFonts w:cs="Calibri"/>
          <w:szCs w:val="24"/>
          <w:lang w:val="es-ES"/>
        </w:rPr>
      </w:pPr>
      <w:r w:rsidRPr="00760E30">
        <w:rPr>
          <w:szCs w:val="24"/>
          <w:lang w:val="es-ES"/>
        </w:rPr>
        <w:t xml:space="preserve">La UIT convocará las reuniones del GCC mensualmente. El trabajo del GCC servirá de orientación para los debates de las reuniones de colaboración </w:t>
      </w:r>
      <w:proofErr w:type="spellStart"/>
      <w:r w:rsidRPr="00760E30">
        <w:rPr>
          <w:szCs w:val="24"/>
          <w:lang w:val="es-ES"/>
        </w:rPr>
        <w:t>multipartita</w:t>
      </w:r>
      <w:proofErr w:type="spellEnd"/>
      <w:r w:rsidRPr="00760E30">
        <w:rPr>
          <w:szCs w:val="24"/>
          <w:lang w:val="es-ES"/>
        </w:rPr>
        <w:t xml:space="preserve"> del Foro OpenWallet que tendrán lugar el próximo año, en el que participarán el sector privado, los desarrolladores de monederos digitales y las organizaciones de normalización.</w:t>
      </w:r>
    </w:p>
    <w:p w14:paraId="4067F828" w14:textId="0246C757" w:rsidR="00E267D7" w:rsidRPr="00760E30" w:rsidRDefault="003F29F3" w:rsidP="00E267D7">
      <w:pPr>
        <w:spacing w:before="0" w:after="120"/>
        <w:rPr>
          <w:rFonts w:cs="Calibri"/>
          <w:szCs w:val="24"/>
          <w:lang w:val="es-ES"/>
        </w:rPr>
      </w:pPr>
      <w:r>
        <w:rPr>
          <w:szCs w:val="24"/>
          <w:lang w:val="es-ES"/>
        </w:rPr>
        <w:t>6</w:t>
      </w:r>
      <w:r w:rsidR="00E267D7" w:rsidRPr="00760E30">
        <w:rPr>
          <w:szCs w:val="24"/>
          <w:lang w:val="es-ES"/>
        </w:rPr>
        <w:tab/>
      </w:r>
      <w:proofErr w:type="gramStart"/>
      <w:r w:rsidR="00E267D7" w:rsidRPr="00760E30">
        <w:rPr>
          <w:szCs w:val="24"/>
          <w:lang w:val="es-ES"/>
        </w:rPr>
        <w:t>El</w:t>
      </w:r>
      <w:proofErr w:type="gramEnd"/>
      <w:r w:rsidR="00E267D7" w:rsidRPr="00760E30">
        <w:rPr>
          <w:szCs w:val="24"/>
          <w:lang w:val="es-ES"/>
        </w:rPr>
        <w:t xml:space="preserve"> equipo directivo del GCC estará integrado por dos Copresidentes (un representante de un país desarrollado y otro de un país en desarrollo) y seis Vicepresidentes, lo que refleja una representación equilibrada de la diversidad geográfica y de desarrollo. Todos los nombramientos de liderazgo serán examinados por el GCC en su reunión y decidirá sobre la selección de los Copresidentes y </w:t>
      </w:r>
      <w:proofErr w:type="gramStart"/>
      <w:r w:rsidR="00E267D7" w:rsidRPr="00760E30">
        <w:rPr>
          <w:szCs w:val="24"/>
          <w:lang w:val="es-ES"/>
        </w:rPr>
        <w:t>Vicepresidentes</w:t>
      </w:r>
      <w:proofErr w:type="gramEnd"/>
      <w:r w:rsidR="00E267D7" w:rsidRPr="00760E30">
        <w:rPr>
          <w:szCs w:val="24"/>
          <w:lang w:val="es-ES"/>
        </w:rPr>
        <w:t xml:space="preserve"> por consenso. El equipo directivo del GCC se encarga de identificar las nuevas tendencias, establecer prioridades y dirigir todas las reuniones del GCC. Se espera que los participantes se involucren activamente en las actividades del GCC asistiendo a las reuniones, compartiendo conocimientos especializados y contribuyendo a la orientación </w:t>
      </w:r>
      <w:r w:rsidR="0005521A" w:rsidRPr="00760E30">
        <w:rPr>
          <w:szCs w:val="24"/>
          <w:lang w:val="es-ES"/>
        </w:rPr>
        <w:t>en materia de políticas</w:t>
      </w:r>
      <w:r w:rsidR="00E267D7" w:rsidRPr="00760E30">
        <w:rPr>
          <w:szCs w:val="24"/>
          <w:lang w:val="es-ES"/>
        </w:rPr>
        <w:t xml:space="preserve"> para las reuniones de colaboración </w:t>
      </w:r>
      <w:proofErr w:type="spellStart"/>
      <w:r w:rsidR="00E267D7" w:rsidRPr="00760E30">
        <w:rPr>
          <w:szCs w:val="24"/>
          <w:lang w:val="es-ES"/>
        </w:rPr>
        <w:t>multipartita</w:t>
      </w:r>
      <w:proofErr w:type="spellEnd"/>
      <w:r w:rsidR="00E267D7" w:rsidRPr="00760E30">
        <w:rPr>
          <w:szCs w:val="24"/>
          <w:lang w:val="es-ES"/>
        </w:rPr>
        <w:t>.</w:t>
      </w:r>
    </w:p>
    <w:p w14:paraId="6FA7F3E4" w14:textId="4B0177B3" w:rsidR="00E267D7" w:rsidRPr="00760E30" w:rsidRDefault="003F29F3" w:rsidP="00E267D7">
      <w:pPr>
        <w:spacing w:before="0" w:after="120"/>
        <w:rPr>
          <w:rFonts w:cs="Calibri"/>
          <w:szCs w:val="24"/>
          <w:lang w:val="es-ES"/>
        </w:rPr>
      </w:pPr>
      <w:r>
        <w:rPr>
          <w:szCs w:val="24"/>
          <w:lang w:val="es-ES"/>
        </w:rPr>
        <w:t>7</w:t>
      </w:r>
      <w:r w:rsidR="00E267D7" w:rsidRPr="00760E30">
        <w:rPr>
          <w:szCs w:val="24"/>
          <w:lang w:val="es-ES"/>
        </w:rPr>
        <w:tab/>
      </w:r>
      <w:proofErr w:type="gramStart"/>
      <w:r w:rsidR="00E267D7" w:rsidRPr="00760E30">
        <w:rPr>
          <w:szCs w:val="24"/>
          <w:lang w:val="es-ES"/>
        </w:rPr>
        <w:t>Quisiera</w:t>
      </w:r>
      <w:proofErr w:type="gramEnd"/>
      <w:r w:rsidR="00E267D7" w:rsidRPr="00760E30">
        <w:rPr>
          <w:szCs w:val="24"/>
          <w:lang w:val="es-ES"/>
        </w:rPr>
        <w:t xml:space="preserve"> invitar a su país a participar activamente en el GCC para que participe plenamente en los debates que configurarán el futuro de los monederos digitales. Con el fin de confirmar su interés en participar en las reuniones del GCC, me complace invitarle a designar el/</w:t>
      </w:r>
      <w:proofErr w:type="gramStart"/>
      <w:r w:rsidR="00E267D7" w:rsidRPr="00760E30">
        <w:rPr>
          <w:szCs w:val="24"/>
          <w:lang w:val="es-ES"/>
        </w:rPr>
        <w:t>los representante</w:t>
      </w:r>
      <w:proofErr w:type="gramEnd"/>
      <w:r w:rsidR="00E267D7" w:rsidRPr="00760E30">
        <w:rPr>
          <w:szCs w:val="24"/>
          <w:lang w:val="es-ES"/>
        </w:rPr>
        <w:t xml:space="preserve">(s) de su país para el GCC enviando una carta oficial firmada con el(los) nombre(s) del/de los representante(s) y sus datos de contacto, incluida su dirección de correo electrónico. Los países pueden designar a un máximo de tres representantes indicando su coordinador principal. En el Anexo 2 figura un modelo de carta. La carta de nominación debe enviarse a la UIT por correo electrónico a </w:t>
      </w:r>
      <w:hyperlink r:id="rId11" w:history="1">
        <w:r w:rsidR="00E267D7" w:rsidRPr="00760E30">
          <w:rPr>
            <w:rStyle w:val="Hyperlink"/>
            <w:szCs w:val="24"/>
            <w:lang w:val="es-ES"/>
          </w:rPr>
          <w:t>gcc-secretariat@itu.int</w:t>
        </w:r>
      </w:hyperlink>
      <w:r w:rsidR="00E267D7" w:rsidRPr="00760E30">
        <w:rPr>
          <w:szCs w:val="24"/>
          <w:lang w:val="es-ES"/>
        </w:rPr>
        <w:t xml:space="preserve">. </w:t>
      </w:r>
      <w:r w:rsidR="00E267D7" w:rsidRPr="00760E30">
        <w:rPr>
          <w:b/>
          <w:bCs/>
          <w:szCs w:val="24"/>
          <w:lang w:val="es-ES"/>
        </w:rPr>
        <w:t xml:space="preserve">Se agradecería que la carta se recibiera antes del </w:t>
      </w:r>
      <w:r w:rsidR="00E267D7" w:rsidRPr="00760E30">
        <w:rPr>
          <w:b/>
          <w:bCs/>
          <w:szCs w:val="24"/>
          <w:u w:val="single"/>
          <w:lang w:val="es-ES"/>
        </w:rPr>
        <w:t>28 de noviembre de 2024</w:t>
      </w:r>
      <w:r w:rsidR="00E267D7" w:rsidRPr="00760E30">
        <w:rPr>
          <w:b/>
          <w:bCs/>
          <w:szCs w:val="24"/>
          <w:lang w:val="es-ES"/>
        </w:rPr>
        <w:t>.</w:t>
      </w:r>
      <w:r w:rsidR="00E267D7" w:rsidRPr="00760E30">
        <w:rPr>
          <w:szCs w:val="24"/>
          <w:lang w:val="es-ES"/>
        </w:rPr>
        <w:t xml:space="preserve"> </w:t>
      </w:r>
      <w:r w:rsidR="00E267D7" w:rsidRPr="00760E30">
        <w:rPr>
          <w:b/>
          <w:bCs/>
          <w:szCs w:val="24"/>
          <w:lang w:val="es-ES"/>
        </w:rPr>
        <w:t>Cuando la UIT reciba la carta de nominación, su representante recibirá por correo electrónico el enlace para la reunión en línea.</w:t>
      </w:r>
      <w:r w:rsidR="00E267D7" w:rsidRPr="00760E30">
        <w:rPr>
          <w:szCs w:val="24"/>
          <w:lang w:val="es-ES"/>
        </w:rPr>
        <w:t xml:space="preserve"> </w:t>
      </w:r>
      <w:bookmarkStart w:id="4" w:name="_Hlk182407192"/>
      <w:bookmarkStart w:id="5" w:name="_Hlk178237564"/>
      <w:bookmarkStart w:id="6" w:name="_Hlk182407369"/>
      <w:bookmarkStart w:id="7" w:name="_Hlk182407459"/>
      <w:bookmarkEnd w:id="4"/>
      <w:bookmarkEnd w:id="5"/>
      <w:bookmarkEnd w:id="6"/>
      <w:bookmarkEnd w:id="7"/>
    </w:p>
    <w:p w14:paraId="1944581C" w14:textId="20E9E140" w:rsidR="00E267D7" w:rsidRPr="00760E30" w:rsidRDefault="003F29F3" w:rsidP="00E267D7">
      <w:pPr>
        <w:spacing w:before="0" w:after="120"/>
        <w:rPr>
          <w:rFonts w:cs="Calibri"/>
          <w:szCs w:val="24"/>
          <w:lang w:val="es-ES"/>
        </w:rPr>
      </w:pPr>
      <w:r>
        <w:rPr>
          <w:szCs w:val="24"/>
          <w:lang w:val="es-ES"/>
        </w:rPr>
        <w:t>8</w:t>
      </w:r>
      <w:r w:rsidR="00E267D7" w:rsidRPr="00760E30">
        <w:rPr>
          <w:szCs w:val="24"/>
          <w:lang w:val="es-ES"/>
        </w:rPr>
        <w:tab/>
      </w:r>
      <w:proofErr w:type="gramStart"/>
      <w:r w:rsidR="00E267D7" w:rsidRPr="00760E30">
        <w:rPr>
          <w:szCs w:val="24"/>
          <w:lang w:val="es-ES"/>
        </w:rPr>
        <w:t>Le</w:t>
      </w:r>
      <w:proofErr w:type="gramEnd"/>
      <w:r w:rsidR="00E267D7" w:rsidRPr="00760E30">
        <w:rPr>
          <w:szCs w:val="24"/>
          <w:lang w:val="es-ES"/>
        </w:rPr>
        <w:t xml:space="preserve"> animo a que se coordine con los equipos de los organismos gubernamentales competentes de su país, expertos en la materia que participan en la elaboración o influencia de las </w:t>
      </w:r>
      <w:r w:rsidR="00E267D7" w:rsidRPr="00760E30">
        <w:rPr>
          <w:szCs w:val="24"/>
          <w:lang w:val="es-ES"/>
        </w:rPr>
        <w:lastRenderedPageBreak/>
        <w:t xml:space="preserve">políticas públicas gubernamentales relacionadas con los monederos digitales, y a que designe representantes suplentes y asesores designados, según proceda. </w:t>
      </w:r>
    </w:p>
    <w:p w14:paraId="6DF4DB66" w14:textId="6E959073" w:rsidR="00E267D7" w:rsidRPr="00760E30" w:rsidRDefault="003F29F3" w:rsidP="00E267D7">
      <w:pPr>
        <w:tabs>
          <w:tab w:val="left" w:pos="7763"/>
        </w:tabs>
        <w:spacing w:before="0" w:after="120"/>
        <w:rPr>
          <w:rFonts w:cs="Calibri"/>
          <w:szCs w:val="24"/>
          <w:lang w:val="es-ES"/>
        </w:rPr>
      </w:pPr>
      <w:r>
        <w:rPr>
          <w:szCs w:val="24"/>
          <w:lang w:val="es-ES"/>
        </w:rPr>
        <w:t>9</w:t>
      </w:r>
      <w:r w:rsidR="00E267D7" w:rsidRPr="00760E30">
        <w:rPr>
          <w:szCs w:val="24"/>
          <w:lang w:val="es-ES"/>
        </w:rPr>
        <w:tab/>
      </w:r>
      <w:proofErr w:type="gramStart"/>
      <w:r w:rsidR="00E267D7" w:rsidRPr="00760E30">
        <w:rPr>
          <w:szCs w:val="24"/>
          <w:lang w:val="es-ES"/>
        </w:rPr>
        <w:t>Espero</w:t>
      </w:r>
      <w:proofErr w:type="gramEnd"/>
      <w:r w:rsidR="00E267D7" w:rsidRPr="00760E30">
        <w:rPr>
          <w:szCs w:val="24"/>
          <w:lang w:val="es-ES"/>
        </w:rPr>
        <w:t xml:space="preserve"> con interés su participación en el Foro OpenWallet GCC y me gustaría aprovechar esta oportunidad para desearle una reunión productiva y agradable.</w:t>
      </w:r>
    </w:p>
    <w:p w14:paraId="6591BEDB" w14:textId="77777777" w:rsidR="00E267D7" w:rsidRPr="00760E30" w:rsidRDefault="00E267D7" w:rsidP="001E088D">
      <w:pPr>
        <w:spacing w:before="0" w:after="360"/>
        <w:rPr>
          <w:rFonts w:cs="Calibri"/>
          <w:szCs w:val="24"/>
          <w:lang w:val="es-ES"/>
        </w:rPr>
      </w:pPr>
      <w:r w:rsidRPr="00760E30">
        <w:rPr>
          <w:szCs w:val="24"/>
          <w:lang w:val="es-ES"/>
        </w:rPr>
        <w:t>Le saluda atentamente,</w:t>
      </w:r>
    </w:p>
    <w:p w14:paraId="756BC636" w14:textId="77777777" w:rsidR="007B6316" w:rsidRPr="00760E30" w:rsidRDefault="007B6316" w:rsidP="001E088D">
      <w:pPr>
        <w:spacing w:before="480" w:after="360" w:line="480" w:lineRule="auto"/>
        <w:rPr>
          <w:szCs w:val="24"/>
        </w:rPr>
      </w:pPr>
      <w:r w:rsidRPr="00760E30">
        <w:rPr>
          <w:i/>
          <w:iCs/>
          <w:szCs w:val="24"/>
        </w:rPr>
        <w:t>(firmado)</w:t>
      </w:r>
    </w:p>
    <w:p w14:paraId="42A00E70" w14:textId="77777777" w:rsidR="007B6316" w:rsidRPr="00760E30" w:rsidRDefault="001350B9" w:rsidP="001E088D">
      <w:pPr>
        <w:widowControl w:val="0"/>
        <w:spacing w:before="360"/>
        <w:rPr>
          <w:szCs w:val="24"/>
        </w:rPr>
      </w:pPr>
      <w:r w:rsidRPr="00760E30">
        <w:rPr>
          <w:rFonts w:cstheme="minorHAnsi"/>
          <w:szCs w:val="24"/>
          <w:lang w:val="es-ES"/>
        </w:rPr>
        <w:t>Seizo Onoe</w:t>
      </w:r>
      <w:r w:rsidR="007B6316" w:rsidRPr="00760E30">
        <w:rPr>
          <w:szCs w:val="24"/>
        </w:rPr>
        <w:br/>
      </w:r>
      <w:proofErr w:type="gramStart"/>
      <w:r w:rsidR="007B6316" w:rsidRPr="00760E30">
        <w:rPr>
          <w:szCs w:val="24"/>
        </w:rPr>
        <w:t>Director</w:t>
      </w:r>
      <w:proofErr w:type="gramEnd"/>
      <w:r w:rsidR="007B6316" w:rsidRPr="00760E30">
        <w:rPr>
          <w:szCs w:val="24"/>
        </w:rPr>
        <w:t xml:space="preserve"> de la Oficina de </w:t>
      </w:r>
      <w:r w:rsidR="007B6316" w:rsidRPr="00760E30">
        <w:rPr>
          <w:szCs w:val="24"/>
        </w:rPr>
        <w:br/>
        <w:t>Normalización de las Telecomunicaciones</w:t>
      </w:r>
    </w:p>
    <w:p w14:paraId="1759379D" w14:textId="1365D5F9" w:rsidR="00E267D7" w:rsidRPr="00760E30" w:rsidRDefault="0005521A" w:rsidP="006543F6">
      <w:pPr>
        <w:pStyle w:val="enumlev1"/>
        <w:spacing w:before="1080"/>
        <w:rPr>
          <w:rFonts w:eastAsia="SimSun"/>
          <w:szCs w:val="24"/>
          <w:lang w:val="es-ES"/>
        </w:rPr>
      </w:pPr>
      <w:r w:rsidRPr="00760E30">
        <w:rPr>
          <w:szCs w:val="24"/>
          <w:lang w:val="es-ES"/>
        </w:rPr>
        <w:t>•</w:t>
      </w:r>
      <w:r w:rsidRPr="00760E30">
        <w:rPr>
          <w:szCs w:val="24"/>
          <w:lang w:val="es-ES"/>
        </w:rPr>
        <w:tab/>
      </w:r>
      <w:r w:rsidR="00E267D7" w:rsidRPr="00760E30">
        <w:rPr>
          <w:szCs w:val="24"/>
          <w:lang w:val="es-ES"/>
        </w:rPr>
        <w:t xml:space="preserve">Anexo 1 </w:t>
      </w:r>
      <w:r w:rsidRPr="00760E30">
        <w:rPr>
          <w:szCs w:val="24"/>
          <w:lang w:val="es-ES"/>
        </w:rPr>
        <w:t>–</w:t>
      </w:r>
      <w:r w:rsidR="00E267D7" w:rsidRPr="00760E30">
        <w:rPr>
          <w:szCs w:val="24"/>
          <w:lang w:val="es-ES"/>
        </w:rPr>
        <w:t xml:space="preserve"> Orden del día de la reunión del Comité Consultivo Gubernamental (GCC) </w:t>
      </w:r>
    </w:p>
    <w:p w14:paraId="02639A26" w14:textId="3DC66DB4" w:rsidR="00E267D7" w:rsidRDefault="0005521A" w:rsidP="0005521A">
      <w:pPr>
        <w:pStyle w:val="enumlev1"/>
        <w:rPr>
          <w:rFonts w:ascii="Calibri" w:hAnsi="Calibri" w:cs="Calibri"/>
          <w:szCs w:val="24"/>
          <w:lang w:val="es-ES"/>
        </w:rPr>
      </w:pPr>
      <w:r w:rsidRPr="00760E30">
        <w:rPr>
          <w:rFonts w:ascii="Calibri" w:hAnsi="Calibri" w:cs="Calibri"/>
          <w:szCs w:val="24"/>
          <w:lang w:val="es-ES"/>
        </w:rPr>
        <w:t>•</w:t>
      </w:r>
      <w:r w:rsidRPr="00760E30">
        <w:rPr>
          <w:rFonts w:ascii="Calibri" w:hAnsi="Calibri" w:cs="Calibri"/>
          <w:szCs w:val="24"/>
          <w:lang w:val="es-ES"/>
        </w:rPr>
        <w:tab/>
      </w:r>
      <w:r w:rsidR="00E267D7" w:rsidRPr="00760E30">
        <w:rPr>
          <w:rFonts w:ascii="Calibri" w:hAnsi="Calibri" w:cs="Calibri"/>
          <w:szCs w:val="24"/>
          <w:lang w:val="es-ES"/>
        </w:rPr>
        <w:t>Anexo 2 – Ejemplo de texto para la carta de confirmación del nombramiento del representante del GCC</w:t>
      </w:r>
    </w:p>
    <w:p w14:paraId="57D0733A" w14:textId="77777777" w:rsidR="001E088D" w:rsidRPr="00760E30" w:rsidRDefault="001E088D" w:rsidP="0005521A">
      <w:pPr>
        <w:pStyle w:val="enumlev1"/>
        <w:rPr>
          <w:rFonts w:ascii="Calibri" w:hAnsi="Calibri" w:cs="Calibri"/>
          <w:szCs w:val="24"/>
          <w:lang w:val="es-ES"/>
        </w:rPr>
      </w:pPr>
    </w:p>
    <w:p w14:paraId="657F75EA" w14:textId="15440656" w:rsidR="00E267D7" w:rsidRPr="00760E30" w:rsidRDefault="00E267D7">
      <w:pPr>
        <w:tabs>
          <w:tab w:val="clear" w:pos="794"/>
          <w:tab w:val="clear" w:pos="1191"/>
          <w:tab w:val="clear" w:pos="1588"/>
          <w:tab w:val="clear" w:pos="1985"/>
        </w:tabs>
        <w:overflowPunct/>
        <w:autoSpaceDE/>
        <w:autoSpaceDN/>
        <w:adjustRightInd/>
        <w:spacing w:before="0"/>
        <w:textAlignment w:val="auto"/>
        <w:rPr>
          <w:szCs w:val="24"/>
          <w:lang w:val="es-ES"/>
        </w:rPr>
      </w:pPr>
      <w:r w:rsidRPr="00760E30">
        <w:rPr>
          <w:szCs w:val="24"/>
          <w:lang w:val="es-ES"/>
        </w:rPr>
        <w:br w:type="page"/>
      </w:r>
    </w:p>
    <w:p w14:paraId="5BAE6BFC" w14:textId="01D15E44" w:rsidR="00E267D7" w:rsidRPr="00600D42" w:rsidRDefault="00E267D7" w:rsidP="0004323D">
      <w:pPr>
        <w:pStyle w:val="AnnexNotitle"/>
        <w:rPr>
          <w:rFonts w:cs="Calibri"/>
          <w:sz w:val="22"/>
          <w:szCs w:val="22"/>
          <w:lang w:val="es-ES"/>
        </w:rPr>
      </w:pPr>
      <w:r>
        <w:rPr>
          <w:lang w:val="es-ES"/>
        </w:rPr>
        <w:lastRenderedPageBreak/>
        <w:t>Anexo 1</w:t>
      </w:r>
      <w:r w:rsidR="005477C6">
        <w:rPr>
          <w:lang w:val="es-ES"/>
        </w:rPr>
        <w:br/>
      </w:r>
      <w:r w:rsidR="00D11332">
        <w:rPr>
          <w:lang w:val="es-ES"/>
        </w:rPr>
        <w:br/>
      </w:r>
      <w:r>
        <w:rPr>
          <w:lang w:val="es-ES"/>
        </w:rPr>
        <w:t>Orden del día del Comité Consultivo Gubernamental (GCC) del Foro OpenWallet</w:t>
      </w:r>
    </w:p>
    <w:p w14:paraId="3B1F25FE" w14:textId="06EC6ACB" w:rsidR="00E267D7" w:rsidRPr="008F2ED3" w:rsidRDefault="00D11332" w:rsidP="008F2ED3">
      <w:pPr>
        <w:spacing w:before="240" w:after="360"/>
        <w:jc w:val="center"/>
        <w:rPr>
          <w:rFonts w:cs="Calibri"/>
          <w:sz w:val="22"/>
          <w:szCs w:val="22"/>
          <w:lang w:val="es-ES"/>
        </w:rPr>
      </w:pPr>
      <w:r w:rsidRPr="005477C6">
        <w:rPr>
          <w:lang w:val="es-ES"/>
        </w:rPr>
        <w:t>(</w:t>
      </w:r>
      <w:r w:rsidR="00E267D7" w:rsidRPr="005477C6">
        <w:rPr>
          <w:lang w:val="es-ES"/>
        </w:rPr>
        <w:t>6 de diciembre de 2024, 13.00 – 14.30 horas CET, reunión virtual</w:t>
      </w:r>
      <w:r w:rsidRPr="005477C6">
        <w:rPr>
          <w:lang w:val="es-ES"/>
        </w:rPr>
        <w:t>)</w:t>
      </w:r>
    </w:p>
    <w:tbl>
      <w:tblPr>
        <w:tblStyle w:val="TableGrid"/>
        <w:tblW w:w="0" w:type="auto"/>
        <w:tblLook w:val="04A0" w:firstRow="1" w:lastRow="0" w:firstColumn="1" w:lastColumn="0" w:noHBand="0" w:noVBand="1"/>
      </w:tblPr>
      <w:tblGrid>
        <w:gridCol w:w="2263"/>
        <w:gridCol w:w="7366"/>
      </w:tblGrid>
      <w:tr w:rsidR="00376E0D" w:rsidRPr="00760E30" w14:paraId="1D3EB10F" w14:textId="77777777" w:rsidTr="004E4BAA">
        <w:tc>
          <w:tcPr>
            <w:tcW w:w="2263" w:type="dxa"/>
          </w:tcPr>
          <w:p w14:paraId="4DCD5DBA" w14:textId="0A96FC9B" w:rsidR="00376E0D" w:rsidRPr="00760E30" w:rsidRDefault="00376E0D" w:rsidP="004E4BAA">
            <w:pPr>
              <w:pStyle w:val="TableText"/>
              <w:rPr>
                <w:rFonts w:cs="Calibri"/>
                <w:sz w:val="24"/>
                <w:szCs w:val="24"/>
              </w:rPr>
            </w:pPr>
            <w:r w:rsidRPr="00760E30">
              <w:rPr>
                <w:sz w:val="24"/>
                <w:szCs w:val="24"/>
                <w:lang w:val="es-ES"/>
              </w:rPr>
              <w:t>13.00 – 13.15 horas</w:t>
            </w:r>
          </w:p>
        </w:tc>
        <w:tc>
          <w:tcPr>
            <w:tcW w:w="7366" w:type="dxa"/>
          </w:tcPr>
          <w:p w14:paraId="3C17F7C0" w14:textId="4A8F900B"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b/>
                <w:bCs/>
                <w:sz w:val="24"/>
                <w:szCs w:val="24"/>
                <w:lang w:val="es-ES"/>
              </w:rPr>
              <w:t>1</w:t>
            </w:r>
            <w:r w:rsidRPr="00760E30">
              <w:rPr>
                <w:sz w:val="24"/>
                <w:szCs w:val="24"/>
                <w:lang w:val="es-ES"/>
              </w:rPr>
              <w:tab/>
            </w:r>
            <w:proofErr w:type="gramStart"/>
            <w:r w:rsidRPr="00760E30">
              <w:rPr>
                <w:b/>
                <w:bCs/>
                <w:sz w:val="24"/>
                <w:szCs w:val="24"/>
                <w:lang w:val="es-ES"/>
              </w:rPr>
              <w:t>Comentarios</w:t>
            </w:r>
            <w:proofErr w:type="gramEnd"/>
            <w:r w:rsidRPr="00760E30">
              <w:rPr>
                <w:b/>
                <w:bCs/>
                <w:sz w:val="24"/>
                <w:szCs w:val="24"/>
                <w:lang w:val="es-ES"/>
              </w:rPr>
              <w:t xml:space="preserve"> de bienvenida</w:t>
            </w:r>
          </w:p>
          <w:p w14:paraId="5A918F98" w14:textId="0095DC94"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b/>
                <w:bCs/>
                <w:sz w:val="24"/>
                <w:szCs w:val="24"/>
                <w:lang w:val="es-ES"/>
              </w:rPr>
              <w:t>2</w:t>
            </w:r>
            <w:r w:rsidRPr="00760E30">
              <w:rPr>
                <w:sz w:val="24"/>
                <w:szCs w:val="24"/>
                <w:lang w:val="es-ES"/>
              </w:rPr>
              <w:tab/>
            </w:r>
            <w:proofErr w:type="gramStart"/>
            <w:r w:rsidRPr="00760E30">
              <w:rPr>
                <w:b/>
                <w:bCs/>
                <w:sz w:val="24"/>
                <w:szCs w:val="24"/>
                <w:lang w:val="es-ES"/>
              </w:rPr>
              <w:t>Presentación</w:t>
            </w:r>
            <w:proofErr w:type="gramEnd"/>
            <w:r w:rsidRPr="00760E30">
              <w:rPr>
                <w:b/>
                <w:bCs/>
                <w:sz w:val="24"/>
                <w:szCs w:val="24"/>
                <w:lang w:val="es-ES"/>
              </w:rPr>
              <w:t xml:space="preserve"> y resumen del orden del día</w:t>
            </w:r>
          </w:p>
        </w:tc>
      </w:tr>
      <w:tr w:rsidR="00376E0D" w:rsidRPr="00760E30" w14:paraId="04CC165E" w14:textId="77777777" w:rsidTr="004E4BAA">
        <w:trPr>
          <w:trHeight w:val="679"/>
        </w:trPr>
        <w:tc>
          <w:tcPr>
            <w:tcW w:w="2263" w:type="dxa"/>
          </w:tcPr>
          <w:p w14:paraId="091B4313" w14:textId="2A1646A8" w:rsidR="00376E0D" w:rsidRPr="00760E30" w:rsidRDefault="00376E0D" w:rsidP="004E4BAA">
            <w:pPr>
              <w:pStyle w:val="TableText"/>
              <w:rPr>
                <w:rFonts w:cs="Calibri"/>
                <w:sz w:val="24"/>
                <w:szCs w:val="24"/>
              </w:rPr>
            </w:pPr>
            <w:r w:rsidRPr="00760E30">
              <w:rPr>
                <w:sz w:val="24"/>
                <w:szCs w:val="24"/>
                <w:lang w:val="es-ES"/>
              </w:rPr>
              <w:t>13.15 – 13.35 horas</w:t>
            </w:r>
          </w:p>
        </w:tc>
        <w:tc>
          <w:tcPr>
            <w:tcW w:w="7366" w:type="dxa"/>
          </w:tcPr>
          <w:p w14:paraId="49682474" w14:textId="103BC06F"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b/>
                <w:bCs/>
                <w:sz w:val="24"/>
                <w:szCs w:val="24"/>
                <w:lang w:val="es-ES"/>
              </w:rPr>
              <w:t>3</w:t>
            </w:r>
            <w:r w:rsidRPr="00760E30">
              <w:rPr>
                <w:sz w:val="24"/>
                <w:szCs w:val="24"/>
                <w:lang w:val="es-ES"/>
              </w:rPr>
              <w:tab/>
            </w:r>
            <w:proofErr w:type="gramStart"/>
            <w:r w:rsidRPr="00760E30">
              <w:rPr>
                <w:b/>
                <w:bCs/>
                <w:sz w:val="24"/>
                <w:szCs w:val="24"/>
                <w:lang w:val="es-ES"/>
              </w:rPr>
              <w:t>Descripción</w:t>
            </w:r>
            <w:proofErr w:type="gramEnd"/>
            <w:r w:rsidRPr="00760E30">
              <w:rPr>
                <w:b/>
                <w:bCs/>
                <w:sz w:val="24"/>
                <w:szCs w:val="24"/>
                <w:lang w:val="es-ES"/>
              </w:rPr>
              <w:t xml:space="preserve"> general del Foro de OpenWallet</w:t>
            </w:r>
          </w:p>
          <w:p w14:paraId="75E8F356" w14:textId="5F520B4F" w:rsidR="00376E0D" w:rsidRPr="00760E30" w:rsidRDefault="00376E0D" w:rsidP="004E4BAA">
            <w:pPr>
              <w:pStyle w:val="TableText"/>
              <w:tabs>
                <w:tab w:val="clear" w:pos="284"/>
                <w:tab w:val="clear" w:pos="567"/>
                <w:tab w:val="clear" w:pos="851"/>
                <w:tab w:val="left" w:pos="603"/>
                <w:tab w:val="left" w:pos="1028"/>
              </w:tabs>
              <w:rPr>
                <w:rFonts w:cs="Calibri"/>
                <w:sz w:val="24"/>
                <w:szCs w:val="24"/>
              </w:rPr>
            </w:pPr>
            <w:r w:rsidRPr="00760E30">
              <w:rPr>
                <w:b/>
                <w:bCs/>
                <w:sz w:val="24"/>
                <w:szCs w:val="24"/>
                <w:lang w:val="es-ES"/>
              </w:rPr>
              <w:t>4</w:t>
            </w:r>
            <w:r w:rsidRPr="00760E30">
              <w:rPr>
                <w:sz w:val="24"/>
                <w:szCs w:val="24"/>
                <w:lang w:val="es-ES"/>
              </w:rPr>
              <w:tab/>
            </w:r>
            <w:proofErr w:type="gramStart"/>
            <w:r w:rsidRPr="00760E30">
              <w:rPr>
                <w:b/>
                <w:bCs/>
                <w:sz w:val="24"/>
                <w:szCs w:val="24"/>
                <w:lang w:val="es-ES"/>
              </w:rPr>
              <w:t>Mandato</w:t>
            </w:r>
            <w:proofErr w:type="gramEnd"/>
            <w:r w:rsidRPr="00760E30">
              <w:rPr>
                <w:b/>
                <w:bCs/>
                <w:sz w:val="24"/>
                <w:szCs w:val="24"/>
                <w:lang w:val="es-ES"/>
              </w:rPr>
              <w:t xml:space="preserve"> del GCC</w:t>
            </w:r>
          </w:p>
        </w:tc>
      </w:tr>
      <w:tr w:rsidR="00376E0D" w:rsidRPr="00760E30" w14:paraId="3DAB9360" w14:textId="77777777" w:rsidTr="004E4BAA">
        <w:trPr>
          <w:trHeight w:val="1921"/>
        </w:trPr>
        <w:tc>
          <w:tcPr>
            <w:tcW w:w="2263" w:type="dxa"/>
          </w:tcPr>
          <w:p w14:paraId="2482CBD2" w14:textId="367B968B" w:rsidR="00376E0D" w:rsidRPr="00760E30" w:rsidRDefault="00376E0D" w:rsidP="004E4BAA">
            <w:pPr>
              <w:pStyle w:val="TableText"/>
              <w:rPr>
                <w:rFonts w:cs="Calibri"/>
                <w:sz w:val="24"/>
                <w:szCs w:val="24"/>
              </w:rPr>
            </w:pPr>
            <w:r w:rsidRPr="00760E30">
              <w:rPr>
                <w:sz w:val="24"/>
                <w:szCs w:val="24"/>
                <w:lang w:val="es-ES"/>
              </w:rPr>
              <w:t>13.35 – 14.15 horas</w:t>
            </w:r>
          </w:p>
        </w:tc>
        <w:tc>
          <w:tcPr>
            <w:tcW w:w="7366" w:type="dxa"/>
          </w:tcPr>
          <w:p w14:paraId="0478BF23" w14:textId="6988C8C0" w:rsidR="00376E0D" w:rsidRPr="00760E30" w:rsidRDefault="00376E0D" w:rsidP="004E4BAA">
            <w:pPr>
              <w:pStyle w:val="TableText"/>
              <w:tabs>
                <w:tab w:val="clear" w:pos="284"/>
                <w:tab w:val="clear" w:pos="567"/>
                <w:tab w:val="clear" w:pos="851"/>
                <w:tab w:val="left" w:pos="603"/>
                <w:tab w:val="left" w:pos="1028"/>
              </w:tabs>
              <w:rPr>
                <w:rFonts w:cs="Calibri"/>
                <w:b/>
                <w:bCs/>
                <w:sz w:val="24"/>
                <w:szCs w:val="24"/>
                <w:lang w:val="es-ES"/>
              </w:rPr>
            </w:pPr>
            <w:r w:rsidRPr="00760E30">
              <w:rPr>
                <w:b/>
                <w:bCs/>
                <w:sz w:val="24"/>
                <w:szCs w:val="24"/>
                <w:lang w:val="es-ES"/>
              </w:rPr>
              <w:t>5</w:t>
            </w:r>
            <w:r w:rsidRPr="00760E30">
              <w:rPr>
                <w:sz w:val="24"/>
                <w:szCs w:val="24"/>
                <w:lang w:val="es-ES"/>
              </w:rPr>
              <w:tab/>
            </w:r>
            <w:proofErr w:type="gramStart"/>
            <w:r w:rsidRPr="00760E30">
              <w:rPr>
                <w:b/>
                <w:bCs/>
                <w:sz w:val="24"/>
                <w:szCs w:val="24"/>
                <w:lang w:val="es-ES"/>
              </w:rPr>
              <w:t>Liderazgo</w:t>
            </w:r>
            <w:proofErr w:type="gramEnd"/>
            <w:r w:rsidRPr="00760E30">
              <w:rPr>
                <w:b/>
                <w:bCs/>
                <w:sz w:val="24"/>
                <w:szCs w:val="24"/>
                <w:lang w:val="es-ES"/>
              </w:rPr>
              <w:t xml:space="preserve"> del CCG</w:t>
            </w:r>
          </w:p>
          <w:p w14:paraId="4108C4FC" w14:textId="77777777" w:rsidR="00376E0D" w:rsidRPr="00760E30" w:rsidRDefault="00376E0D" w:rsidP="004E4BAA">
            <w:pPr>
              <w:pStyle w:val="TableText"/>
              <w:tabs>
                <w:tab w:val="clear" w:pos="284"/>
                <w:tab w:val="clear" w:pos="567"/>
                <w:tab w:val="clear" w:pos="851"/>
                <w:tab w:val="left" w:pos="603"/>
                <w:tab w:val="left" w:pos="1028"/>
              </w:tabs>
              <w:rPr>
                <w:rFonts w:cs="Calibri"/>
                <w:b/>
                <w:bCs/>
                <w:sz w:val="24"/>
                <w:szCs w:val="24"/>
                <w:lang w:val="es-ES"/>
              </w:rPr>
            </w:pPr>
            <w:r w:rsidRPr="00760E30">
              <w:rPr>
                <w:b/>
                <w:bCs/>
                <w:sz w:val="24"/>
                <w:szCs w:val="24"/>
                <w:lang w:val="es-ES"/>
              </w:rPr>
              <w:t>6</w:t>
            </w:r>
            <w:r w:rsidRPr="00760E30">
              <w:rPr>
                <w:sz w:val="24"/>
                <w:szCs w:val="24"/>
                <w:lang w:val="es-ES"/>
              </w:rPr>
              <w:tab/>
            </w:r>
            <w:proofErr w:type="gramStart"/>
            <w:r w:rsidRPr="00760E30">
              <w:rPr>
                <w:b/>
                <w:bCs/>
                <w:sz w:val="24"/>
                <w:szCs w:val="24"/>
                <w:lang w:val="es-ES"/>
              </w:rPr>
              <w:t>Información</w:t>
            </w:r>
            <w:proofErr w:type="gramEnd"/>
            <w:r w:rsidRPr="00760E30">
              <w:rPr>
                <w:b/>
                <w:bCs/>
                <w:sz w:val="24"/>
                <w:szCs w:val="24"/>
                <w:lang w:val="es-ES"/>
              </w:rPr>
              <w:t xml:space="preserve"> sobre los próximos eventos del Foro de OpenWallet</w:t>
            </w:r>
          </w:p>
          <w:p w14:paraId="0879D1C4" w14:textId="386F4D22" w:rsidR="00376E0D" w:rsidRPr="00760E30" w:rsidRDefault="00376E0D" w:rsidP="004E4BAA">
            <w:pPr>
              <w:pStyle w:val="TableText"/>
              <w:tabs>
                <w:tab w:val="clear" w:pos="284"/>
                <w:tab w:val="clear" w:pos="567"/>
                <w:tab w:val="clear" w:pos="851"/>
                <w:tab w:val="left" w:pos="603"/>
                <w:tab w:val="left" w:pos="1028"/>
              </w:tabs>
              <w:ind w:left="603" w:hanging="603"/>
              <w:rPr>
                <w:rFonts w:cs="Calibri"/>
                <w:sz w:val="24"/>
                <w:szCs w:val="24"/>
                <w:lang w:val="es-ES"/>
              </w:rPr>
            </w:pPr>
            <w:r w:rsidRPr="00760E30">
              <w:rPr>
                <w:b/>
                <w:bCs/>
                <w:sz w:val="24"/>
                <w:szCs w:val="24"/>
                <w:lang w:val="es-ES"/>
              </w:rPr>
              <w:t>6.1</w:t>
            </w:r>
            <w:r w:rsidRPr="00760E30">
              <w:rPr>
                <w:sz w:val="24"/>
                <w:szCs w:val="24"/>
                <w:lang w:val="es-ES"/>
              </w:rPr>
              <w:tab/>
            </w:r>
            <w:r w:rsidRPr="00760E30">
              <w:rPr>
                <w:b/>
                <w:bCs/>
                <w:sz w:val="24"/>
                <w:szCs w:val="24"/>
                <w:lang w:val="es-ES"/>
              </w:rPr>
              <w:t>Reunión del Panel de Alto Nivel del Foro OpenWallet en Davos, 22 de enero de 2025 (por confirmar)</w:t>
            </w:r>
          </w:p>
          <w:p w14:paraId="4470F3FD" w14:textId="21955F4F"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sz w:val="24"/>
                <w:szCs w:val="24"/>
                <w:lang w:val="es-ES"/>
              </w:rPr>
              <w:t>•</w:t>
            </w:r>
            <w:r w:rsidRPr="00760E30">
              <w:rPr>
                <w:sz w:val="24"/>
                <w:szCs w:val="24"/>
                <w:lang w:val="es-ES"/>
              </w:rPr>
              <w:tab/>
              <w:t>Examinar el proyecto de orden del día y recabar contribuciones.</w:t>
            </w:r>
          </w:p>
          <w:p w14:paraId="48D20F8E" w14:textId="50E17F4F" w:rsidR="00376E0D" w:rsidRPr="00760E30" w:rsidRDefault="00376E0D" w:rsidP="004E4BAA">
            <w:pPr>
              <w:pStyle w:val="TableText"/>
              <w:rPr>
                <w:rFonts w:cs="Calibri"/>
                <w:sz w:val="24"/>
                <w:szCs w:val="24"/>
                <w:lang w:val="es-ES"/>
              </w:rPr>
            </w:pPr>
            <w:r w:rsidRPr="00760E30">
              <w:rPr>
                <w:b/>
                <w:bCs/>
                <w:sz w:val="24"/>
                <w:szCs w:val="24"/>
                <w:lang w:val="es-ES"/>
              </w:rPr>
              <w:t>6.2</w:t>
            </w:r>
            <w:r w:rsidRPr="00760E30">
              <w:rPr>
                <w:sz w:val="24"/>
                <w:szCs w:val="24"/>
                <w:lang w:val="es-ES"/>
              </w:rPr>
              <w:tab/>
            </w:r>
            <w:r w:rsidRPr="00760E30">
              <w:rPr>
                <w:b/>
                <w:bCs/>
                <w:sz w:val="24"/>
                <w:szCs w:val="24"/>
                <w:lang w:val="es-ES"/>
              </w:rPr>
              <w:t xml:space="preserve">Reunión </w:t>
            </w:r>
            <w:proofErr w:type="spellStart"/>
            <w:r w:rsidRPr="00760E30">
              <w:rPr>
                <w:b/>
                <w:bCs/>
                <w:sz w:val="24"/>
                <w:szCs w:val="24"/>
                <w:lang w:val="es-ES"/>
              </w:rPr>
              <w:t>multipartita</w:t>
            </w:r>
            <w:proofErr w:type="spellEnd"/>
            <w:r w:rsidRPr="00760E30">
              <w:rPr>
                <w:b/>
                <w:bCs/>
                <w:sz w:val="24"/>
                <w:szCs w:val="24"/>
                <w:lang w:val="es-ES"/>
              </w:rPr>
              <w:t>, julio de 2025</w:t>
            </w:r>
          </w:p>
        </w:tc>
      </w:tr>
      <w:tr w:rsidR="00376E0D" w:rsidRPr="00760E30" w14:paraId="5A26E6F7" w14:textId="77777777" w:rsidTr="004E4BAA">
        <w:tc>
          <w:tcPr>
            <w:tcW w:w="2263" w:type="dxa"/>
          </w:tcPr>
          <w:p w14:paraId="7A41AD14" w14:textId="560B4A5E" w:rsidR="00376E0D" w:rsidRPr="00760E30" w:rsidRDefault="00376E0D" w:rsidP="004E4BAA">
            <w:pPr>
              <w:pStyle w:val="TableText"/>
              <w:rPr>
                <w:rFonts w:cs="Calibri"/>
                <w:sz w:val="24"/>
                <w:szCs w:val="24"/>
              </w:rPr>
            </w:pPr>
            <w:r w:rsidRPr="00760E30">
              <w:rPr>
                <w:sz w:val="24"/>
                <w:szCs w:val="24"/>
                <w:lang w:val="es-ES"/>
              </w:rPr>
              <w:t>14.15 – 14.30 horas</w:t>
            </w:r>
          </w:p>
        </w:tc>
        <w:tc>
          <w:tcPr>
            <w:tcW w:w="7366" w:type="dxa"/>
          </w:tcPr>
          <w:p w14:paraId="4D8E78AD" w14:textId="19B7050E"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b/>
                <w:bCs/>
                <w:sz w:val="24"/>
                <w:szCs w:val="24"/>
                <w:lang w:val="es-ES"/>
              </w:rPr>
              <w:t>7</w:t>
            </w:r>
            <w:r w:rsidRPr="00760E30">
              <w:rPr>
                <w:sz w:val="24"/>
                <w:szCs w:val="24"/>
                <w:lang w:val="es-ES"/>
              </w:rPr>
              <w:tab/>
            </w:r>
            <w:proofErr w:type="gramStart"/>
            <w:r w:rsidRPr="00760E30">
              <w:rPr>
                <w:b/>
                <w:bCs/>
                <w:sz w:val="24"/>
                <w:szCs w:val="24"/>
                <w:lang w:val="es-ES"/>
              </w:rPr>
              <w:t>Próxima</w:t>
            </w:r>
            <w:proofErr w:type="gramEnd"/>
            <w:r w:rsidRPr="00760E30">
              <w:rPr>
                <w:b/>
                <w:bCs/>
                <w:sz w:val="24"/>
                <w:szCs w:val="24"/>
                <w:lang w:val="es-ES"/>
              </w:rPr>
              <w:t xml:space="preserve"> reunión</w:t>
            </w:r>
          </w:p>
          <w:p w14:paraId="4499C4FD" w14:textId="1D49A68E" w:rsidR="00376E0D" w:rsidRPr="00760E30" w:rsidRDefault="00376E0D" w:rsidP="004E4BAA">
            <w:pPr>
              <w:pStyle w:val="TableText"/>
              <w:tabs>
                <w:tab w:val="clear" w:pos="284"/>
                <w:tab w:val="clear" w:pos="567"/>
                <w:tab w:val="clear" w:pos="851"/>
                <w:tab w:val="left" w:pos="603"/>
                <w:tab w:val="left" w:pos="1028"/>
              </w:tabs>
              <w:rPr>
                <w:rFonts w:cs="Calibri"/>
                <w:sz w:val="24"/>
                <w:szCs w:val="24"/>
                <w:lang w:val="es-ES"/>
              </w:rPr>
            </w:pPr>
            <w:r w:rsidRPr="00760E30">
              <w:rPr>
                <w:b/>
                <w:bCs/>
                <w:sz w:val="24"/>
                <w:szCs w:val="24"/>
                <w:lang w:val="es-ES"/>
              </w:rPr>
              <w:t>8</w:t>
            </w:r>
            <w:r w:rsidRPr="00760E30">
              <w:rPr>
                <w:sz w:val="24"/>
                <w:szCs w:val="24"/>
                <w:lang w:val="es-ES"/>
              </w:rPr>
              <w:tab/>
            </w:r>
            <w:proofErr w:type="gramStart"/>
            <w:r w:rsidRPr="00760E30">
              <w:rPr>
                <w:b/>
                <w:bCs/>
                <w:sz w:val="24"/>
                <w:szCs w:val="24"/>
                <w:lang w:val="es-ES"/>
              </w:rPr>
              <w:t>Otros</w:t>
            </w:r>
            <w:proofErr w:type="gramEnd"/>
            <w:r w:rsidRPr="00760E30">
              <w:rPr>
                <w:b/>
                <w:bCs/>
                <w:sz w:val="24"/>
                <w:szCs w:val="24"/>
                <w:lang w:val="es-ES"/>
              </w:rPr>
              <w:t xml:space="preserve"> asuntos</w:t>
            </w:r>
          </w:p>
        </w:tc>
      </w:tr>
      <w:tr w:rsidR="00376E0D" w:rsidRPr="00760E30" w14:paraId="5DA57327" w14:textId="77777777" w:rsidTr="004E4BAA">
        <w:trPr>
          <w:trHeight w:val="551"/>
        </w:trPr>
        <w:tc>
          <w:tcPr>
            <w:tcW w:w="2263" w:type="dxa"/>
          </w:tcPr>
          <w:p w14:paraId="31AD486A" w14:textId="685A40FA" w:rsidR="00376E0D" w:rsidRPr="00760E30" w:rsidRDefault="00376E0D" w:rsidP="004E4BAA">
            <w:pPr>
              <w:pStyle w:val="TableText"/>
              <w:rPr>
                <w:sz w:val="24"/>
                <w:szCs w:val="24"/>
                <w:lang w:val="es-ES"/>
              </w:rPr>
            </w:pPr>
            <w:r w:rsidRPr="00760E30">
              <w:rPr>
                <w:sz w:val="24"/>
                <w:szCs w:val="24"/>
                <w:lang w:val="es-ES"/>
              </w:rPr>
              <w:t>14.30</w:t>
            </w:r>
            <w:r w:rsidR="004E4BAA" w:rsidRPr="00760E30">
              <w:rPr>
                <w:sz w:val="24"/>
                <w:szCs w:val="24"/>
                <w:lang w:val="es-ES"/>
              </w:rPr>
              <w:t xml:space="preserve"> horas</w:t>
            </w:r>
          </w:p>
        </w:tc>
        <w:tc>
          <w:tcPr>
            <w:tcW w:w="7366" w:type="dxa"/>
          </w:tcPr>
          <w:p w14:paraId="5FBFD6EF" w14:textId="1BB0EF26" w:rsidR="00376E0D" w:rsidRPr="00760E30" w:rsidRDefault="00376E0D" w:rsidP="004E4BAA">
            <w:pPr>
              <w:pStyle w:val="TableText"/>
              <w:rPr>
                <w:b/>
                <w:bCs/>
                <w:sz w:val="24"/>
                <w:szCs w:val="24"/>
                <w:lang w:val="es-ES"/>
              </w:rPr>
            </w:pPr>
            <w:r w:rsidRPr="00760E30">
              <w:rPr>
                <w:sz w:val="24"/>
                <w:szCs w:val="24"/>
                <w:lang w:val="es-ES"/>
              </w:rPr>
              <w:t>Se levanta la sesión</w:t>
            </w:r>
          </w:p>
        </w:tc>
      </w:tr>
    </w:tbl>
    <w:p w14:paraId="1953FD61" w14:textId="77777777" w:rsidR="00376E0D" w:rsidRPr="00760E30" w:rsidRDefault="00376E0D" w:rsidP="00E267D7">
      <w:pPr>
        <w:spacing w:before="0" w:after="120"/>
        <w:rPr>
          <w:rFonts w:cs="Calibri"/>
          <w:szCs w:val="24"/>
        </w:rPr>
      </w:pPr>
    </w:p>
    <w:p w14:paraId="3501671A" w14:textId="77777777" w:rsidR="00E267D7" w:rsidRPr="00760E30" w:rsidRDefault="00E267D7" w:rsidP="00E267D7">
      <w:pPr>
        <w:tabs>
          <w:tab w:val="clear" w:pos="794"/>
          <w:tab w:val="clear" w:pos="1191"/>
          <w:tab w:val="clear" w:pos="1588"/>
          <w:tab w:val="clear" w:pos="1985"/>
        </w:tabs>
        <w:overflowPunct/>
        <w:autoSpaceDE/>
        <w:autoSpaceDN/>
        <w:adjustRightInd/>
        <w:spacing w:before="0"/>
        <w:textAlignment w:val="auto"/>
        <w:rPr>
          <w:rFonts w:cs="Calibri"/>
          <w:b/>
          <w:bCs/>
          <w:szCs w:val="24"/>
          <w:lang w:val="es-ES"/>
        </w:rPr>
      </w:pPr>
      <w:r w:rsidRPr="00760E30">
        <w:rPr>
          <w:rFonts w:cs="Calibri"/>
          <w:b/>
          <w:bCs/>
          <w:szCs w:val="24"/>
          <w:lang w:val="es-ES"/>
        </w:rPr>
        <w:br w:type="page"/>
      </w:r>
    </w:p>
    <w:p w14:paraId="6BCEAE26" w14:textId="030C01B6" w:rsidR="00E267D7" w:rsidRPr="00600D42" w:rsidRDefault="00E267D7" w:rsidP="0005521A">
      <w:pPr>
        <w:pStyle w:val="AnnexNotitle"/>
        <w:spacing w:after="360"/>
        <w:rPr>
          <w:rFonts w:cs="Calibri"/>
          <w:sz w:val="22"/>
          <w:szCs w:val="22"/>
          <w:lang w:val="es-ES"/>
        </w:rPr>
      </w:pPr>
      <w:r>
        <w:rPr>
          <w:bCs/>
          <w:lang w:val="es-ES"/>
        </w:rPr>
        <w:lastRenderedPageBreak/>
        <w:t>Anexo 2</w:t>
      </w:r>
      <w:r w:rsidR="0005521A">
        <w:rPr>
          <w:bCs/>
          <w:lang w:val="es-ES"/>
        </w:rPr>
        <w:br/>
      </w:r>
      <w:r w:rsidR="0005521A">
        <w:rPr>
          <w:bCs/>
          <w:lang w:val="es-ES"/>
        </w:rPr>
        <w:br/>
      </w:r>
      <w:r>
        <w:rPr>
          <w:bCs/>
          <w:lang w:val="es-ES"/>
        </w:rPr>
        <w:t>Ejemplo de texto para la carta de confirmación del nombramiento del representante del GCC</w:t>
      </w:r>
    </w:p>
    <w:p w14:paraId="4923DEF0" w14:textId="77777777" w:rsidR="0005521A" w:rsidRPr="00561A42" w:rsidRDefault="00E267D7" w:rsidP="0005521A">
      <w:pPr>
        <w:tabs>
          <w:tab w:val="clear" w:pos="794"/>
          <w:tab w:val="left" w:pos="993"/>
        </w:tabs>
        <w:spacing w:before="0"/>
        <w:ind w:left="1276" w:hanging="1217"/>
        <w:rPr>
          <w:szCs w:val="24"/>
          <w:lang w:val="pt-BR"/>
        </w:rPr>
      </w:pPr>
      <w:r w:rsidRPr="00561A42">
        <w:rPr>
          <w:szCs w:val="24"/>
          <w:lang w:val="pt-BR"/>
        </w:rPr>
        <w:t>A:</w:t>
      </w:r>
      <w:r w:rsidRPr="00561A42">
        <w:rPr>
          <w:szCs w:val="24"/>
          <w:lang w:val="pt-BR"/>
        </w:rPr>
        <w:tab/>
        <w:t xml:space="preserve">Sr. Seizo Onoe, Director, </w:t>
      </w:r>
    </w:p>
    <w:p w14:paraId="79266BF4" w14:textId="415085A5" w:rsidR="00E267D7" w:rsidRPr="00760E30" w:rsidRDefault="00E267D7" w:rsidP="0005521A">
      <w:pPr>
        <w:spacing w:before="0" w:after="240"/>
        <w:ind w:left="794" w:firstLine="198"/>
        <w:rPr>
          <w:rFonts w:cs="Calibri"/>
          <w:szCs w:val="24"/>
          <w:lang w:val="es-ES"/>
        </w:rPr>
      </w:pPr>
      <w:r w:rsidRPr="00760E30">
        <w:rPr>
          <w:szCs w:val="24"/>
          <w:lang w:val="es-ES"/>
        </w:rPr>
        <w:t>Oficina de Normalización de las Telecomunicaciones de la UIT (TSB)</w:t>
      </w:r>
    </w:p>
    <w:p w14:paraId="563C3942" w14:textId="750EBC1D" w:rsidR="00E267D7" w:rsidRPr="00760E30" w:rsidRDefault="00E267D7" w:rsidP="0005521A">
      <w:pPr>
        <w:tabs>
          <w:tab w:val="clear" w:pos="794"/>
          <w:tab w:val="clear" w:pos="1191"/>
          <w:tab w:val="clear" w:pos="1588"/>
          <w:tab w:val="clear" w:pos="1985"/>
          <w:tab w:val="left" w:pos="993"/>
          <w:tab w:val="left" w:pos="1134"/>
        </w:tabs>
        <w:spacing w:before="0" w:after="120"/>
        <w:ind w:left="993" w:hanging="934"/>
        <w:rPr>
          <w:rFonts w:cs="Calibri"/>
          <w:szCs w:val="24"/>
          <w:lang w:val="es-ES"/>
        </w:rPr>
      </w:pPr>
      <w:r w:rsidRPr="00760E30">
        <w:rPr>
          <w:b/>
          <w:bCs/>
          <w:szCs w:val="24"/>
          <w:lang w:val="es-ES"/>
        </w:rPr>
        <w:t>Asunto:</w:t>
      </w:r>
      <w:r w:rsidRPr="00760E30">
        <w:rPr>
          <w:szCs w:val="24"/>
          <w:lang w:val="es-ES"/>
        </w:rPr>
        <w:tab/>
      </w:r>
      <w:r w:rsidRPr="00760E30">
        <w:rPr>
          <w:b/>
          <w:bCs/>
          <w:szCs w:val="24"/>
          <w:lang w:val="es-ES"/>
        </w:rPr>
        <w:t>Foro OpenWallet: nominación de representantes(s) para la reunión del GCC y</w:t>
      </w:r>
      <w:r w:rsidR="00CC7DB2" w:rsidRPr="00760E30">
        <w:rPr>
          <w:b/>
          <w:bCs/>
          <w:szCs w:val="24"/>
          <w:lang w:val="es-ES"/>
        </w:rPr>
        <w:t xml:space="preserve"> participación en la</w:t>
      </w:r>
      <w:r w:rsidR="00CC7DB2" w:rsidRPr="00760E30">
        <w:rPr>
          <w:szCs w:val="24"/>
          <w:lang w:val="es-ES"/>
        </w:rPr>
        <w:t xml:space="preserve"> </w:t>
      </w:r>
      <w:r w:rsidR="00CC7DB2" w:rsidRPr="00760E30">
        <w:rPr>
          <w:b/>
          <w:bCs/>
          <w:szCs w:val="24"/>
          <w:lang w:val="es-ES"/>
        </w:rPr>
        <w:t>reunión del GCC del 6 de diciembre de 2024</w:t>
      </w:r>
    </w:p>
    <w:p w14:paraId="5F6D810D" w14:textId="77777777" w:rsidR="00E267D7" w:rsidRPr="00760E30" w:rsidRDefault="00E267D7" w:rsidP="0005521A">
      <w:pPr>
        <w:spacing w:before="360" w:after="120"/>
        <w:rPr>
          <w:rFonts w:cs="Calibri"/>
          <w:szCs w:val="24"/>
          <w:lang w:val="es-ES"/>
        </w:rPr>
      </w:pPr>
      <w:r w:rsidRPr="00760E30">
        <w:rPr>
          <w:szCs w:val="24"/>
          <w:lang w:val="es-ES"/>
        </w:rPr>
        <w:t>Estimado Sr. Onoe:</w:t>
      </w:r>
    </w:p>
    <w:p w14:paraId="06FCB508" w14:textId="77777777" w:rsidR="00E267D7" w:rsidRPr="00760E30" w:rsidRDefault="00E267D7" w:rsidP="00E267D7">
      <w:pPr>
        <w:spacing w:before="0" w:after="120"/>
        <w:rPr>
          <w:rFonts w:cs="Calibri"/>
          <w:szCs w:val="24"/>
          <w:lang w:val="es-ES"/>
        </w:rPr>
      </w:pPr>
      <w:r w:rsidRPr="00760E30">
        <w:rPr>
          <w:szCs w:val="24"/>
          <w:lang w:val="es-ES"/>
        </w:rPr>
        <w:t>El [ministerio, departamento u organismo] de [país] que se ocupa de los asuntos relacionados con [las cuestiones relativas a los monederos digitales] confirma formalmente su participación en el Comité Consultivo Gubernamental (GCC) del Foro OpenWallet. Se complace en nombrar a [nombre(s) del representante del GCC] como su(s) representante(s).</w:t>
      </w:r>
    </w:p>
    <w:p w14:paraId="15EA4836" w14:textId="77777777" w:rsidR="00E267D7" w:rsidRPr="00760E30" w:rsidRDefault="00E267D7" w:rsidP="00CC7DB2">
      <w:pPr>
        <w:spacing w:before="240" w:after="240"/>
        <w:rPr>
          <w:rFonts w:cs="Calibri"/>
          <w:szCs w:val="24"/>
          <w:lang w:val="es-ES"/>
        </w:rPr>
      </w:pPr>
      <w:r w:rsidRPr="00760E30">
        <w:rPr>
          <w:i/>
          <w:iCs/>
          <w:szCs w:val="24"/>
          <w:lang w:val="es-ES"/>
        </w:rPr>
        <w:t>[Sírvase especificar a continuación si la persona designada es el coordinador principal o el representante suplente designado]</w:t>
      </w:r>
    </w:p>
    <w:p w14:paraId="6CF464B7" w14:textId="77777777" w:rsidR="00E267D7" w:rsidRPr="00760E30" w:rsidRDefault="00E267D7" w:rsidP="00E267D7">
      <w:pPr>
        <w:spacing w:before="0" w:after="120"/>
        <w:rPr>
          <w:rFonts w:cs="Calibri"/>
          <w:szCs w:val="24"/>
          <w:lang w:val="es-ES"/>
        </w:rPr>
      </w:pPr>
      <w:r w:rsidRPr="00760E30">
        <w:rPr>
          <w:szCs w:val="24"/>
          <w:lang w:val="es-ES"/>
        </w:rPr>
        <w:t xml:space="preserve">A continuación, encontrará la información sobre los </w:t>
      </w:r>
      <w:proofErr w:type="gramStart"/>
      <w:r w:rsidRPr="00760E30">
        <w:rPr>
          <w:szCs w:val="24"/>
          <w:lang w:val="es-ES"/>
        </w:rPr>
        <w:t>representantes designados y los asesores designados</w:t>
      </w:r>
      <w:proofErr w:type="gramEnd"/>
      <w:r w:rsidRPr="00760E30">
        <w:rPr>
          <w:szCs w:val="24"/>
          <w:lang w:val="es-ES"/>
        </w:rPr>
        <w:t>:</w:t>
      </w:r>
    </w:p>
    <w:p w14:paraId="0B7B6F05" w14:textId="77777777" w:rsidR="00E267D7" w:rsidRPr="00760E30" w:rsidRDefault="00E267D7" w:rsidP="00CC7DB2">
      <w:pPr>
        <w:spacing w:before="40" w:after="40"/>
        <w:rPr>
          <w:rFonts w:cs="Calibri"/>
          <w:szCs w:val="24"/>
          <w:lang w:val="es-ES"/>
        </w:rPr>
      </w:pPr>
      <w:r w:rsidRPr="00760E30">
        <w:rPr>
          <w:szCs w:val="24"/>
          <w:lang w:val="es-ES"/>
        </w:rPr>
        <w:t>Prefijo o título:</w:t>
      </w:r>
    </w:p>
    <w:p w14:paraId="195EBF67" w14:textId="77777777" w:rsidR="00E267D7" w:rsidRPr="00760E30" w:rsidRDefault="00E267D7" w:rsidP="00CC7DB2">
      <w:pPr>
        <w:spacing w:before="40" w:after="40"/>
        <w:rPr>
          <w:rFonts w:cs="Calibri"/>
          <w:szCs w:val="24"/>
          <w:lang w:val="es-ES"/>
        </w:rPr>
      </w:pPr>
      <w:r w:rsidRPr="00760E30">
        <w:rPr>
          <w:szCs w:val="24"/>
          <w:lang w:val="es-ES"/>
        </w:rPr>
        <w:t>Nombre:</w:t>
      </w:r>
    </w:p>
    <w:p w14:paraId="62E188D0" w14:textId="77777777" w:rsidR="00E267D7" w:rsidRPr="00760E30" w:rsidRDefault="00E267D7" w:rsidP="00CC7DB2">
      <w:pPr>
        <w:spacing w:before="40" w:after="40"/>
        <w:rPr>
          <w:rFonts w:cs="Calibri"/>
          <w:szCs w:val="24"/>
          <w:lang w:val="es-ES"/>
        </w:rPr>
      </w:pPr>
      <w:r w:rsidRPr="00760E30">
        <w:rPr>
          <w:szCs w:val="24"/>
          <w:lang w:val="es-ES"/>
        </w:rPr>
        <w:t>Apellido:</w:t>
      </w:r>
    </w:p>
    <w:p w14:paraId="014A8ED3" w14:textId="77777777" w:rsidR="00E267D7" w:rsidRPr="00760E30" w:rsidRDefault="00E267D7" w:rsidP="00CC7DB2">
      <w:pPr>
        <w:spacing w:before="40" w:after="40"/>
        <w:rPr>
          <w:rFonts w:cs="Calibri"/>
          <w:szCs w:val="24"/>
          <w:lang w:val="es-ES"/>
        </w:rPr>
      </w:pPr>
      <w:r w:rsidRPr="00760E30">
        <w:rPr>
          <w:szCs w:val="24"/>
          <w:lang w:val="es-ES"/>
        </w:rPr>
        <w:t>Título del trabajo:</w:t>
      </w:r>
    </w:p>
    <w:p w14:paraId="2455E06A" w14:textId="77777777" w:rsidR="00E267D7" w:rsidRPr="00760E30" w:rsidRDefault="00E267D7" w:rsidP="00CC7DB2">
      <w:pPr>
        <w:spacing w:before="40" w:after="40"/>
        <w:rPr>
          <w:rFonts w:cs="Calibri"/>
          <w:szCs w:val="24"/>
          <w:lang w:val="es-ES"/>
        </w:rPr>
      </w:pPr>
      <w:r w:rsidRPr="00760E30">
        <w:rPr>
          <w:szCs w:val="24"/>
          <w:lang w:val="es-ES"/>
        </w:rPr>
        <w:t>Función en el GCC: [</w:t>
      </w:r>
      <w:r w:rsidRPr="00760E30">
        <w:rPr>
          <w:i/>
          <w:iCs/>
          <w:szCs w:val="24"/>
          <w:lang w:val="es-ES"/>
        </w:rPr>
        <w:t>especificar si es el coordinador principal o el representante suplente designado</w:t>
      </w:r>
      <w:r w:rsidRPr="00760E30">
        <w:rPr>
          <w:szCs w:val="24"/>
          <w:lang w:val="es-ES"/>
        </w:rPr>
        <w:t>]</w:t>
      </w:r>
    </w:p>
    <w:p w14:paraId="0D8EF8FC" w14:textId="77777777" w:rsidR="00E267D7" w:rsidRPr="00760E30" w:rsidRDefault="00E267D7" w:rsidP="00CC7DB2">
      <w:pPr>
        <w:spacing w:before="40" w:after="40"/>
        <w:rPr>
          <w:rFonts w:cs="Calibri"/>
          <w:szCs w:val="24"/>
          <w:lang w:val="es-ES"/>
        </w:rPr>
      </w:pPr>
      <w:r w:rsidRPr="00760E30">
        <w:rPr>
          <w:szCs w:val="24"/>
          <w:lang w:val="es-ES"/>
        </w:rPr>
        <w:t>Nombre de la organización:</w:t>
      </w:r>
    </w:p>
    <w:p w14:paraId="40F29C8C" w14:textId="77777777" w:rsidR="00E267D7" w:rsidRPr="00760E30" w:rsidRDefault="00E267D7" w:rsidP="00CC7DB2">
      <w:pPr>
        <w:spacing w:before="40" w:after="40"/>
        <w:rPr>
          <w:rFonts w:cs="Calibri"/>
          <w:szCs w:val="24"/>
          <w:lang w:val="es-ES"/>
        </w:rPr>
      </w:pPr>
      <w:r w:rsidRPr="00760E30">
        <w:rPr>
          <w:szCs w:val="24"/>
          <w:lang w:val="es-ES"/>
        </w:rPr>
        <w:t>Correo-e:</w:t>
      </w:r>
    </w:p>
    <w:p w14:paraId="7BFDEFE2" w14:textId="77777777" w:rsidR="00E267D7" w:rsidRPr="00760E30" w:rsidRDefault="00E267D7" w:rsidP="00CC7DB2">
      <w:pPr>
        <w:spacing w:before="240" w:after="240"/>
        <w:rPr>
          <w:rFonts w:cs="Calibri"/>
          <w:szCs w:val="24"/>
          <w:lang w:val="es-ES"/>
        </w:rPr>
      </w:pPr>
      <w:r w:rsidRPr="00760E30">
        <w:rPr>
          <w:szCs w:val="24"/>
          <w:lang w:val="es-ES"/>
        </w:rPr>
        <w:t>Atentamente,</w:t>
      </w:r>
    </w:p>
    <w:p w14:paraId="6DB3C10B" w14:textId="455E0704" w:rsidR="00E267D7" w:rsidRPr="00760E30" w:rsidRDefault="00E267D7" w:rsidP="00CC7DB2">
      <w:pPr>
        <w:spacing w:before="0" w:after="120"/>
        <w:rPr>
          <w:rFonts w:cs="Calibri"/>
          <w:szCs w:val="24"/>
          <w:lang w:val="es-ES"/>
        </w:rPr>
      </w:pPr>
      <w:r w:rsidRPr="00760E30">
        <w:rPr>
          <w:szCs w:val="24"/>
          <w:lang w:val="es-ES"/>
        </w:rPr>
        <w:t>[</w:t>
      </w:r>
      <w:r w:rsidRPr="00760E30">
        <w:rPr>
          <w:i/>
          <w:iCs/>
          <w:szCs w:val="24"/>
          <w:lang w:val="es-ES"/>
        </w:rPr>
        <w:t>Carta firmada por el funcionario superior del ministerio correspondiente</w:t>
      </w:r>
      <w:r w:rsidRPr="00760E30">
        <w:rPr>
          <w:szCs w:val="24"/>
          <w:lang w:val="es-ES"/>
        </w:rPr>
        <w:t>]</w:t>
      </w:r>
    </w:p>
    <w:sectPr w:rsidR="00E267D7" w:rsidRPr="00760E30"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E262" w14:textId="77777777" w:rsidR="00742E32" w:rsidRDefault="00742E32">
      <w:r>
        <w:separator/>
      </w:r>
    </w:p>
  </w:endnote>
  <w:endnote w:type="continuationSeparator" w:id="0">
    <w:p w14:paraId="2907237B" w14:textId="77777777" w:rsidR="00742E32" w:rsidRDefault="0074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D05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71154" w14:textId="77777777" w:rsidR="00742E32" w:rsidRDefault="00742E32">
      <w:r>
        <w:t>____________________</w:t>
      </w:r>
    </w:p>
  </w:footnote>
  <w:footnote w:type="continuationSeparator" w:id="0">
    <w:p w14:paraId="5574322A" w14:textId="77777777" w:rsidR="00742E32" w:rsidRDefault="0074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7EFC"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C11A68B" w14:textId="7F31CB1D" w:rsidR="00DC3B4C" w:rsidRPr="00303D62" w:rsidRDefault="00DC3B4C">
    <w:pPr>
      <w:pStyle w:val="Header"/>
      <w:rPr>
        <w:noProof/>
        <w:sz w:val="18"/>
        <w:szCs w:val="18"/>
      </w:rPr>
    </w:pPr>
    <w:r w:rsidRPr="00DC3B4C">
      <w:rPr>
        <w:rStyle w:val="PageNumber"/>
        <w:noProof/>
        <w:sz w:val="18"/>
        <w:szCs w:val="18"/>
      </w:rPr>
      <w:t>TSB Circular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C688C"/>
    <w:multiLevelType w:val="multilevel"/>
    <w:tmpl w:val="4216BFFA"/>
    <w:lvl w:ilvl="0">
      <w:start w:val="1"/>
      <w:numFmt w:val="bullet"/>
      <w:lvlText w:val=""/>
      <w:lvlJc w:val="left"/>
      <w:pPr>
        <w:tabs>
          <w:tab w:val="num" w:pos="1551"/>
        </w:tabs>
        <w:ind w:left="1551" w:hanging="360"/>
      </w:pPr>
      <w:rPr>
        <w:rFonts w:ascii="Symbol" w:hAnsi="Symbol" w:hint="default"/>
        <w:sz w:val="20"/>
      </w:rPr>
    </w:lvl>
    <w:lvl w:ilvl="1" w:tentative="1">
      <w:start w:val="1"/>
      <w:numFmt w:val="bullet"/>
      <w:lvlText w:val="o"/>
      <w:lvlJc w:val="left"/>
      <w:pPr>
        <w:tabs>
          <w:tab w:val="num" w:pos="2271"/>
        </w:tabs>
        <w:ind w:left="2271" w:hanging="360"/>
      </w:pPr>
      <w:rPr>
        <w:rFonts w:ascii="Courier New" w:hAnsi="Courier New" w:hint="default"/>
        <w:sz w:val="20"/>
      </w:rPr>
    </w:lvl>
    <w:lvl w:ilvl="2" w:tentative="1">
      <w:start w:val="1"/>
      <w:numFmt w:val="bullet"/>
      <w:lvlText w:val=""/>
      <w:lvlJc w:val="left"/>
      <w:pPr>
        <w:tabs>
          <w:tab w:val="num" w:pos="2991"/>
        </w:tabs>
        <w:ind w:left="2991" w:hanging="360"/>
      </w:pPr>
      <w:rPr>
        <w:rFonts w:ascii="Wingdings" w:hAnsi="Wingdings" w:hint="default"/>
        <w:sz w:val="20"/>
      </w:rPr>
    </w:lvl>
    <w:lvl w:ilvl="3" w:tentative="1">
      <w:start w:val="1"/>
      <w:numFmt w:val="bullet"/>
      <w:lvlText w:val=""/>
      <w:lvlJc w:val="left"/>
      <w:pPr>
        <w:tabs>
          <w:tab w:val="num" w:pos="3711"/>
        </w:tabs>
        <w:ind w:left="3711" w:hanging="360"/>
      </w:pPr>
      <w:rPr>
        <w:rFonts w:ascii="Wingdings" w:hAnsi="Wingdings" w:hint="default"/>
        <w:sz w:val="20"/>
      </w:rPr>
    </w:lvl>
    <w:lvl w:ilvl="4" w:tentative="1">
      <w:start w:val="1"/>
      <w:numFmt w:val="bullet"/>
      <w:lvlText w:val=""/>
      <w:lvlJc w:val="left"/>
      <w:pPr>
        <w:tabs>
          <w:tab w:val="num" w:pos="4431"/>
        </w:tabs>
        <w:ind w:left="4431" w:hanging="360"/>
      </w:pPr>
      <w:rPr>
        <w:rFonts w:ascii="Wingdings" w:hAnsi="Wingdings" w:hint="default"/>
        <w:sz w:val="20"/>
      </w:rPr>
    </w:lvl>
    <w:lvl w:ilvl="5" w:tentative="1">
      <w:start w:val="1"/>
      <w:numFmt w:val="bullet"/>
      <w:lvlText w:val=""/>
      <w:lvlJc w:val="left"/>
      <w:pPr>
        <w:tabs>
          <w:tab w:val="num" w:pos="5151"/>
        </w:tabs>
        <w:ind w:left="5151" w:hanging="360"/>
      </w:pPr>
      <w:rPr>
        <w:rFonts w:ascii="Wingdings" w:hAnsi="Wingdings" w:hint="default"/>
        <w:sz w:val="20"/>
      </w:rPr>
    </w:lvl>
    <w:lvl w:ilvl="6" w:tentative="1">
      <w:start w:val="1"/>
      <w:numFmt w:val="bullet"/>
      <w:lvlText w:val=""/>
      <w:lvlJc w:val="left"/>
      <w:pPr>
        <w:tabs>
          <w:tab w:val="num" w:pos="5871"/>
        </w:tabs>
        <w:ind w:left="5871" w:hanging="360"/>
      </w:pPr>
      <w:rPr>
        <w:rFonts w:ascii="Wingdings" w:hAnsi="Wingdings" w:hint="default"/>
        <w:sz w:val="20"/>
      </w:rPr>
    </w:lvl>
    <w:lvl w:ilvl="7" w:tentative="1">
      <w:start w:val="1"/>
      <w:numFmt w:val="bullet"/>
      <w:lvlText w:val=""/>
      <w:lvlJc w:val="left"/>
      <w:pPr>
        <w:tabs>
          <w:tab w:val="num" w:pos="6591"/>
        </w:tabs>
        <w:ind w:left="6591" w:hanging="360"/>
      </w:pPr>
      <w:rPr>
        <w:rFonts w:ascii="Wingdings" w:hAnsi="Wingdings" w:hint="default"/>
        <w:sz w:val="20"/>
      </w:rPr>
    </w:lvl>
    <w:lvl w:ilvl="8" w:tentative="1">
      <w:start w:val="1"/>
      <w:numFmt w:val="bullet"/>
      <w:lvlText w:val=""/>
      <w:lvlJc w:val="left"/>
      <w:pPr>
        <w:tabs>
          <w:tab w:val="num" w:pos="7311"/>
        </w:tabs>
        <w:ind w:left="7311" w:hanging="360"/>
      </w:pPr>
      <w:rPr>
        <w:rFonts w:ascii="Wingdings" w:hAnsi="Wingdings" w:hint="default"/>
        <w:sz w:val="20"/>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FE972F0"/>
    <w:multiLevelType w:val="hybridMultilevel"/>
    <w:tmpl w:val="645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E007714"/>
    <w:multiLevelType w:val="multilevel"/>
    <w:tmpl w:val="053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6"/>
  </w:num>
  <w:num w:numId="3" w16cid:durableId="1069613404">
    <w:abstractNumId w:val="5"/>
  </w:num>
  <w:num w:numId="4" w16cid:durableId="374936234">
    <w:abstractNumId w:val="3"/>
  </w:num>
  <w:num w:numId="5" w16cid:durableId="1472206877">
    <w:abstractNumId w:val="4"/>
  </w:num>
  <w:num w:numId="6" w16cid:durableId="442772354">
    <w:abstractNumId w:val="2"/>
  </w:num>
  <w:num w:numId="7" w16cid:durableId="70001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32"/>
    <w:rsid w:val="00002529"/>
    <w:rsid w:val="0004323D"/>
    <w:rsid w:val="0005521A"/>
    <w:rsid w:val="00062B9E"/>
    <w:rsid w:val="00085662"/>
    <w:rsid w:val="000C382F"/>
    <w:rsid w:val="001173CC"/>
    <w:rsid w:val="00126C1B"/>
    <w:rsid w:val="001350B9"/>
    <w:rsid w:val="0014464D"/>
    <w:rsid w:val="001859EF"/>
    <w:rsid w:val="00192B76"/>
    <w:rsid w:val="001A54CC"/>
    <w:rsid w:val="001E088D"/>
    <w:rsid w:val="00205515"/>
    <w:rsid w:val="00214AAC"/>
    <w:rsid w:val="00257FB4"/>
    <w:rsid w:val="002E496E"/>
    <w:rsid w:val="00303D62"/>
    <w:rsid w:val="00335367"/>
    <w:rsid w:val="00370C2D"/>
    <w:rsid w:val="00376E0D"/>
    <w:rsid w:val="003A3D36"/>
    <w:rsid w:val="003D1E8D"/>
    <w:rsid w:val="003D673B"/>
    <w:rsid w:val="003F2855"/>
    <w:rsid w:val="003F29F3"/>
    <w:rsid w:val="00401C20"/>
    <w:rsid w:val="004A7957"/>
    <w:rsid w:val="004C4144"/>
    <w:rsid w:val="004E4BAA"/>
    <w:rsid w:val="005477C6"/>
    <w:rsid w:val="0055719E"/>
    <w:rsid w:val="00561A42"/>
    <w:rsid w:val="00592295"/>
    <w:rsid w:val="00640D84"/>
    <w:rsid w:val="006543F6"/>
    <w:rsid w:val="006969B4"/>
    <w:rsid w:val="006E4F7B"/>
    <w:rsid w:val="00742E32"/>
    <w:rsid w:val="00760E30"/>
    <w:rsid w:val="00781E2A"/>
    <w:rsid w:val="007933A2"/>
    <w:rsid w:val="007B6316"/>
    <w:rsid w:val="00801955"/>
    <w:rsid w:val="00814503"/>
    <w:rsid w:val="008258C2"/>
    <w:rsid w:val="008505BD"/>
    <w:rsid w:val="00850C78"/>
    <w:rsid w:val="008520C8"/>
    <w:rsid w:val="00876165"/>
    <w:rsid w:val="00884D12"/>
    <w:rsid w:val="008C17AD"/>
    <w:rsid w:val="008D02CD"/>
    <w:rsid w:val="008F2ED3"/>
    <w:rsid w:val="0091370C"/>
    <w:rsid w:val="0095172A"/>
    <w:rsid w:val="00962A40"/>
    <w:rsid w:val="009A0BA0"/>
    <w:rsid w:val="009D30AE"/>
    <w:rsid w:val="00A54E47"/>
    <w:rsid w:val="00A87013"/>
    <w:rsid w:val="00AB6E3A"/>
    <w:rsid w:val="00AE7093"/>
    <w:rsid w:val="00B422BC"/>
    <w:rsid w:val="00B43F77"/>
    <w:rsid w:val="00B55A3E"/>
    <w:rsid w:val="00B87E9E"/>
    <w:rsid w:val="00B95F0A"/>
    <w:rsid w:val="00B96180"/>
    <w:rsid w:val="00BD2D41"/>
    <w:rsid w:val="00BE6C76"/>
    <w:rsid w:val="00C116FE"/>
    <w:rsid w:val="00C17AC0"/>
    <w:rsid w:val="00C34772"/>
    <w:rsid w:val="00C5465A"/>
    <w:rsid w:val="00CC7DB2"/>
    <w:rsid w:val="00D054D9"/>
    <w:rsid w:val="00D11332"/>
    <w:rsid w:val="00D54642"/>
    <w:rsid w:val="00D834E7"/>
    <w:rsid w:val="00DC3B4C"/>
    <w:rsid w:val="00DC661A"/>
    <w:rsid w:val="00DD77C9"/>
    <w:rsid w:val="00DF3538"/>
    <w:rsid w:val="00E267D7"/>
    <w:rsid w:val="00E44614"/>
    <w:rsid w:val="00E57B19"/>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43DA"/>
  <w15:docId w15:val="{2DF5E81F-E8E4-4D97-8E6F-5DB0B2AB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link w:val="ListParagraphChar"/>
    <w:uiPriority w:val="34"/>
    <w:qFormat/>
    <w:rsid w:val="00E267D7"/>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E267D7"/>
    <w:rPr>
      <w:rFonts w:ascii="Times New Roman" w:eastAsiaTheme="minorEastAsia" w:hAnsi="Times New Roman"/>
      <w:sz w:val="24"/>
      <w:szCs w:val="24"/>
      <w:lang w:val="en-GB" w:eastAsia="ja-JP"/>
    </w:rPr>
  </w:style>
  <w:style w:type="table" w:styleId="TableGrid">
    <w:name w:val="Table Grid"/>
    <w:basedOn w:val="TableNormal"/>
    <w:rsid w:val="0037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c-secretariat@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extcoop/openwalletforum/Pages/default.aspx/es" TargetMode="External"/><Relationship Id="rId4" Type="http://schemas.openxmlformats.org/officeDocument/2006/relationships/settings" Target="settings.xml"/><Relationship Id="rId9" Type="http://schemas.openxmlformats.org/officeDocument/2006/relationships/hyperlink" Target="https://openwallet.found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5</Pages>
  <Words>1352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9332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2024-11-22T16:51:00Z</dcterms:created>
  <dcterms:modified xsi:type="dcterms:W3CDTF">2024-11-22T16:51:00Z</dcterms:modified>
</cp:coreProperties>
</file>