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04" w:type="dxa"/>
        <w:tblInd w:w="-90" w:type="dxa"/>
        <w:tblLayout w:type="fixed"/>
        <w:tblCellMar>
          <w:left w:w="0" w:type="dxa"/>
          <w:right w:w="0" w:type="dxa"/>
        </w:tblCellMar>
        <w:tblLook w:val="0000" w:firstRow="0" w:lastRow="0" w:firstColumn="0" w:lastColumn="0" w:noHBand="0" w:noVBand="0"/>
      </w:tblPr>
      <w:tblGrid>
        <w:gridCol w:w="1350"/>
        <w:gridCol w:w="3625"/>
        <w:gridCol w:w="5329"/>
      </w:tblGrid>
      <w:tr w:rsidR="007B6316" w14:paraId="7D113D9D" w14:textId="77777777" w:rsidTr="00C615EA">
        <w:trPr>
          <w:cantSplit/>
          <w:trHeight w:val="340"/>
        </w:trPr>
        <w:tc>
          <w:tcPr>
            <w:tcW w:w="1350" w:type="dxa"/>
          </w:tcPr>
          <w:p w14:paraId="615B3E7E"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00F3B16B" wp14:editId="1FEA135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954" w:type="dxa"/>
            <w:gridSpan w:val="2"/>
            <w:vAlign w:val="center"/>
          </w:tcPr>
          <w:p w14:paraId="04794776"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3BB72B9F"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C615EA" w14:paraId="306A6068" w14:textId="77777777" w:rsidTr="00C615EA">
        <w:trPr>
          <w:cantSplit/>
          <w:trHeight w:val="340"/>
        </w:trPr>
        <w:tc>
          <w:tcPr>
            <w:tcW w:w="1350" w:type="dxa"/>
          </w:tcPr>
          <w:p w14:paraId="19759B7C" w14:textId="77777777" w:rsidR="007B6316" w:rsidRPr="00C615EA" w:rsidRDefault="007B6316" w:rsidP="00303D62">
            <w:pPr>
              <w:tabs>
                <w:tab w:val="left" w:pos="4111"/>
              </w:tabs>
              <w:spacing w:before="10"/>
              <w:ind w:left="57"/>
              <w:rPr>
                <w:b/>
                <w:bCs/>
                <w:sz w:val="22"/>
                <w:szCs w:val="22"/>
              </w:rPr>
            </w:pPr>
          </w:p>
        </w:tc>
        <w:tc>
          <w:tcPr>
            <w:tcW w:w="3625" w:type="dxa"/>
          </w:tcPr>
          <w:p w14:paraId="4FDAA9CE" w14:textId="77777777" w:rsidR="007B6316" w:rsidRPr="00C615EA" w:rsidRDefault="007B6316" w:rsidP="00303D62">
            <w:pPr>
              <w:tabs>
                <w:tab w:val="left" w:pos="4111"/>
              </w:tabs>
              <w:spacing w:before="0"/>
              <w:ind w:left="57"/>
              <w:rPr>
                <w:b/>
                <w:sz w:val="22"/>
                <w:szCs w:val="22"/>
              </w:rPr>
            </w:pPr>
          </w:p>
        </w:tc>
        <w:tc>
          <w:tcPr>
            <w:tcW w:w="5329" w:type="dxa"/>
          </w:tcPr>
          <w:p w14:paraId="12B121CD" w14:textId="13B6790A" w:rsidR="007B6316" w:rsidRPr="00C615EA" w:rsidRDefault="007B6316" w:rsidP="007B6316">
            <w:pPr>
              <w:tabs>
                <w:tab w:val="clear" w:pos="794"/>
                <w:tab w:val="clear" w:pos="1191"/>
                <w:tab w:val="clear" w:pos="1588"/>
                <w:tab w:val="clear" w:pos="1985"/>
                <w:tab w:val="left" w:pos="284"/>
              </w:tabs>
              <w:spacing w:after="120"/>
              <w:ind w:left="284" w:hanging="227"/>
              <w:rPr>
                <w:sz w:val="22"/>
                <w:szCs w:val="22"/>
              </w:rPr>
            </w:pPr>
            <w:r w:rsidRPr="00C615EA">
              <w:rPr>
                <w:sz w:val="22"/>
                <w:szCs w:val="22"/>
              </w:rPr>
              <w:t>Ginebra,</w:t>
            </w:r>
            <w:r w:rsidR="007E1140" w:rsidRPr="00C615EA">
              <w:rPr>
                <w:sz w:val="22"/>
                <w:szCs w:val="22"/>
              </w:rPr>
              <w:t xml:space="preserve"> 14 de enero de 2025</w:t>
            </w:r>
          </w:p>
        </w:tc>
      </w:tr>
      <w:tr w:rsidR="001350B9" w:rsidRPr="00C615EA" w14:paraId="7E4DC16B" w14:textId="77777777" w:rsidTr="00C615EA">
        <w:trPr>
          <w:cantSplit/>
          <w:trHeight w:val="340"/>
        </w:trPr>
        <w:tc>
          <w:tcPr>
            <w:tcW w:w="1350" w:type="dxa"/>
          </w:tcPr>
          <w:p w14:paraId="7C0152B0" w14:textId="77777777" w:rsidR="001350B9" w:rsidRPr="00C615EA" w:rsidRDefault="001350B9" w:rsidP="00303D62">
            <w:pPr>
              <w:tabs>
                <w:tab w:val="left" w:pos="4111"/>
              </w:tabs>
              <w:spacing w:before="10"/>
              <w:ind w:left="57"/>
              <w:rPr>
                <w:sz w:val="22"/>
                <w:szCs w:val="22"/>
              </w:rPr>
            </w:pPr>
            <w:r w:rsidRPr="00C615EA">
              <w:rPr>
                <w:sz w:val="22"/>
                <w:szCs w:val="22"/>
              </w:rPr>
              <w:t>Ref.:</w:t>
            </w:r>
          </w:p>
          <w:p w14:paraId="59CE3321" w14:textId="77777777" w:rsidR="001350B9" w:rsidRPr="00C615EA" w:rsidRDefault="001350B9" w:rsidP="007B6316">
            <w:pPr>
              <w:tabs>
                <w:tab w:val="left" w:pos="4111"/>
              </w:tabs>
              <w:spacing w:before="10"/>
              <w:ind w:left="57"/>
              <w:rPr>
                <w:sz w:val="22"/>
                <w:szCs w:val="22"/>
              </w:rPr>
            </w:pPr>
          </w:p>
        </w:tc>
        <w:tc>
          <w:tcPr>
            <w:tcW w:w="3625" w:type="dxa"/>
          </w:tcPr>
          <w:p w14:paraId="568C694E" w14:textId="4E8BCDD3" w:rsidR="001350B9" w:rsidRPr="00C615EA" w:rsidRDefault="001350B9" w:rsidP="00303D62">
            <w:pPr>
              <w:tabs>
                <w:tab w:val="left" w:pos="4111"/>
              </w:tabs>
              <w:spacing w:before="0"/>
              <w:ind w:left="57"/>
              <w:rPr>
                <w:b/>
                <w:sz w:val="22"/>
                <w:szCs w:val="22"/>
              </w:rPr>
            </w:pPr>
            <w:r w:rsidRPr="00C615EA">
              <w:rPr>
                <w:b/>
                <w:sz w:val="22"/>
                <w:szCs w:val="22"/>
              </w:rPr>
              <w:t xml:space="preserve">Circular TSB </w:t>
            </w:r>
            <w:r w:rsidR="007E1140" w:rsidRPr="00C615EA">
              <w:rPr>
                <w:b/>
                <w:sz w:val="22"/>
                <w:szCs w:val="22"/>
              </w:rPr>
              <w:t>004</w:t>
            </w:r>
          </w:p>
          <w:p w14:paraId="0DD83087" w14:textId="568C328B" w:rsidR="001350B9" w:rsidRPr="00C615EA" w:rsidRDefault="007E1140" w:rsidP="007E1140">
            <w:pPr>
              <w:tabs>
                <w:tab w:val="left" w:pos="4111"/>
              </w:tabs>
              <w:spacing w:before="0"/>
              <w:ind w:left="57"/>
              <w:rPr>
                <w:sz w:val="22"/>
                <w:szCs w:val="22"/>
              </w:rPr>
            </w:pPr>
            <w:r w:rsidRPr="00C615EA">
              <w:rPr>
                <w:sz w:val="22"/>
                <w:szCs w:val="22"/>
              </w:rPr>
              <w:t>FNC-2025/SP</w:t>
            </w:r>
          </w:p>
        </w:tc>
        <w:tc>
          <w:tcPr>
            <w:tcW w:w="5329" w:type="dxa"/>
            <w:vMerge w:val="restart"/>
          </w:tcPr>
          <w:p w14:paraId="7634AAA7" w14:textId="251B78D4" w:rsidR="007E1140" w:rsidRPr="00C615EA" w:rsidRDefault="001350B9" w:rsidP="00C615EA">
            <w:pPr>
              <w:tabs>
                <w:tab w:val="clear" w:pos="794"/>
                <w:tab w:val="clear" w:pos="1191"/>
                <w:tab w:val="clear" w:pos="1588"/>
                <w:tab w:val="clear" w:pos="1985"/>
                <w:tab w:val="left" w:pos="284"/>
              </w:tabs>
              <w:spacing w:before="0" w:after="40"/>
              <w:ind w:left="288" w:hanging="230"/>
              <w:rPr>
                <w:sz w:val="22"/>
                <w:szCs w:val="22"/>
              </w:rPr>
            </w:pPr>
            <w:bookmarkStart w:id="0" w:name="Addressee_S"/>
            <w:bookmarkEnd w:id="0"/>
            <w:r w:rsidRPr="00C615EA">
              <w:rPr>
                <w:sz w:val="22"/>
                <w:szCs w:val="22"/>
              </w:rPr>
              <w:t>-</w:t>
            </w:r>
            <w:r w:rsidRPr="00C615EA">
              <w:rPr>
                <w:sz w:val="22"/>
                <w:szCs w:val="22"/>
              </w:rPr>
              <w:tab/>
              <w:t>A las Administraciones de los Estados Miembros de la Unión</w:t>
            </w:r>
            <w:r w:rsidR="007E1140" w:rsidRPr="00C615EA">
              <w:rPr>
                <w:sz w:val="22"/>
                <w:szCs w:val="22"/>
              </w:rPr>
              <w:t>;</w:t>
            </w:r>
          </w:p>
          <w:p w14:paraId="029CC3DF" w14:textId="58934719" w:rsidR="007E1140" w:rsidRPr="00C615EA" w:rsidRDefault="001350B9" w:rsidP="00C615EA">
            <w:pPr>
              <w:tabs>
                <w:tab w:val="clear" w:pos="794"/>
                <w:tab w:val="clear" w:pos="1191"/>
                <w:tab w:val="clear" w:pos="1588"/>
                <w:tab w:val="clear" w:pos="1985"/>
                <w:tab w:val="left" w:pos="284"/>
              </w:tabs>
              <w:spacing w:before="0" w:after="40"/>
              <w:ind w:left="288" w:hanging="230"/>
              <w:rPr>
                <w:sz w:val="22"/>
                <w:szCs w:val="22"/>
              </w:rPr>
            </w:pPr>
            <w:r w:rsidRPr="00C615EA">
              <w:rPr>
                <w:sz w:val="22"/>
                <w:szCs w:val="22"/>
              </w:rPr>
              <w:t>-</w:t>
            </w:r>
            <w:r w:rsidRPr="00C615EA">
              <w:rPr>
                <w:sz w:val="22"/>
                <w:szCs w:val="22"/>
              </w:rPr>
              <w:tab/>
              <w:t xml:space="preserve">A los Miembros de Sector </w:t>
            </w:r>
            <w:r w:rsidR="007E1140" w:rsidRPr="00C615EA">
              <w:rPr>
                <w:sz w:val="22"/>
                <w:szCs w:val="22"/>
              </w:rPr>
              <w:t xml:space="preserve">del </w:t>
            </w:r>
            <w:r w:rsidRPr="00C615EA">
              <w:rPr>
                <w:sz w:val="22"/>
                <w:szCs w:val="22"/>
              </w:rPr>
              <w:t>UIT</w:t>
            </w:r>
            <w:r w:rsidRPr="00C615EA">
              <w:rPr>
                <w:sz w:val="22"/>
                <w:szCs w:val="22"/>
              </w:rPr>
              <w:noBreakHyphen/>
              <w:t>T;</w:t>
            </w:r>
          </w:p>
          <w:p w14:paraId="51DBF8DC" w14:textId="77777777" w:rsidR="007E1140" w:rsidRPr="00C615EA" w:rsidRDefault="001350B9" w:rsidP="00C615EA">
            <w:pPr>
              <w:tabs>
                <w:tab w:val="clear" w:pos="794"/>
                <w:tab w:val="clear" w:pos="1191"/>
                <w:tab w:val="clear" w:pos="1588"/>
                <w:tab w:val="clear" w:pos="1985"/>
                <w:tab w:val="left" w:pos="284"/>
              </w:tabs>
              <w:spacing w:before="0" w:after="40"/>
              <w:ind w:left="288" w:hanging="230"/>
              <w:rPr>
                <w:sz w:val="22"/>
                <w:szCs w:val="22"/>
              </w:rPr>
            </w:pPr>
            <w:r w:rsidRPr="00C615EA">
              <w:rPr>
                <w:sz w:val="22"/>
                <w:szCs w:val="22"/>
              </w:rPr>
              <w:t>-</w:t>
            </w:r>
            <w:r w:rsidRPr="00C615EA">
              <w:rPr>
                <w:sz w:val="22"/>
                <w:szCs w:val="22"/>
              </w:rPr>
              <w:tab/>
              <w:t>A los Asociados del UIT</w:t>
            </w:r>
            <w:r w:rsidRPr="00C615EA">
              <w:rPr>
                <w:sz w:val="22"/>
                <w:szCs w:val="22"/>
              </w:rPr>
              <w:noBreakHyphen/>
              <w:t>T;</w:t>
            </w:r>
          </w:p>
          <w:p w14:paraId="3126F463" w14:textId="45A77D18" w:rsidR="007E1140" w:rsidRPr="00C615EA" w:rsidRDefault="001350B9" w:rsidP="00C615EA">
            <w:pPr>
              <w:tabs>
                <w:tab w:val="clear" w:pos="794"/>
                <w:tab w:val="clear" w:pos="1191"/>
                <w:tab w:val="clear" w:pos="1588"/>
                <w:tab w:val="clear" w:pos="1985"/>
                <w:tab w:val="left" w:pos="284"/>
              </w:tabs>
              <w:spacing w:before="0" w:after="40"/>
              <w:ind w:left="288" w:hanging="230"/>
              <w:rPr>
                <w:sz w:val="22"/>
                <w:szCs w:val="22"/>
              </w:rPr>
            </w:pPr>
            <w:r w:rsidRPr="00C615EA">
              <w:rPr>
                <w:sz w:val="22"/>
                <w:szCs w:val="22"/>
              </w:rPr>
              <w:t>-</w:t>
            </w:r>
            <w:r w:rsidRPr="00C615EA">
              <w:rPr>
                <w:sz w:val="22"/>
                <w:szCs w:val="22"/>
              </w:rPr>
              <w:tab/>
              <w:t>A las Instituciones Académicas de</w:t>
            </w:r>
            <w:r w:rsidR="007E1140" w:rsidRPr="00C615EA">
              <w:rPr>
                <w:sz w:val="22"/>
                <w:szCs w:val="22"/>
              </w:rPr>
              <w:t xml:space="preserve"> </w:t>
            </w:r>
            <w:r w:rsidRPr="00C615EA">
              <w:rPr>
                <w:sz w:val="22"/>
                <w:szCs w:val="22"/>
              </w:rPr>
              <w:t>l</w:t>
            </w:r>
            <w:r w:rsidR="007E1140" w:rsidRPr="00C615EA">
              <w:rPr>
                <w:sz w:val="22"/>
                <w:szCs w:val="22"/>
              </w:rPr>
              <w:t>a</w:t>
            </w:r>
            <w:r w:rsidRPr="00C615EA">
              <w:rPr>
                <w:sz w:val="22"/>
                <w:szCs w:val="22"/>
              </w:rPr>
              <w:t xml:space="preserve"> UIT</w:t>
            </w:r>
            <w:r w:rsidR="007E1140" w:rsidRPr="00C615EA">
              <w:rPr>
                <w:sz w:val="22"/>
                <w:szCs w:val="22"/>
              </w:rPr>
              <w:t>;</w:t>
            </w:r>
          </w:p>
          <w:p w14:paraId="4576CDD9" w14:textId="531ECF36" w:rsidR="007E1140" w:rsidRPr="00C615EA" w:rsidRDefault="007E1140" w:rsidP="00C615EA">
            <w:pPr>
              <w:tabs>
                <w:tab w:val="clear" w:pos="794"/>
                <w:tab w:val="clear" w:pos="1191"/>
                <w:tab w:val="clear" w:pos="1588"/>
                <w:tab w:val="clear" w:pos="1985"/>
                <w:tab w:val="left" w:pos="284"/>
              </w:tabs>
              <w:spacing w:before="0" w:after="40"/>
              <w:ind w:left="288" w:hanging="230"/>
              <w:rPr>
                <w:b/>
                <w:bCs/>
                <w:sz w:val="22"/>
                <w:szCs w:val="22"/>
              </w:rPr>
            </w:pPr>
            <w:r w:rsidRPr="00C615EA">
              <w:rPr>
                <w:b/>
                <w:bCs/>
                <w:sz w:val="22"/>
                <w:szCs w:val="22"/>
              </w:rPr>
              <w:t>Copia:</w:t>
            </w:r>
          </w:p>
          <w:p w14:paraId="07D43C7C" w14:textId="0027DFF5" w:rsidR="007E1140" w:rsidRPr="00C615EA" w:rsidRDefault="001350B9" w:rsidP="00C615EA">
            <w:pPr>
              <w:tabs>
                <w:tab w:val="clear" w:pos="794"/>
                <w:tab w:val="clear" w:pos="1191"/>
                <w:tab w:val="clear" w:pos="1588"/>
                <w:tab w:val="clear" w:pos="1985"/>
                <w:tab w:val="left" w:pos="284"/>
              </w:tabs>
              <w:spacing w:before="0" w:after="40"/>
              <w:ind w:left="288" w:hanging="230"/>
              <w:rPr>
                <w:sz w:val="22"/>
                <w:szCs w:val="22"/>
              </w:rPr>
            </w:pPr>
            <w:r w:rsidRPr="00C615EA">
              <w:rPr>
                <w:sz w:val="22"/>
                <w:szCs w:val="22"/>
              </w:rPr>
              <w:t>-</w:t>
            </w:r>
            <w:r w:rsidRPr="00C615EA">
              <w:rPr>
                <w:sz w:val="22"/>
                <w:szCs w:val="22"/>
              </w:rPr>
              <w:tab/>
              <w:t>A</w:t>
            </w:r>
            <w:r w:rsidR="007E1140" w:rsidRPr="00C615EA">
              <w:rPr>
                <w:sz w:val="22"/>
                <w:szCs w:val="22"/>
              </w:rPr>
              <w:t xml:space="preserve"> </w:t>
            </w:r>
            <w:r w:rsidRPr="00C615EA">
              <w:rPr>
                <w:sz w:val="22"/>
                <w:szCs w:val="22"/>
              </w:rPr>
              <w:t>l</w:t>
            </w:r>
            <w:r w:rsidR="007E1140" w:rsidRPr="00C615EA">
              <w:rPr>
                <w:sz w:val="22"/>
                <w:szCs w:val="22"/>
              </w:rPr>
              <w:t>os</w:t>
            </w:r>
            <w:r w:rsidRPr="00C615EA">
              <w:rPr>
                <w:sz w:val="22"/>
                <w:szCs w:val="22"/>
              </w:rPr>
              <w:t xml:space="preserve"> </w:t>
            </w:r>
            <w:proofErr w:type="gramStart"/>
            <w:r w:rsidRPr="00C615EA">
              <w:rPr>
                <w:sz w:val="22"/>
                <w:szCs w:val="22"/>
              </w:rPr>
              <w:t>Presidente</w:t>
            </w:r>
            <w:r w:rsidR="007E1140" w:rsidRPr="00C615EA">
              <w:rPr>
                <w:sz w:val="22"/>
                <w:szCs w:val="22"/>
              </w:rPr>
              <w:t>s</w:t>
            </w:r>
            <w:proofErr w:type="gramEnd"/>
            <w:r w:rsidRPr="00C615EA">
              <w:rPr>
                <w:sz w:val="22"/>
                <w:szCs w:val="22"/>
              </w:rPr>
              <w:t xml:space="preserve"> y a los Vicepresidentes de la</w:t>
            </w:r>
            <w:r w:rsidR="007E1140" w:rsidRPr="00C615EA">
              <w:rPr>
                <w:sz w:val="22"/>
                <w:szCs w:val="22"/>
              </w:rPr>
              <w:t xml:space="preserve">s </w:t>
            </w:r>
            <w:r w:rsidRPr="00C615EA">
              <w:rPr>
                <w:sz w:val="22"/>
                <w:szCs w:val="22"/>
              </w:rPr>
              <w:t>Comisi</w:t>
            </w:r>
            <w:r w:rsidR="007E1140" w:rsidRPr="00C615EA">
              <w:rPr>
                <w:sz w:val="22"/>
                <w:szCs w:val="22"/>
              </w:rPr>
              <w:t>ones</w:t>
            </w:r>
            <w:r w:rsidRPr="00C615EA">
              <w:rPr>
                <w:sz w:val="22"/>
                <w:szCs w:val="22"/>
              </w:rPr>
              <w:t xml:space="preserve"> de Estudio;</w:t>
            </w:r>
          </w:p>
          <w:p w14:paraId="12FC3D4F" w14:textId="41785728" w:rsidR="007E1140" w:rsidRPr="00C615EA" w:rsidRDefault="001350B9" w:rsidP="00C615EA">
            <w:pPr>
              <w:tabs>
                <w:tab w:val="clear" w:pos="794"/>
                <w:tab w:val="clear" w:pos="1191"/>
                <w:tab w:val="clear" w:pos="1588"/>
                <w:tab w:val="clear" w:pos="1985"/>
                <w:tab w:val="left" w:pos="284"/>
              </w:tabs>
              <w:spacing w:before="0" w:after="40"/>
              <w:ind w:left="288" w:hanging="230"/>
              <w:rPr>
                <w:sz w:val="22"/>
                <w:szCs w:val="22"/>
              </w:rPr>
            </w:pPr>
            <w:r w:rsidRPr="00C615EA">
              <w:rPr>
                <w:sz w:val="22"/>
                <w:szCs w:val="22"/>
              </w:rPr>
              <w:t>-</w:t>
            </w:r>
            <w:r w:rsidRPr="00C615EA">
              <w:rPr>
                <w:sz w:val="22"/>
                <w:szCs w:val="22"/>
              </w:rPr>
              <w:tab/>
              <w:t>A</w:t>
            </w:r>
            <w:r w:rsidR="007E1140" w:rsidRPr="00C615EA">
              <w:rPr>
                <w:sz w:val="22"/>
                <w:szCs w:val="22"/>
              </w:rPr>
              <w:t>l</w:t>
            </w:r>
            <w:r w:rsidRPr="00C615EA">
              <w:rPr>
                <w:sz w:val="22"/>
                <w:szCs w:val="22"/>
              </w:rPr>
              <w:t xml:space="preserve"> </w:t>
            </w:r>
            <w:proofErr w:type="gramStart"/>
            <w:r w:rsidRPr="00C615EA">
              <w:rPr>
                <w:sz w:val="22"/>
                <w:szCs w:val="22"/>
              </w:rPr>
              <w:t>Director</w:t>
            </w:r>
            <w:proofErr w:type="gramEnd"/>
            <w:r w:rsidRPr="00C615EA">
              <w:rPr>
                <w:sz w:val="22"/>
                <w:szCs w:val="22"/>
              </w:rPr>
              <w:t xml:space="preserve"> de la Oficina de Desarrollo de las Telecomunicaciones;</w:t>
            </w:r>
          </w:p>
          <w:p w14:paraId="774DCA10" w14:textId="34CF6256" w:rsidR="001350B9" w:rsidRPr="00C615EA" w:rsidRDefault="001350B9" w:rsidP="00C615EA">
            <w:pPr>
              <w:tabs>
                <w:tab w:val="clear" w:pos="794"/>
                <w:tab w:val="clear" w:pos="1191"/>
                <w:tab w:val="clear" w:pos="1588"/>
                <w:tab w:val="clear" w:pos="1985"/>
                <w:tab w:val="left" w:pos="284"/>
              </w:tabs>
              <w:spacing w:before="0" w:after="40"/>
              <w:ind w:left="288" w:hanging="230"/>
              <w:rPr>
                <w:sz w:val="22"/>
                <w:szCs w:val="22"/>
              </w:rPr>
            </w:pPr>
            <w:r w:rsidRPr="00C615EA">
              <w:rPr>
                <w:sz w:val="22"/>
                <w:szCs w:val="22"/>
              </w:rPr>
              <w:t>-</w:t>
            </w:r>
            <w:r w:rsidRPr="00C615EA">
              <w:rPr>
                <w:sz w:val="22"/>
                <w:szCs w:val="22"/>
              </w:rPr>
              <w:tab/>
              <w:t xml:space="preserve">Al </w:t>
            </w:r>
            <w:proofErr w:type="gramStart"/>
            <w:r w:rsidRPr="00C615EA">
              <w:rPr>
                <w:sz w:val="22"/>
                <w:szCs w:val="22"/>
              </w:rPr>
              <w:t>Director</w:t>
            </w:r>
            <w:proofErr w:type="gramEnd"/>
            <w:r w:rsidRPr="00C615EA">
              <w:rPr>
                <w:sz w:val="22"/>
                <w:szCs w:val="22"/>
              </w:rPr>
              <w:t xml:space="preserve"> de la Oficina de Radiocomunicaciones</w:t>
            </w:r>
          </w:p>
        </w:tc>
      </w:tr>
      <w:tr w:rsidR="007E1140" w:rsidRPr="00C615EA" w14:paraId="5C846784" w14:textId="77777777" w:rsidTr="00C615EA">
        <w:trPr>
          <w:cantSplit/>
          <w:trHeight w:val="340"/>
        </w:trPr>
        <w:tc>
          <w:tcPr>
            <w:tcW w:w="1350" w:type="dxa"/>
          </w:tcPr>
          <w:p w14:paraId="5E9818E1" w14:textId="16AF2FCE" w:rsidR="007E1140" w:rsidRPr="00C615EA" w:rsidRDefault="007E1140" w:rsidP="00303D62">
            <w:pPr>
              <w:tabs>
                <w:tab w:val="left" w:pos="4111"/>
              </w:tabs>
              <w:spacing w:before="10"/>
              <w:ind w:left="57"/>
              <w:rPr>
                <w:sz w:val="22"/>
                <w:szCs w:val="22"/>
              </w:rPr>
            </w:pPr>
            <w:r w:rsidRPr="00C615EA">
              <w:rPr>
                <w:sz w:val="22"/>
                <w:szCs w:val="22"/>
              </w:rPr>
              <w:t>Contacto:</w:t>
            </w:r>
          </w:p>
        </w:tc>
        <w:tc>
          <w:tcPr>
            <w:tcW w:w="3625" w:type="dxa"/>
          </w:tcPr>
          <w:p w14:paraId="0BFF4E14" w14:textId="1CBC1865" w:rsidR="007E1140" w:rsidRPr="00C615EA" w:rsidRDefault="007E1140" w:rsidP="00303D62">
            <w:pPr>
              <w:tabs>
                <w:tab w:val="left" w:pos="4111"/>
              </w:tabs>
              <w:spacing w:before="0"/>
              <w:ind w:left="57"/>
              <w:rPr>
                <w:bCs/>
                <w:sz w:val="22"/>
                <w:szCs w:val="22"/>
              </w:rPr>
            </w:pPr>
            <w:r w:rsidRPr="00C615EA">
              <w:rPr>
                <w:bCs/>
                <w:sz w:val="22"/>
                <w:szCs w:val="22"/>
              </w:rPr>
              <w:t>Stefano Polidori</w:t>
            </w:r>
          </w:p>
        </w:tc>
        <w:tc>
          <w:tcPr>
            <w:tcW w:w="5329" w:type="dxa"/>
            <w:vMerge/>
          </w:tcPr>
          <w:p w14:paraId="5C62FCAD" w14:textId="77777777" w:rsidR="007E1140" w:rsidRPr="00C615EA" w:rsidRDefault="007E1140" w:rsidP="007E1140">
            <w:pPr>
              <w:tabs>
                <w:tab w:val="clear" w:pos="794"/>
                <w:tab w:val="clear" w:pos="1191"/>
                <w:tab w:val="clear" w:pos="1588"/>
                <w:tab w:val="clear" w:pos="1985"/>
                <w:tab w:val="left" w:pos="284"/>
              </w:tabs>
              <w:spacing w:before="0"/>
              <w:ind w:left="284" w:hanging="227"/>
              <w:rPr>
                <w:sz w:val="22"/>
                <w:szCs w:val="22"/>
              </w:rPr>
            </w:pPr>
          </w:p>
        </w:tc>
      </w:tr>
      <w:tr w:rsidR="001350B9" w:rsidRPr="00C615EA" w14:paraId="1616E797" w14:textId="77777777" w:rsidTr="00C615EA">
        <w:trPr>
          <w:cantSplit/>
        </w:trPr>
        <w:tc>
          <w:tcPr>
            <w:tcW w:w="1350" w:type="dxa"/>
          </w:tcPr>
          <w:p w14:paraId="08021E96" w14:textId="77777777" w:rsidR="001350B9" w:rsidRPr="00C615EA" w:rsidRDefault="001350B9" w:rsidP="00303D62">
            <w:pPr>
              <w:tabs>
                <w:tab w:val="left" w:pos="4111"/>
              </w:tabs>
              <w:spacing w:before="10"/>
              <w:ind w:left="57"/>
              <w:rPr>
                <w:sz w:val="22"/>
                <w:szCs w:val="22"/>
              </w:rPr>
            </w:pPr>
            <w:r w:rsidRPr="00C615EA">
              <w:rPr>
                <w:sz w:val="22"/>
                <w:szCs w:val="22"/>
              </w:rPr>
              <w:t>Tel.:</w:t>
            </w:r>
          </w:p>
        </w:tc>
        <w:tc>
          <w:tcPr>
            <w:tcW w:w="3625" w:type="dxa"/>
          </w:tcPr>
          <w:p w14:paraId="545C0595" w14:textId="0F33878D" w:rsidR="001350B9" w:rsidRPr="00C615EA" w:rsidRDefault="001350B9" w:rsidP="00303D62">
            <w:pPr>
              <w:tabs>
                <w:tab w:val="left" w:pos="4111"/>
              </w:tabs>
              <w:spacing w:before="0"/>
              <w:ind w:left="57"/>
              <w:rPr>
                <w:rStyle w:val="Hyperlink"/>
                <w:sz w:val="22"/>
                <w:szCs w:val="22"/>
              </w:rPr>
            </w:pPr>
            <w:r w:rsidRPr="00C615EA">
              <w:rPr>
                <w:sz w:val="22"/>
                <w:szCs w:val="22"/>
              </w:rPr>
              <w:t>+41 22 730</w:t>
            </w:r>
            <w:r w:rsidR="007E1140" w:rsidRPr="00C615EA">
              <w:rPr>
                <w:sz w:val="22"/>
                <w:szCs w:val="22"/>
              </w:rPr>
              <w:t xml:space="preserve"> 5858</w:t>
            </w:r>
          </w:p>
        </w:tc>
        <w:tc>
          <w:tcPr>
            <w:tcW w:w="5329" w:type="dxa"/>
            <w:vMerge/>
          </w:tcPr>
          <w:p w14:paraId="694EFB98" w14:textId="77777777" w:rsidR="001350B9" w:rsidRPr="00C615EA" w:rsidRDefault="001350B9" w:rsidP="00303D62">
            <w:pPr>
              <w:tabs>
                <w:tab w:val="left" w:pos="226"/>
                <w:tab w:val="left" w:pos="510"/>
              </w:tabs>
              <w:spacing w:before="0"/>
              <w:ind w:left="226" w:hanging="169"/>
              <w:rPr>
                <w:b/>
                <w:sz w:val="22"/>
                <w:szCs w:val="22"/>
              </w:rPr>
            </w:pPr>
          </w:p>
        </w:tc>
      </w:tr>
      <w:tr w:rsidR="001350B9" w:rsidRPr="00C615EA" w14:paraId="69525DCE" w14:textId="77777777" w:rsidTr="00C615EA">
        <w:trPr>
          <w:cantSplit/>
        </w:trPr>
        <w:tc>
          <w:tcPr>
            <w:tcW w:w="1350" w:type="dxa"/>
          </w:tcPr>
          <w:p w14:paraId="07BF3884" w14:textId="77777777" w:rsidR="001350B9" w:rsidRPr="00C615EA" w:rsidRDefault="001350B9" w:rsidP="00303D62">
            <w:pPr>
              <w:tabs>
                <w:tab w:val="left" w:pos="4111"/>
              </w:tabs>
              <w:spacing w:before="10"/>
              <w:ind w:left="57"/>
              <w:rPr>
                <w:sz w:val="22"/>
                <w:szCs w:val="22"/>
              </w:rPr>
            </w:pPr>
            <w:r w:rsidRPr="00C615EA">
              <w:rPr>
                <w:sz w:val="22"/>
                <w:szCs w:val="22"/>
              </w:rPr>
              <w:t>Fax:</w:t>
            </w:r>
          </w:p>
        </w:tc>
        <w:tc>
          <w:tcPr>
            <w:tcW w:w="3625" w:type="dxa"/>
          </w:tcPr>
          <w:p w14:paraId="4DE7DD52" w14:textId="77777777" w:rsidR="001350B9" w:rsidRPr="00C615EA" w:rsidRDefault="001350B9" w:rsidP="00303D62">
            <w:pPr>
              <w:tabs>
                <w:tab w:val="left" w:pos="4111"/>
              </w:tabs>
              <w:spacing w:before="0"/>
              <w:ind w:left="57"/>
              <w:rPr>
                <w:rStyle w:val="Hyperlink"/>
                <w:sz w:val="22"/>
                <w:szCs w:val="22"/>
              </w:rPr>
            </w:pPr>
            <w:r w:rsidRPr="00C615EA">
              <w:rPr>
                <w:sz w:val="22"/>
                <w:szCs w:val="22"/>
              </w:rPr>
              <w:t>+41 22 730 5853</w:t>
            </w:r>
          </w:p>
        </w:tc>
        <w:tc>
          <w:tcPr>
            <w:tcW w:w="5329" w:type="dxa"/>
            <w:vMerge/>
          </w:tcPr>
          <w:p w14:paraId="53226390" w14:textId="77777777" w:rsidR="001350B9" w:rsidRPr="00C615EA" w:rsidRDefault="001350B9" w:rsidP="00303D62">
            <w:pPr>
              <w:tabs>
                <w:tab w:val="left" w:pos="226"/>
                <w:tab w:val="left" w:pos="510"/>
              </w:tabs>
              <w:spacing w:before="0"/>
              <w:ind w:left="226" w:hanging="169"/>
              <w:rPr>
                <w:b/>
                <w:sz w:val="22"/>
                <w:szCs w:val="22"/>
              </w:rPr>
            </w:pPr>
          </w:p>
        </w:tc>
      </w:tr>
      <w:tr w:rsidR="001350B9" w:rsidRPr="00C615EA" w14:paraId="1A192261" w14:textId="77777777" w:rsidTr="00C615EA">
        <w:trPr>
          <w:cantSplit/>
          <w:trHeight w:val="1971"/>
        </w:trPr>
        <w:tc>
          <w:tcPr>
            <w:tcW w:w="1350" w:type="dxa"/>
          </w:tcPr>
          <w:p w14:paraId="17E5A784" w14:textId="77777777" w:rsidR="001350B9" w:rsidRPr="00C615EA" w:rsidRDefault="001350B9" w:rsidP="00303D62">
            <w:pPr>
              <w:tabs>
                <w:tab w:val="left" w:pos="4111"/>
              </w:tabs>
              <w:spacing w:before="10"/>
              <w:ind w:left="57"/>
              <w:rPr>
                <w:sz w:val="22"/>
                <w:szCs w:val="22"/>
              </w:rPr>
            </w:pPr>
            <w:r w:rsidRPr="00C615EA">
              <w:rPr>
                <w:sz w:val="22"/>
                <w:szCs w:val="22"/>
              </w:rPr>
              <w:t>Correo-e:</w:t>
            </w:r>
          </w:p>
        </w:tc>
        <w:tc>
          <w:tcPr>
            <w:tcW w:w="3625" w:type="dxa"/>
          </w:tcPr>
          <w:p w14:paraId="60583A35" w14:textId="65F3807B" w:rsidR="001350B9" w:rsidRPr="00C615EA" w:rsidRDefault="007E1140" w:rsidP="00303D62">
            <w:pPr>
              <w:tabs>
                <w:tab w:val="left" w:pos="4111"/>
              </w:tabs>
              <w:spacing w:before="0"/>
              <w:ind w:left="57"/>
              <w:rPr>
                <w:sz w:val="22"/>
                <w:szCs w:val="22"/>
              </w:rPr>
            </w:pPr>
            <w:hyperlink r:id="rId9" w:history="1">
              <w:r w:rsidRPr="00C615EA">
                <w:rPr>
                  <w:rStyle w:val="Hyperlink"/>
                  <w:sz w:val="22"/>
                  <w:szCs w:val="22"/>
                </w:rPr>
                <w:t>tsbevents@itu.int</w:t>
              </w:r>
            </w:hyperlink>
          </w:p>
        </w:tc>
        <w:tc>
          <w:tcPr>
            <w:tcW w:w="5329" w:type="dxa"/>
            <w:vMerge/>
          </w:tcPr>
          <w:p w14:paraId="33BDF97E" w14:textId="77777777" w:rsidR="001350B9" w:rsidRPr="00C615EA" w:rsidRDefault="001350B9" w:rsidP="00303D62">
            <w:pPr>
              <w:tabs>
                <w:tab w:val="clear" w:pos="794"/>
                <w:tab w:val="clear" w:pos="1191"/>
                <w:tab w:val="clear" w:pos="1588"/>
                <w:tab w:val="clear" w:pos="1985"/>
                <w:tab w:val="left" w:pos="226"/>
                <w:tab w:val="left" w:pos="510"/>
              </w:tabs>
              <w:spacing w:before="0"/>
              <w:ind w:left="226" w:hanging="169"/>
              <w:rPr>
                <w:sz w:val="22"/>
                <w:szCs w:val="22"/>
              </w:rPr>
            </w:pPr>
          </w:p>
        </w:tc>
      </w:tr>
      <w:tr w:rsidR="007E1140" w:rsidRPr="00C615EA" w14:paraId="33F2C5B2" w14:textId="77777777" w:rsidTr="00C615EA">
        <w:trPr>
          <w:cantSplit/>
        </w:trPr>
        <w:tc>
          <w:tcPr>
            <w:tcW w:w="1350" w:type="dxa"/>
          </w:tcPr>
          <w:p w14:paraId="403451C4" w14:textId="77777777" w:rsidR="007E1140" w:rsidRPr="00C615EA" w:rsidRDefault="007E1140" w:rsidP="007E1140">
            <w:pPr>
              <w:tabs>
                <w:tab w:val="left" w:pos="4111"/>
              </w:tabs>
              <w:spacing w:before="10"/>
              <w:ind w:left="57"/>
              <w:rPr>
                <w:sz w:val="22"/>
                <w:szCs w:val="22"/>
              </w:rPr>
            </w:pPr>
            <w:r w:rsidRPr="00C615EA">
              <w:rPr>
                <w:b/>
                <w:bCs/>
                <w:sz w:val="22"/>
                <w:szCs w:val="22"/>
              </w:rPr>
              <w:t>Asunto</w:t>
            </w:r>
            <w:r w:rsidRPr="00C615EA">
              <w:rPr>
                <w:sz w:val="22"/>
                <w:szCs w:val="22"/>
              </w:rPr>
              <w:t>:</w:t>
            </w:r>
          </w:p>
        </w:tc>
        <w:tc>
          <w:tcPr>
            <w:tcW w:w="8954" w:type="dxa"/>
            <w:gridSpan w:val="2"/>
          </w:tcPr>
          <w:p w14:paraId="32319A22" w14:textId="3CBEE1A4" w:rsidR="007E1140" w:rsidRPr="00C615EA" w:rsidRDefault="007E1140" w:rsidP="007E1140">
            <w:pPr>
              <w:tabs>
                <w:tab w:val="left" w:pos="4111"/>
              </w:tabs>
              <w:spacing w:before="0"/>
              <w:rPr>
                <w:b/>
                <w:sz w:val="22"/>
                <w:szCs w:val="22"/>
              </w:rPr>
            </w:pPr>
            <w:r w:rsidRPr="00C615EA">
              <w:rPr>
                <w:b/>
                <w:bCs/>
                <w:sz w:val="22"/>
                <w:szCs w:val="22"/>
                <w:lang w:val="es-ES"/>
              </w:rPr>
              <w:t>Simposio sobre el Automóvil Conectado del Futuro (sólo virtual, 24-27 de marzo de 2025) y reunión de la Colaboración sobre Normas de Comunicación en los Sistemas de Transporte Inteligentes (sólo virtual, 28 de marzo de 2025)</w:t>
            </w:r>
          </w:p>
        </w:tc>
      </w:tr>
    </w:tbl>
    <w:p w14:paraId="0397121D" w14:textId="4A963EF3" w:rsidR="00C34772" w:rsidRPr="00C615EA" w:rsidRDefault="00C34772" w:rsidP="00C615EA">
      <w:pPr>
        <w:rPr>
          <w:sz w:val="22"/>
          <w:szCs w:val="18"/>
        </w:rPr>
      </w:pPr>
      <w:bookmarkStart w:id="1" w:name="StartTyping_S"/>
      <w:bookmarkStart w:id="2" w:name="suitetext"/>
      <w:bookmarkStart w:id="3" w:name="text"/>
      <w:bookmarkEnd w:id="1"/>
      <w:bookmarkEnd w:id="2"/>
      <w:bookmarkEnd w:id="3"/>
      <w:r w:rsidRPr="00C615EA">
        <w:rPr>
          <w:sz w:val="22"/>
          <w:szCs w:val="18"/>
        </w:rPr>
        <w:t>Muy Señora mía/Muy Señor mío</w:t>
      </w:r>
      <w:r w:rsidR="00C615EA">
        <w:rPr>
          <w:sz w:val="22"/>
          <w:szCs w:val="18"/>
        </w:rPr>
        <w:t>,</w:t>
      </w:r>
    </w:p>
    <w:p w14:paraId="559E8AD8" w14:textId="4B23A98E" w:rsidR="007B6316" w:rsidRPr="00C615EA" w:rsidRDefault="003C5436" w:rsidP="007B6316">
      <w:pPr>
        <w:rPr>
          <w:sz w:val="22"/>
          <w:szCs w:val="22"/>
        </w:rPr>
      </w:pPr>
      <w:r w:rsidRPr="00C615EA">
        <w:rPr>
          <w:sz w:val="22"/>
          <w:szCs w:val="22"/>
          <w:lang w:val="es-ES"/>
        </w:rPr>
        <w:t>1</w:t>
      </w:r>
      <w:r w:rsidRPr="00C615EA">
        <w:rPr>
          <w:sz w:val="22"/>
          <w:szCs w:val="22"/>
          <w:lang w:val="es-ES"/>
        </w:rPr>
        <w:tab/>
      </w:r>
      <w:proofErr w:type="gramStart"/>
      <w:r w:rsidRPr="00C615EA">
        <w:rPr>
          <w:sz w:val="22"/>
          <w:szCs w:val="22"/>
          <w:lang w:val="es-ES"/>
        </w:rPr>
        <w:t>Me</w:t>
      </w:r>
      <w:proofErr w:type="gramEnd"/>
      <w:r w:rsidRPr="00C615EA">
        <w:rPr>
          <w:sz w:val="22"/>
          <w:szCs w:val="22"/>
          <w:lang w:val="es-ES"/>
        </w:rPr>
        <w:t xml:space="preserve"> complace informarle que la Unión Internacional de Telecomunicaciones (UIT) y la Comisión Económica para Europa (CEPE) de las Naciones Unidas organizarán conjuntamente la 20ª edición del </w:t>
      </w:r>
      <w:r w:rsidRPr="00C615EA">
        <w:rPr>
          <w:b/>
          <w:bCs/>
          <w:sz w:val="22"/>
          <w:szCs w:val="22"/>
          <w:lang w:val="es-ES"/>
        </w:rPr>
        <w:t>Simposio sobre el Automóvil Conectado del Futuro (FNC-2025)</w:t>
      </w:r>
      <w:r w:rsidRPr="00C615EA">
        <w:rPr>
          <w:sz w:val="22"/>
          <w:szCs w:val="22"/>
          <w:lang w:val="es-ES"/>
        </w:rPr>
        <w:t xml:space="preserve">, que se celebrará de manera virtual del </w:t>
      </w:r>
      <w:r w:rsidRPr="00C615EA">
        <w:rPr>
          <w:b/>
          <w:bCs/>
          <w:sz w:val="22"/>
          <w:szCs w:val="22"/>
          <w:lang w:val="es-ES"/>
        </w:rPr>
        <w:t>24 al 27 de marzo de 2025</w:t>
      </w:r>
      <w:r w:rsidRPr="00C615EA">
        <w:rPr>
          <w:sz w:val="22"/>
          <w:szCs w:val="22"/>
          <w:lang w:val="es-ES"/>
        </w:rPr>
        <w:t xml:space="preserve">, </w:t>
      </w:r>
      <w:r w:rsidRPr="00C615EA">
        <w:rPr>
          <w:b/>
          <w:bCs/>
          <w:sz w:val="22"/>
          <w:szCs w:val="22"/>
          <w:lang w:val="es-ES"/>
        </w:rPr>
        <w:t>de las 13.00 a las 16.00 horas (CET), cada día</w:t>
      </w:r>
      <w:r w:rsidRPr="00C615EA">
        <w:rPr>
          <w:sz w:val="22"/>
          <w:szCs w:val="22"/>
          <w:lang w:val="es-ES"/>
        </w:rPr>
        <w:t>.</w:t>
      </w:r>
    </w:p>
    <w:p w14:paraId="39C3233B" w14:textId="18238DAD" w:rsidR="003C5436" w:rsidRPr="00C615EA" w:rsidRDefault="003C5436" w:rsidP="007B6316">
      <w:pPr>
        <w:rPr>
          <w:sz w:val="22"/>
          <w:szCs w:val="22"/>
        </w:rPr>
      </w:pPr>
      <w:r w:rsidRPr="00C615EA">
        <w:rPr>
          <w:sz w:val="22"/>
          <w:szCs w:val="22"/>
          <w:lang w:val="es-ES"/>
        </w:rPr>
        <w:t>2</w:t>
      </w:r>
      <w:r w:rsidRPr="00C615EA">
        <w:rPr>
          <w:sz w:val="22"/>
          <w:szCs w:val="22"/>
          <w:lang w:val="es-ES"/>
        </w:rPr>
        <w:tab/>
      </w:r>
      <w:proofErr w:type="gramStart"/>
      <w:r w:rsidRPr="00C615EA">
        <w:rPr>
          <w:sz w:val="22"/>
          <w:szCs w:val="22"/>
        </w:rPr>
        <w:t>Después</w:t>
      </w:r>
      <w:proofErr w:type="gramEnd"/>
      <w:r w:rsidRPr="00C615EA">
        <w:rPr>
          <w:sz w:val="22"/>
          <w:szCs w:val="22"/>
        </w:rPr>
        <w:t xml:space="preserve"> del Simposio se celebrará la reunión de la </w:t>
      </w:r>
      <w:r w:rsidRPr="00C615EA">
        <w:rPr>
          <w:b/>
          <w:bCs/>
          <w:sz w:val="22"/>
          <w:szCs w:val="22"/>
        </w:rPr>
        <w:t>Colaboración sobre Normas de Comunicación en los Sistemas de Transporte Inteligentes (CITS)</w:t>
      </w:r>
      <w:r w:rsidRPr="00C615EA">
        <w:rPr>
          <w:sz w:val="22"/>
          <w:szCs w:val="22"/>
        </w:rPr>
        <w:t xml:space="preserve"> el </w:t>
      </w:r>
      <w:r w:rsidRPr="00C615EA">
        <w:rPr>
          <w:b/>
          <w:bCs/>
          <w:sz w:val="22"/>
          <w:szCs w:val="22"/>
        </w:rPr>
        <w:t>28 de marzo de 2025</w:t>
      </w:r>
      <w:r w:rsidRPr="00C615EA">
        <w:rPr>
          <w:sz w:val="22"/>
          <w:szCs w:val="22"/>
        </w:rPr>
        <w:t xml:space="preserve">. Puede obtenerse más información en el sitio web de la CITS: </w:t>
      </w:r>
      <w:hyperlink r:id="rId10" w:history="1">
        <w:r w:rsidRPr="00C615EA">
          <w:rPr>
            <w:rStyle w:val="Hyperlink"/>
            <w:sz w:val="22"/>
            <w:szCs w:val="22"/>
            <w:lang w:val="es-ES"/>
          </w:rPr>
          <w:t>https://www.itu.int/go/cits</w:t>
        </w:r>
      </w:hyperlink>
      <w:r w:rsidRPr="00C615EA">
        <w:rPr>
          <w:sz w:val="22"/>
          <w:szCs w:val="22"/>
          <w:lang w:val="es-ES"/>
        </w:rPr>
        <w:t>.</w:t>
      </w:r>
    </w:p>
    <w:p w14:paraId="30BC8914" w14:textId="7C446076" w:rsidR="003C5436" w:rsidRPr="00C615EA" w:rsidRDefault="003C5436" w:rsidP="007B6316">
      <w:pPr>
        <w:rPr>
          <w:sz w:val="22"/>
          <w:szCs w:val="22"/>
        </w:rPr>
      </w:pPr>
      <w:r w:rsidRPr="00C615EA">
        <w:rPr>
          <w:sz w:val="22"/>
          <w:szCs w:val="22"/>
        </w:rPr>
        <w:t>3</w:t>
      </w:r>
      <w:r w:rsidRPr="00C615EA">
        <w:rPr>
          <w:sz w:val="22"/>
          <w:szCs w:val="22"/>
        </w:rPr>
        <w:tab/>
      </w:r>
      <w:proofErr w:type="gramStart"/>
      <w:r w:rsidRPr="00C615EA">
        <w:rPr>
          <w:sz w:val="22"/>
          <w:szCs w:val="22"/>
        </w:rPr>
        <w:t>En</w:t>
      </w:r>
      <w:proofErr w:type="gramEnd"/>
      <w:r w:rsidRPr="00C615EA">
        <w:rPr>
          <w:sz w:val="22"/>
          <w:szCs w:val="22"/>
        </w:rPr>
        <w:t xml:space="preserve"> el Simposio sobre el automóvil conectado del futuro se examinan los últimos avances en materia de conectividad vehicular y movilidad automatizada, compartiendo a nivel internacional sus implicaciones en materia de tecnología, empresas, normalización y reglamentación.</w:t>
      </w:r>
    </w:p>
    <w:p w14:paraId="75BF68C8" w14:textId="49DCB80A" w:rsidR="003C5436" w:rsidRPr="00C615EA" w:rsidRDefault="003C5436" w:rsidP="007B6316">
      <w:pPr>
        <w:rPr>
          <w:sz w:val="22"/>
          <w:szCs w:val="22"/>
        </w:rPr>
      </w:pPr>
      <w:r w:rsidRPr="00C615EA">
        <w:rPr>
          <w:sz w:val="22"/>
          <w:szCs w:val="22"/>
        </w:rPr>
        <w:t>4</w:t>
      </w:r>
      <w:r w:rsidRPr="00C615EA">
        <w:rPr>
          <w:sz w:val="22"/>
          <w:szCs w:val="22"/>
        </w:rPr>
        <w:tab/>
      </w:r>
      <w:proofErr w:type="gramStart"/>
      <w:r w:rsidRPr="00C615EA">
        <w:rPr>
          <w:sz w:val="22"/>
          <w:szCs w:val="22"/>
        </w:rPr>
        <w:t>Desde</w:t>
      </w:r>
      <w:proofErr w:type="gramEnd"/>
      <w:r w:rsidRPr="00C615EA">
        <w:rPr>
          <w:sz w:val="22"/>
          <w:szCs w:val="22"/>
        </w:rPr>
        <w:t xml:space="preserve"> su creación en 2005, el Simposio ha reunido a representantes de las industrias del automóvil, el transporte y las tecnologías de la información y las comunicaciones con dirigentes gubernamentales y organismos reguladores para examinar la situación y el futuro de las comunicaciones de los vehículos y la conducción automática, desde los puntos de vista técnico y reglamentario.</w:t>
      </w:r>
    </w:p>
    <w:p w14:paraId="0224D6DF" w14:textId="7AC4E908" w:rsidR="003C5436" w:rsidRPr="00C615EA" w:rsidRDefault="003C5436" w:rsidP="007B6316">
      <w:pPr>
        <w:rPr>
          <w:sz w:val="22"/>
          <w:szCs w:val="22"/>
        </w:rPr>
      </w:pPr>
      <w:r w:rsidRPr="00C615EA">
        <w:rPr>
          <w:sz w:val="22"/>
          <w:szCs w:val="22"/>
        </w:rPr>
        <w:t>5</w:t>
      </w:r>
      <w:r w:rsidRPr="00C615EA">
        <w:rPr>
          <w:sz w:val="22"/>
          <w:szCs w:val="22"/>
        </w:rPr>
        <w:tab/>
      </w:r>
      <w:proofErr w:type="gramStart"/>
      <w:r w:rsidRPr="00C615EA">
        <w:rPr>
          <w:sz w:val="22"/>
          <w:szCs w:val="22"/>
        </w:rPr>
        <w:t>Los</w:t>
      </w:r>
      <w:proofErr w:type="gramEnd"/>
      <w:r w:rsidRPr="00C615EA">
        <w:rPr>
          <w:sz w:val="22"/>
          <w:szCs w:val="22"/>
        </w:rPr>
        <w:t xml:space="preserve"> expertos del FNC-2025 examinarán la tecnología y el marco mundial de reglamentación sobre los que se apoyará el despliegue de soluciones de movilidad altamente automatizadas. Se debatirá sobre los avances tecnológicos más recientes en materia de conectividad de vehículos, incluida la conectividad automóvil por satélite y la conducción a distancia como forma de mejorar el funcionamiento y desarrollo de los vehículos automatizados, su diseño y fabricación, la gestión de las carreteras y la experiencia de los pasajeros. El Simposio profundizará en las relaciones entre las comunicaciones vehiculares y la conducción automatizada analizando el papel crucial de los marcos normativos. La colaboración entre los diversos organismos de normalización es un componente esencial para lograr una movilidad del futuro más segura.</w:t>
      </w:r>
    </w:p>
    <w:p w14:paraId="5C4D2F75" w14:textId="5ABD73E4" w:rsidR="003C5436" w:rsidRPr="00C615EA" w:rsidRDefault="003C5436" w:rsidP="007B6316">
      <w:pPr>
        <w:rPr>
          <w:sz w:val="22"/>
          <w:szCs w:val="22"/>
        </w:rPr>
      </w:pPr>
      <w:r w:rsidRPr="00C615EA">
        <w:rPr>
          <w:sz w:val="22"/>
          <w:szCs w:val="22"/>
        </w:rPr>
        <w:t>6</w:t>
      </w:r>
      <w:r w:rsidRPr="00C615EA">
        <w:rPr>
          <w:sz w:val="22"/>
          <w:szCs w:val="22"/>
        </w:rPr>
        <w:tab/>
      </w:r>
      <w:proofErr w:type="gramStart"/>
      <w:r w:rsidRPr="00C615EA">
        <w:rPr>
          <w:sz w:val="22"/>
          <w:szCs w:val="22"/>
        </w:rPr>
        <w:t>La</w:t>
      </w:r>
      <w:proofErr w:type="gramEnd"/>
      <w:r w:rsidRPr="00C615EA">
        <w:rPr>
          <w:sz w:val="22"/>
          <w:szCs w:val="22"/>
        </w:rPr>
        <w:t xml:space="preserve"> participación está abierta a los Estados Miembros, a los Miembros de Sector, a los Asociados y a las Instituciones Académicas de la UIT, y a cualquier persona de un país que sea miembro de las Naciones Unidas y desee contribuir a los trabajos. Esto incluye a las personas que también son miembros de organizaciones nacionales, regionales e internacionales. La participación en el Simposio será gratuita.</w:t>
      </w:r>
    </w:p>
    <w:p w14:paraId="7DF97742" w14:textId="13750DD8" w:rsidR="003C5436" w:rsidRPr="00C615EA" w:rsidRDefault="003C5436" w:rsidP="007B6316">
      <w:pPr>
        <w:rPr>
          <w:sz w:val="22"/>
          <w:szCs w:val="22"/>
        </w:rPr>
      </w:pPr>
      <w:r w:rsidRPr="00C615EA">
        <w:rPr>
          <w:sz w:val="22"/>
          <w:szCs w:val="22"/>
        </w:rPr>
        <w:lastRenderedPageBreak/>
        <w:t>7</w:t>
      </w:r>
      <w:r w:rsidRPr="00C615EA">
        <w:rPr>
          <w:sz w:val="22"/>
          <w:szCs w:val="22"/>
        </w:rPr>
        <w:tab/>
      </w:r>
      <w:proofErr w:type="gramStart"/>
      <w:r w:rsidRPr="00C615EA">
        <w:rPr>
          <w:sz w:val="22"/>
          <w:szCs w:val="22"/>
        </w:rPr>
        <w:t>Toda</w:t>
      </w:r>
      <w:proofErr w:type="gramEnd"/>
      <w:r w:rsidRPr="00C615EA">
        <w:rPr>
          <w:sz w:val="22"/>
          <w:szCs w:val="22"/>
        </w:rPr>
        <w:t xml:space="preserve"> la información pertinente relativa al Simposio (oradores, proyecto de programa, detalles de la conexión a distancia, enlaces para la inscripción) estará disponible en el sitio web del evento principal que se encuentra en</w:t>
      </w:r>
      <w:r w:rsidRPr="00C615EA">
        <w:rPr>
          <w:sz w:val="22"/>
          <w:szCs w:val="22"/>
          <w:lang w:val="es-ES"/>
        </w:rPr>
        <w:t xml:space="preserve"> </w:t>
      </w:r>
      <w:hyperlink r:id="rId11" w:history="1">
        <w:r w:rsidRPr="00C615EA">
          <w:rPr>
            <w:rStyle w:val="Hyperlink"/>
            <w:bCs/>
            <w:sz w:val="22"/>
            <w:szCs w:val="22"/>
            <w:lang w:val="es-ES"/>
          </w:rPr>
          <w:t>https://fnc.itu.int/</w:t>
        </w:r>
      </w:hyperlink>
      <w:r w:rsidRPr="00C615EA">
        <w:rPr>
          <w:sz w:val="22"/>
          <w:szCs w:val="22"/>
          <w:lang w:val="es-ES"/>
        </w:rPr>
        <w:t>.</w:t>
      </w:r>
    </w:p>
    <w:p w14:paraId="3449D83D" w14:textId="2469830A" w:rsidR="003C5436" w:rsidRPr="00C615EA" w:rsidRDefault="003C5436" w:rsidP="007B6316">
      <w:pPr>
        <w:rPr>
          <w:sz w:val="22"/>
          <w:szCs w:val="22"/>
        </w:rPr>
      </w:pPr>
      <w:r w:rsidRPr="00C615EA">
        <w:rPr>
          <w:sz w:val="22"/>
          <w:szCs w:val="22"/>
          <w:lang w:val="es-ES"/>
        </w:rPr>
        <w:t>8</w:t>
      </w:r>
      <w:r w:rsidRPr="00C615EA">
        <w:rPr>
          <w:sz w:val="22"/>
          <w:szCs w:val="22"/>
          <w:lang w:val="es-ES"/>
        </w:rPr>
        <w:tab/>
      </w:r>
      <w:proofErr w:type="gramStart"/>
      <w:r w:rsidRPr="00C615EA">
        <w:rPr>
          <w:b/>
          <w:bCs/>
          <w:sz w:val="22"/>
          <w:szCs w:val="22"/>
          <w:lang w:val="es-ES"/>
        </w:rPr>
        <w:t>Rogamos</w:t>
      </w:r>
      <w:proofErr w:type="gramEnd"/>
      <w:r w:rsidRPr="00C615EA">
        <w:rPr>
          <w:b/>
          <w:bCs/>
          <w:sz w:val="22"/>
          <w:szCs w:val="22"/>
          <w:lang w:val="es-ES"/>
        </w:rPr>
        <w:t xml:space="preserve"> tenga presente que la inscripción es obligatoria</w:t>
      </w:r>
      <w:r w:rsidRPr="00C615EA">
        <w:rPr>
          <w:sz w:val="22"/>
          <w:szCs w:val="22"/>
          <w:lang w:val="es-ES"/>
        </w:rPr>
        <w:t xml:space="preserve">. El sitio web del Simposio se actualizará periódicamente a medida que se disponga de información nueva o modificada. Se ruega a los participantes que visiten periódicamente el sitio web del Simposio para comprobar las actualizaciones. Si necesita información adicional sobre el programa, diríjase al Sr. Stefano Polidori </w:t>
      </w:r>
      <w:r w:rsidRPr="00C615EA">
        <w:rPr>
          <w:bCs/>
          <w:sz w:val="22"/>
          <w:szCs w:val="22"/>
          <w:lang w:val="es-ES"/>
        </w:rPr>
        <w:t>(</w:t>
      </w:r>
      <w:hyperlink r:id="rId12" w:history="1">
        <w:r w:rsidRPr="00C615EA">
          <w:rPr>
            <w:rStyle w:val="Hyperlink"/>
            <w:bCs/>
            <w:sz w:val="22"/>
            <w:szCs w:val="22"/>
            <w:lang w:val="es-ES"/>
          </w:rPr>
          <w:t>stefano.polidori@itu.int</w:t>
        </w:r>
      </w:hyperlink>
      <w:r w:rsidRPr="00C615EA">
        <w:rPr>
          <w:bCs/>
          <w:sz w:val="22"/>
          <w:szCs w:val="22"/>
          <w:lang w:val="es-ES"/>
        </w:rPr>
        <w:t>)</w:t>
      </w:r>
      <w:r w:rsidRPr="00C615EA">
        <w:rPr>
          <w:sz w:val="22"/>
          <w:szCs w:val="22"/>
          <w:lang w:val="es-ES"/>
        </w:rPr>
        <w:t>.</w:t>
      </w:r>
    </w:p>
    <w:p w14:paraId="6EACA121" w14:textId="60C8130C" w:rsidR="003C5436" w:rsidRPr="00C615EA" w:rsidRDefault="003C5436" w:rsidP="007B6316">
      <w:pPr>
        <w:rPr>
          <w:sz w:val="22"/>
          <w:szCs w:val="18"/>
        </w:rPr>
      </w:pPr>
      <w:r w:rsidRPr="00C615EA">
        <w:rPr>
          <w:sz w:val="22"/>
          <w:szCs w:val="22"/>
          <w:lang w:val="es-ES"/>
        </w:rPr>
        <w:t>9</w:t>
      </w:r>
      <w:r w:rsidRPr="00C615EA">
        <w:rPr>
          <w:sz w:val="22"/>
          <w:szCs w:val="22"/>
          <w:lang w:val="es-ES"/>
        </w:rPr>
        <w:tab/>
      </w:r>
      <w:proofErr w:type="gramStart"/>
      <w:r w:rsidRPr="00C615EA">
        <w:rPr>
          <w:sz w:val="22"/>
          <w:szCs w:val="22"/>
          <w:lang w:val="es-ES"/>
        </w:rPr>
        <w:t>Si</w:t>
      </w:r>
      <w:proofErr w:type="gramEnd"/>
      <w:r w:rsidRPr="00C615EA">
        <w:rPr>
          <w:sz w:val="22"/>
          <w:szCs w:val="22"/>
          <w:lang w:val="es-ES"/>
        </w:rPr>
        <w:t xml:space="preserve"> desea información sobre las </w:t>
      </w:r>
      <w:r w:rsidRPr="00C615EA">
        <w:rPr>
          <w:b/>
          <w:bCs/>
          <w:sz w:val="22"/>
          <w:szCs w:val="22"/>
          <w:lang w:val="es-ES"/>
        </w:rPr>
        <w:t>oportunidades de patrocinio</w:t>
      </w:r>
      <w:r w:rsidRPr="00C615EA">
        <w:rPr>
          <w:sz w:val="22"/>
          <w:szCs w:val="22"/>
          <w:lang w:val="es-ES"/>
        </w:rPr>
        <w:t xml:space="preserve"> del FNC-2025, puede comunicarse con </w:t>
      </w:r>
      <w:hyperlink r:id="rId13" w:history="1">
        <w:r w:rsidRPr="00C615EA">
          <w:rPr>
            <w:rStyle w:val="Hyperlink"/>
            <w:sz w:val="22"/>
            <w:szCs w:val="22"/>
            <w:lang w:val="es-ES"/>
          </w:rPr>
          <w:t>tsbevents@itu.int</w:t>
        </w:r>
      </w:hyperlink>
      <w:r w:rsidRPr="00C615EA">
        <w:rPr>
          <w:sz w:val="22"/>
          <w:szCs w:val="22"/>
          <w:lang w:val="es-ES"/>
        </w:rPr>
        <w:t xml:space="preserve">. El paquete de patrocinio puede descargarse en línea en la dirección </w:t>
      </w:r>
      <w:hyperlink r:id="rId14" w:history="1">
        <w:r w:rsidRPr="00C615EA">
          <w:rPr>
            <w:rStyle w:val="Hyperlink"/>
            <w:sz w:val="22"/>
            <w:szCs w:val="22"/>
            <w:lang w:val="es-ES"/>
          </w:rPr>
          <w:t>https://fnc.itu.int/engage/</w:t>
        </w:r>
      </w:hyperlink>
      <w:r w:rsidRPr="00C615EA">
        <w:rPr>
          <w:sz w:val="22"/>
          <w:szCs w:val="22"/>
          <w:lang w:val="es-ES"/>
        </w:rPr>
        <w:t>.</w:t>
      </w:r>
    </w:p>
    <w:p w14:paraId="7059EA85" w14:textId="2AD88DE8" w:rsidR="007B6316" w:rsidRPr="00C615EA" w:rsidRDefault="007B6316" w:rsidP="007B6316">
      <w:pPr>
        <w:rPr>
          <w:sz w:val="22"/>
          <w:szCs w:val="18"/>
        </w:rPr>
      </w:pPr>
      <w:r w:rsidRPr="00C615EA">
        <w:rPr>
          <w:sz w:val="22"/>
          <w:szCs w:val="18"/>
        </w:rPr>
        <w:t>Atentamente,</w:t>
      </w:r>
    </w:p>
    <w:p w14:paraId="036AA23F" w14:textId="4334EAC1" w:rsidR="007B6316" w:rsidRPr="00C615EA" w:rsidRDefault="00D17CB1" w:rsidP="00C615EA">
      <w:pPr>
        <w:spacing w:before="840"/>
        <w:rPr>
          <w:sz w:val="22"/>
          <w:szCs w:val="18"/>
        </w:rPr>
      </w:pPr>
      <w:r>
        <w:rPr>
          <w:rFonts w:cstheme="minorHAnsi"/>
          <w:noProof/>
          <w:sz w:val="22"/>
          <w:lang w:val="es-ES"/>
        </w:rPr>
        <w:drawing>
          <wp:anchor distT="0" distB="0" distL="114300" distR="114300" simplePos="0" relativeHeight="251658240" behindDoc="1" locked="0" layoutInCell="1" allowOverlap="1" wp14:anchorId="601EBE0F" wp14:editId="17AC05E5">
            <wp:simplePos x="0" y="0"/>
            <wp:positionH relativeFrom="margin">
              <wp:align>left</wp:align>
            </wp:positionH>
            <wp:positionV relativeFrom="paragraph">
              <wp:posOffset>134620</wp:posOffset>
            </wp:positionV>
            <wp:extent cx="825542" cy="330217"/>
            <wp:effectExtent l="0" t="0" r="0" b="0"/>
            <wp:wrapNone/>
            <wp:docPr id="170446519"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6519" name="Picture 2" descr="A black text on a white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825542" cy="330217"/>
                    </a:xfrm>
                    <a:prstGeom prst="rect">
                      <a:avLst/>
                    </a:prstGeom>
                  </pic:spPr>
                </pic:pic>
              </a:graphicData>
            </a:graphic>
          </wp:anchor>
        </w:drawing>
      </w:r>
      <w:r w:rsidR="001350B9" w:rsidRPr="00C615EA">
        <w:rPr>
          <w:rFonts w:cstheme="minorHAnsi"/>
          <w:sz w:val="22"/>
          <w:lang w:val="es-ES"/>
        </w:rPr>
        <w:t>Seizo Onoe</w:t>
      </w:r>
      <w:r w:rsidR="007B6316" w:rsidRPr="00C615EA">
        <w:rPr>
          <w:sz w:val="22"/>
          <w:szCs w:val="18"/>
        </w:rPr>
        <w:br/>
      </w:r>
      <w:proofErr w:type="gramStart"/>
      <w:r w:rsidR="007B6316" w:rsidRPr="00C615EA">
        <w:rPr>
          <w:sz w:val="22"/>
          <w:szCs w:val="18"/>
        </w:rPr>
        <w:t>Director</w:t>
      </w:r>
      <w:proofErr w:type="gramEnd"/>
      <w:r w:rsidR="007B6316" w:rsidRPr="00C615EA">
        <w:rPr>
          <w:sz w:val="22"/>
          <w:szCs w:val="18"/>
        </w:rPr>
        <w:t xml:space="preserve"> de la Oficina de </w:t>
      </w:r>
      <w:r w:rsidR="007B6316" w:rsidRPr="00C615EA">
        <w:rPr>
          <w:sz w:val="22"/>
          <w:szCs w:val="18"/>
        </w:rPr>
        <w:br/>
        <w:t>Normalización de las Telecomunicaciones</w:t>
      </w:r>
    </w:p>
    <w:p w14:paraId="10016E71" w14:textId="262C7E0A" w:rsidR="003C5436" w:rsidRPr="00C615EA" w:rsidRDefault="003C5436" w:rsidP="00C615EA">
      <w:pPr>
        <w:spacing w:before="960"/>
        <w:ind w:right="86"/>
        <w:rPr>
          <w:sz w:val="22"/>
          <w:szCs w:val="22"/>
        </w:rPr>
      </w:pPr>
      <w:r w:rsidRPr="00C615EA">
        <w:rPr>
          <w:b/>
          <w:bCs/>
          <w:sz w:val="22"/>
          <w:szCs w:val="22"/>
        </w:rPr>
        <w:t>Anexo</w:t>
      </w:r>
      <w:r w:rsidRPr="00C615EA">
        <w:rPr>
          <w:sz w:val="22"/>
          <w:szCs w:val="22"/>
        </w:rPr>
        <w:t>: 1</w:t>
      </w:r>
    </w:p>
    <w:p w14:paraId="333890AA" w14:textId="0B468BEC" w:rsidR="003C5436" w:rsidRDefault="003C5436">
      <w:pPr>
        <w:tabs>
          <w:tab w:val="clear" w:pos="794"/>
          <w:tab w:val="clear" w:pos="1191"/>
          <w:tab w:val="clear" w:pos="1588"/>
          <w:tab w:val="clear" w:pos="1985"/>
        </w:tabs>
        <w:overflowPunct/>
        <w:autoSpaceDE/>
        <w:autoSpaceDN/>
        <w:adjustRightInd/>
        <w:spacing w:before="0"/>
        <w:textAlignment w:val="auto"/>
        <w:rPr>
          <w:sz w:val="22"/>
          <w:szCs w:val="18"/>
        </w:rPr>
      </w:pPr>
      <w:r>
        <w:rPr>
          <w:sz w:val="22"/>
          <w:szCs w:val="18"/>
        </w:rPr>
        <w:br w:type="page"/>
      </w:r>
    </w:p>
    <w:p w14:paraId="7448D524" w14:textId="77777777" w:rsidR="003C5436" w:rsidRPr="003C5436" w:rsidRDefault="003C5436" w:rsidP="003C5436">
      <w:pPr>
        <w:pStyle w:val="AnnexNotitle"/>
        <w:spacing w:after="120"/>
        <w:rPr>
          <w:b w:val="0"/>
          <w:bCs/>
          <w:sz w:val="24"/>
          <w:szCs w:val="24"/>
          <w:lang w:val="es-ES"/>
        </w:rPr>
      </w:pPr>
      <w:bookmarkStart w:id="4" w:name="annex"/>
      <w:r w:rsidRPr="006D7DEE">
        <w:rPr>
          <w:lang w:val="es-ES"/>
        </w:rPr>
        <w:lastRenderedPageBreak/>
        <w:t>ANEXO</w:t>
      </w:r>
      <w:r w:rsidRPr="006D7DEE">
        <w:rPr>
          <w:lang w:val="es-ES"/>
        </w:rPr>
        <w:br/>
      </w:r>
      <w:r w:rsidRPr="00664D4E">
        <w:rPr>
          <w:sz w:val="24"/>
          <w:szCs w:val="18"/>
          <w:lang w:val="es-ES"/>
        </w:rPr>
        <w:t>Proyecto de programa del FNC-202</w:t>
      </w:r>
      <w:r>
        <w:rPr>
          <w:sz w:val="24"/>
          <w:szCs w:val="18"/>
          <w:lang w:val="es-ES"/>
        </w:rPr>
        <w:t>5</w:t>
      </w:r>
      <w:r w:rsidRPr="00664D4E">
        <w:rPr>
          <w:sz w:val="24"/>
          <w:szCs w:val="18"/>
          <w:lang w:val="es-ES"/>
        </w:rPr>
        <w:br/>
      </w:r>
      <w:r w:rsidRPr="003C5436">
        <w:rPr>
          <w:b w:val="0"/>
          <w:bCs/>
          <w:sz w:val="24"/>
          <w:szCs w:val="24"/>
          <w:lang w:val="es-ES"/>
        </w:rPr>
        <w:t>Plenamente virtual, 24-27 de marzo de 2025</w:t>
      </w:r>
    </w:p>
    <w:tbl>
      <w:tblPr>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629"/>
      </w:tblGrid>
      <w:tr w:rsidR="003C5436" w:rsidRPr="003C5436" w14:paraId="0D87AC34" w14:textId="77777777" w:rsidTr="00EF73C0">
        <w:trPr>
          <w:cantSplit/>
          <w:trHeight w:val="629"/>
          <w:jc w:val="center"/>
        </w:trPr>
        <w:tc>
          <w:tcPr>
            <w:tcW w:w="9639" w:type="dxa"/>
            <w:tcBorders>
              <w:top w:val="single" w:sz="4" w:space="0" w:color="4F81BD"/>
              <w:left w:val="single" w:sz="4" w:space="0" w:color="4F81BD"/>
              <w:bottom w:val="single" w:sz="4" w:space="0" w:color="4F81BD"/>
              <w:right w:val="single" w:sz="4" w:space="0" w:color="4F81BD"/>
            </w:tcBorders>
          </w:tcPr>
          <w:p w14:paraId="2925C83B" w14:textId="77777777" w:rsidR="003C5436" w:rsidRPr="003C5436" w:rsidRDefault="003C5436" w:rsidP="00EF73C0">
            <w:pPr>
              <w:rPr>
                <w:b/>
                <w:bCs/>
                <w:i/>
                <w:iCs/>
                <w:color w:val="5B9BD5"/>
                <w:szCs w:val="24"/>
                <w:lang w:val="es-ES"/>
              </w:rPr>
            </w:pPr>
            <w:r w:rsidRPr="003C5436">
              <w:rPr>
                <w:b/>
                <w:bCs/>
                <w:i/>
                <w:iCs/>
                <w:color w:val="5B9BD5"/>
                <w:szCs w:val="24"/>
                <w:lang w:val="es-ES"/>
              </w:rPr>
              <w:t>24 de marzo de 2025 (13.00-16.00 horas (CET))</w:t>
            </w:r>
          </w:p>
          <w:p w14:paraId="297F468B" w14:textId="77777777" w:rsidR="003C5436" w:rsidRPr="003C5436" w:rsidRDefault="003C5436" w:rsidP="003C5436">
            <w:pPr>
              <w:pStyle w:val="headingb"/>
              <w:rPr>
                <w:szCs w:val="24"/>
                <w:lang w:val="es-ES"/>
              </w:rPr>
            </w:pPr>
            <w:r w:rsidRPr="003C5436">
              <w:rPr>
                <w:szCs w:val="24"/>
                <w:lang w:val="es-ES"/>
              </w:rPr>
              <w:t>APERTURA</w:t>
            </w:r>
          </w:p>
          <w:p w14:paraId="12C20470" w14:textId="77777777" w:rsidR="003C5436" w:rsidRPr="003C5436" w:rsidRDefault="003C5436" w:rsidP="00EF73C0">
            <w:pPr>
              <w:rPr>
                <w:szCs w:val="24"/>
                <w:lang w:val="es-ES"/>
              </w:rPr>
            </w:pPr>
            <w:r w:rsidRPr="003C5436">
              <w:rPr>
                <w:szCs w:val="24"/>
                <w:lang w:val="es-ES"/>
              </w:rPr>
              <w:t>Discursos inaugurales de la UIT y la CEPE</w:t>
            </w:r>
          </w:p>
          <w:p w14:paraId="3830EA2B" w14:textId="77777777" w:rsidR="003C5436" w:rsidRPr="003C5436" w:rsidRDefault="003C5436" w:rsidP="003C5436">
            <w:pPr>
              <w:pStyle w:val="headingb"/>
              <w:rPr>
                <w:szCs w:val="24"/>
                <w:lang w:val="es-ES"/>
              </w:rPr>
            </w:pPr>
            <w:r w:rsidRPr="003C5436">
              <w:rPr>
                <w:szCs w:val="24"/>
                <w:lang w:val="es-ES"/>
              </w:rPr>
              <w:t>SESIÓN 1: Mejorar la seguridad vehicular mediante una reglamentación innovadora</w:t>
            </w:r>
          </w:p>
          <w:p w14:paraId="47945747" w14:textId="6635997C" w:rsidR="003C5436" w:rsidRPr="003C5436" w:rsidRDefault="003C5436" w:rsidP="00EF73C0">
            <w:pPr>
              <w:rPr>
                <w:szCs w:val="24"/>
                <w:lang w:val="es-ES"/>
              </w:rPr>
            </w:pPr>
            <w:r w:rsidRPr="003C5436">
              <w:rPr>
                <w:szCs w:val="24"/>
                <w:lang w:val="es-ES"/>
              </w:rPr>
              <w:t>En Automóvil Conectado del Futuro podrá conocer las últimas novedades en materia de seguridad vehicular. En la Sesión 1 se explorarán las últimas novedades reglamentarias en materia de automatización y seguridad del GT.29/GRVA de la CEPE y de la comunidad reglamentaria del sector del automóvil en general. Entre los puntos más importantes se encuentran la recientemente adoptada reglamentación sobre el control de aceleración en caso de error de pedal</w:t>
            </w:r>
            <w:r>
              <w:rPr>
                <w:szCs w:val="24"/>
                <w:lang w:val="es-ES"/>
              </w:rPr>
              <w:t> </w:t>
            </w:r>
            <w:r w:rsidRPr="003C5436">
              <w:rPr>
                <w:szCs w:val="24"/>
                <w:lang w:val="es-ES"/>
              </w:rPr>
              <w:t>(ACPE) y los avances en materia de sistemas avanzados de frenado de emergencia (AEBS). Únase a los líderes industriales, responsables políticos y expertos técnicos para debatir cómo esas regulaciones darán lugar a vehículos más seguros, inteligentes y reactivos para la movilidad del futuro</w:t>
            </w:r>
          </w:p>
          <w:p w14:paraId="20E50899" w14:textId="77777777" w:rsidR="003C5436" w:rsidRPr="003C5436" w:rsidRDefault="003C5436" w:rsidP="00EF73C0">
            <w:pPr>
              <w:spacing w:after="120"/>
              <w:rPr>
                <w:b/>
                <w:bCs/>
                <w:szCs w:val="24"/>
                <w:lang w:val="es-ES"/>
              </w:rPr>
            </w:pPr>
            <w:r w:rsidRPr="003C5436">
              <w:rPr>
                <w:b/>
                <w:bCs/>
                <w:szCs w:val="24"/>
                <w:lang w:val="es-ES"/>
              </w:rPr>
              <w:t xml:space="preserve">Moderador: Takashi Naono, </w:t>
            </w:r>
            <w:proofErr w:type="gramStart"/>
            <w:r w:rsidRPr="003C5436">
              <w:rPr>
                <w:szCs w:val="24"/>
                <w:lang w:val="es-ES"/>
              </w:rPr>
              <w:t>Director</w:t>
            </w:r>
            <w:proofErr w:type="gramEnd"/>
            <w:r w:rsidRPr="003C5436">
              <w:rPr>
                <w:szCs w:val="24"/>
                <w:lang w:val="es-ES"/>
              </w:rPr>
              <w:t>, MLIT, Japón</w:t>
            </w:r>
          </w:p>
        </w:tc>
      </w:tr>
      <w:tr w:rsidR="003C5436" w:rsidRPr="003C5436" w14:paraId="07076F04" w14:textId="77777777" w:rsidTr="00EF73C0">
        <w:trPr>
          <w:cantSplit/>
          <w:trHeight w:val="629"/>
          <w:jc w:val="center"/>
        </w:trPr>
        <w:tc>
          <w:tcPr>
            <w:tcW w:w="9639" w:type="dxa"/>
            <w:tcBorders>
              <w:top w:val="single" w:sz="4" w:space="0" w:color="4F81BD"/>
              <w:bottom w:val="single" w:sz="4" w:space="0" w:color="4F81BD"/>
              <w:right w:val="single" w:sz="4" w:space="0" w:color="4F81BD"/>
            </w:tcBorders>
          </w:tcPr>
          <w:p w14:paraId="28E5F978" w14:textId="77777777" w:rsidR="003C5436" w:rsidRPr="003C5436" w:rsidRDefault="003C5436" w:rsidP="00EF73C0">
            <w:pPr>
              <w:rPr>
                <w:b/>
                <w:bCs/>
                <w:i/>
                <w:iCs/>
                <w:color w:val="5B9BD5"/>
                <w:szCs w:val="24"/>
                <w:lang w:val="es-ES"/>
              </w:rPr>
            </w:pPr>
            <w:r w:rsidRPr="003C5436">
              <w:rPr>
                <w:b/>
                <w:bCs/>
                <w:i/>
                <w:iCs/>
                <w:color w:val="5B9BD5"/>
                <w:szCs w:val="24"/>
                <w:lang w:val="es-ES"/>
              </w:rPr>
              <w:t>25 de marzo de 2025 (13.00-16.00 horas (CET))</w:t>
            </w:r>
          </w:p>
          <w:p w14:paraId="19A03B60" w14:textId="77777777" w:rsidR="003C5436" w:rsidRPr="003C5436" w:rsidRDefault="003C5436" w:rsidP="003C5436">
            <w:pPr>
              <w:pStyle w:val="headingb"/>
              <w:rPr>
                <w:szCs w:val="24"/>
                <w:lang w:val="es-ES"/>
              </w:rPr>
            </w:pPr>
            <w:r w:rsidRPr="003C5436">
              <w:rPr>
                <w:szCs w:val="24"/>
                <w:lang w:val="es-ES"/>
              </w:rPr>
              <w:t>SESIÓN 2: Retos para lograr la conducción a distancia de los vehículos efectiva</w:t>
            </w:r>
          </w:p>
          <w:p w14:paraId="33128FFE" w14:textId="77777777" w:rsidR="003C5436" w:rsidRPr="003C5436" w:rsidRDefault="003C5436" w:rsidP="00EF73C0">
            <w:pPr>
              <w:rPr>
                <w:szCs w:val="24"/>
                <w:lang w:val="es-ES"/>
              </w:rPr>
            </w:pPr>
            <w:r w:rsidRPr="003C5436">
              <w:rPr>
                <w:szCs w:val="24"/>
                <w:lang w:val="es-ES"/>
              </w:rPr>
              <w:t>En esta sesión se hablará de la teleconducción de los vehículos, capacidad que permite al conductor humano controlar y conducir desde una estación de control un vehículo a distancia gracias a dispositivos de alimentación/control y recibiendo información desde el mismo en pantallas. Se hablará de la motivación y se presentarán algunas aplicaciones posibles, las normas que se están preparando y los proyectos de investigación futuros y en curso, cuyas aplicaciones se están probando o demostrando. Además, se examinarán los requisitos y retos de la teleconducción en relación con los factores humanos, el hardware, el software y las limitaciones presentes.</w:t>
            </w:r>
          </w:p>
          <w:p w14:paraId="6A2ACD00" w14:textId="77777777" w:rsidR="003C5436" w:rsidRPr="003C5436" w:rsidRDefault="003C5436" w:rsidP="00EF73C0">
            <w:pPr>
              <w:spacing w:after="120"/>
              <w:rPr>
                <w:szCs w:val="24"/>
                <w:lang w:val="en-GB"/>
              </w:rPr>
            </w:pPr>
            <w:r w:rsidRPr="003C5436">
              <w:rPr>
                <w:b/>
                <w:bCs/>
                <w:szCs w:val="24"/>
                <w:lang w:val="en-US"/>
              </w:rPr>
              <w:t>Moderador</w:t>
            </w:r>
            <w:r w:rsidRPr="003C5436">
              <w:rPr>
                <w:b/>
                <w:bCs/>
                <w:szCs w:val="24"/>
                <w:lang w:val="en-GB"/>
              </w:rPr>
              <w:t>: William (Bill) Gouse</w:t>
            </w:r>
            <w:r w:rsidRPr="003C5436">
              <w:rPr>
                <w:szCs w:val="24"/>
                <w:lang w:val="en-GB"/>
              </w:rPr>
              <w:t>, SAE International</w:t>
            </w:r>
          </w:p>
        </w:tc>
      </w:tr>
      <w:tr w:rsidR="003C5436" w:rsidRPr="003C5436" w14:paraId="73060977" w14:textId="77777777" w:rsidTr="00EF73C0">
        <w:trPr>
          <w:cantSplit/>
          <w:trHeight w:val="629"/>
          <w:jc w:val="center"/>
        </w:trPr>
        <w:tc>
          <w:tcPr>
            <w:tcW w:w="9639" w:type="dxa"/>
            <w:tcBorders>
              <w:top w:val="single" w:sz="4" w:space="0" w:color="4F81BD"/>
              <w:left w:val="single" w:sz="4" w:space="0" w:color="4F81BD"/>
              <w:bottom w:val="single" w:sz="4" w:space="0" w:color="4F81BD"/>
              <w:right w:val="single" w:sz="4" w:space="0" w:color="4F81BD"/>
            </w:tcBorders>
          </w:tcPr>
          <w:p w14:paraId="433AA327" w14:textId="77777777" w:rsidR="003C5436" w:rsidRPr="003C5436" w:rsidRDefault="003C5436" w:rsidP="00EF73C0">
            <w:pPr>
              <w:rPr>
                <w:b/>
                <w:bCs/>
                <w:i/>
                <w:iCs/>
                <w:color w:val="5B9BD5"/>
                <w:szCs w:val="24"/>
                <w:lang w:val="es-ES"/>
              </w:rPr>
            </w:pPr>
            <w:r w:rsidRPr="003C5436">
              <w:rPr>
                <w:b/>
                <w:bCs/>
                <w:i/>
                <w:iCs/>
                <w:color w:val="5B9BD5"/>
                <w:szCs w:val="24"/>
                <w:lang w:val="es-ES"/>
              </w:rPr>
              <w:t>26 de marzo de 2025 (13.00-16.00 horas (CET))</w:t>
            </w:r>
          </w:p>
          <w:p w14:paraId="3B91D993" w14:textId="77777777" w:rsidR="003C5436" w:rsidRPr="003C5436" w:rsidRDefault="003C5436" w:rsidP="003C5436">
            <w:pPr>
              <w:pStyle w:val="headingb"/>
              <w:rPr>
                <w:szCs w:val="24"/>
                <w:lang w:val="es-ES"/>
              </w:rPr>
            </w:pPr>
            <w:r w:rsidRPr="003C5436">
              <w:rPr>
                <w:szCs w:val="24"/>
                <w:lang w:val="es-ES"/>
              </w:rPr>
              <w:t>SESIÓN 3: Esbozo de la conectividad automóvil celular por satélite</w:t>
            </w:r>
          </w:p>
          <w:p w14:paraId="65549E0A" w14:textId="77777777" w:rsidR="003C5436" w:rsidRPr="003C5436" w:rsidRDefault="003C5436" w:rsidP="00EF73C0">
            <w:pPr>
              <w:rPr>
                <w:szCs w:val="24"/>
                <w:lang w:val="es-ES"/>
              </w:rPr>
            </w:pPr>
            <w:r w:rsidRPr="003C5436">
              <w:rPr>
                <w:szCs w:val="24"/>
                <w:lang w:val="es-ES"/>
              </w:rPr>
              <w:t>La transición a la 5G R17-19 está propiciando las comunicaciones por satélite directas al dispositivo con teléfonos y, pronto, con automóviles. En un primer momento se tratará de aplicaciones para las intervenciones en caso de emergencia y otras aplicaciones de banda estrecha. Más adelante llegarán las soluciones de banda ancha. Los proveedores de servicios por satélite deben cooperar con los operadores inalámbricos y los fabricantes de automóviles para integrar las nuevas tecnologías de antena, la adopción de nuevas normas y la consideración de nuevos modelos comerciales. Los oradores considerarán todos estos temas.</w:t>
            </w:r>
          </w:p>
          <w:p w14:paraId="7B4DCEDE" w14:textId="3F3F3F92" w:rsidR="003C5436" w:rsidRPr="003C5436" w:rsidRDefault="003C5436" w:rsidP="00EF73C0">
            <w:pPr>
              <w:spacing w:after="120"/>
              <w:rPr>
                <w:szCs w:val="24"/>
                <w:lang w:val="es-ES"/>
              </w:rPr>
            </w:pPr>
            <w:r w:rsidRPr="003C5436">
              <w:rPr>
                <w:b/>
                <w:bCs/>
                <w:szCs w:val="24"/>
                <w:lang w:val="es-ES"/>
              </w:rPr>
              <w:t>Moderador: Roger Lanctot</w:t>
            </w:r>
            <w:r w:rsidRPr="003C5436">
              <w:rPr>
                <w:szCs w:val="24"/>
                <w:lang w:val="es-ES"/>
              </w:rPr>
              <w:t xml:space="preserve">, </w:t>
            </w:r>
            <w:proofErr w:type="gramStart"/>
            <w:r w:rsidRPr="003C5436">
              <w:rPr>
                <w:szCs w:val="24"/>
                <w:lang w:val="es-ES"/>
              </w:rPr>
              <w:t>Presidente</w:t>
            </w:r>
            <w:proofErr w:type="gramEnd"/>
            <w:r w:rsidRPr="003C5436">
              <w:rPr>
                <w:szCs w:val="24"/>
                <w:lang w:val="es-ES"/>
              </w:rPr>
              <w:t>, Mobile Satellite Users Association</w:t>
            </w:r>
          </w:p>
        </w:tc>
      </w:tr>
      <w:tr w:rsidR="003C5436" w:rsidRPr="003C5436" w14:paraId="5D27851B" w14:textId="77777777" w:rsidTr="00EF73C0">
        <w:trPr>
          <w:cantSplit/>
          <w:trHeight w:val="629"/>
          <w:jc w:val="center"/>
        </w:trPr>
        <w:tc>
          <w:tcPr>
            <w:tcW w:w="9639" w:type="dxa"/>
            <w:tcBorders>
              <w:top w:val="single" w:sz="4" w:space="0" w:color="4F81BD"/>
              <w:left w:val="single" w:sz="4" w:space="0" w:color="4F81BD"/>
              <w:bottom w:val="single" w:sz="4" w:space="0" w:color="4F81BD"/>
              <w:right w:val="single" w:sz="4" w:space="0" w:color="4F81BD"/>
            </w:tcBorders>
          </w:tcPr>
          <w:p w14:paraId="49A60CF2" w14:textId="77777777" w:rsidR="003C5436" w:rsidRPr="003C5436" w:rsidRDefault="003C5436" w:rsidP="00EF73C0">
            <w:pPr>
              <w:rPr>
                <w:b/>
                <w:bCs/>
                <w:i/>
                <w:iCs/>
                <w:color w:val="5B9BD5"/>
                <w:szCs w:val="24"/>
                <w:lang w:val="es-ES"/>
              </w:rPr>
            </w:pPr>
            <w:r w:rsidRPr="003C5436">
              <w:rPr>
                <w:b/>
                <w:bCs/>
                <w:i/>
                <w:iCs/>
                <w:color w:val="5B9BD5"/>
                <w:szCs w:val="24"/>
                <w:lang w:val="es-ES"/>
              </w:rPr>
              <w:lastRenderedPageBreak/>
              <w:t>27 de marzo de 2025 (13.00-16.00 horas (CET))</w:t>
            </w:r>
          </w:p>
          <w:p w14:paraId="024B7D5B" w14:textId="77777777" w:rsidR="003C5436" w:rsidRPr="003C5436" w:rsidRDefault="003C5436" w:rsidP="003C5436">
            <w:pPr>
              <w:pStyle w:val="headingb"/>
              <w:rPr>
                <w:szCs w:val="24"/>
                <w:lang w:val="es-ES"/>
              </w:rPr>
            </w:pPr>
            <w:r w:rsidRPr="003C5436">
              <w:rPr>
                <w:szCs w:val="24"/>
                <w:lang w:val="es-ES"/>
              </w:rPr>
              <w:t>SESIÓN 4: Comunicación vehicular para la conducción automatizada</w:t>
            </w:r>
          </w:p>
          <w:p w14:paraId="2514AC94" w14:textId="77777777" w:rsidR="003C5436" w:rsidRPr="003C5436" w:rsidRDefault="003C5436" w:rsidP="00EF73C0">
            <w:pPr>
              <w:rPr>
                <w:szCs w:val="24"/>
                <w:lang w:val="es-ES"/>
              </w:rPr>
            </w:pPr>
            <w:r w:rsidRPr="003C5436">
              <w:rPr>
                <w:szCs w:val="24"/>
                <w:lang w:val="es-ES"/>
              </w:rPr>
              <w:t>Los vehículos con sistemas de conducción automatizada (ADS) llevan muchos años en fase de desarrollo. Se ha realizado una amplia gama de pruebas de vehículos con ADS y han comenzado los despliegues iniciales. Los conductores se están familiarizando con la automatización de los vehículos. La creencia general es que seguirá creciendo el nivel de automatización en los vehículos. En esta sesión se explorará cómo se utilizarán las comunicaciones vehiculares en los vehículos con ADS y qué medidas serán necesarias en el futuro. De este tema se ocupa el Grupo de Expertos sobre Comunicación Vehicular para la Conducción Automatizada de la CITS, que presentará sus últimas novedades al respecto.</w:t>
            </w:r>
          </w:p>
          <w:p w14:paraId="252D7D2A" w14:textId="77777777" w:rsidR="003C5436" w:rsidRPr="003C5436" w:rsidRDefault="003C5436" w:rsidP="00EF73C0">
            <w:pPr>
              <w:spacing w:after="120"/>
              <w:rPr>
                <w:szCs w:val="24"/>
                <w:lang w:val="es-ES"/>
              </w:rPr>
            </w:pPr>
            <w:r w:rsidRPr="003C5436">
              <w:rPr>
                <w:b/>
                <w:bCs/>
                <w:szCs w:val="24"/>
                <w:lang w:val="es-ES"/>
              </w:rPr>
              <w:t>Moderador: T. Russell Shields</w:t>
            </w:r>
            <w:r w:rsidRPr="003C5436">
              <w:rPr>
                <w:szCs w:val="24"/>
                <w:lang w:val="es-ES"/>
              </w:rPr>
              <w:t xml:space="preserve">, </w:t>
            </w:r>
            <w:proofErr w:type="gramStart"/>
            <w:r w:rsidRPr="003C5436">
              <w:rPr>
                <w:szCs w:val="24"/>
                <w:lang w:val="es-ES"/>
              </w:rPr>
              <w:t>Presidente</w:t>
            </w:r>
            <w:proofErr w:type="gramEnd"/>
            <w:r w:rsidRPr="003C5436">
              <w:rPr>
                <w:szCs w:val="24"/>
                <w:lang w:val="es-ES"/>
              </w:rPr>
              <w:t>, Colaboración sobre Normas de Comunicación para Sistemas de Transporte Inteligente de la UIT</w:t>
            </w:r>
          </w:p>
        </w:tc>
      </w:tr>
      <w:bookmarkEnd w:id="4"/>
    </w:tbl>
    <w:p w14:paraId="6CE7AB84" w14:textId="77777777" w:rsidR="003C5436" w:rsidRPr="003C1C39" w:rsidRDefault="003C5436" w:rsidP="00411C49">
      <w:pPr>
        <w:pStyle w:val="Reasons"/>
        <w:rPr>
          <w:lang w:val="fr-FR"/>
        </w:rPr>
      </w:pPr>
    </w:p>
    <w:p w14:paraId="2C728546" w14:textId="48C79B94" w:rsidR="003C5436" w:rsidRPr="003C5436" w:rsidRDefault="003C5436" w:rsidP="003C1C39"/>
    <w:sectPr w:rsidR="003C5436" w:rsidRPr="003C5436" w:rsidSect="00B87E9E">
      <w:headerReference w:type="default" r:id="rId16"/>
      <w:footerReference w:type="first" r:id="rId1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2F103" w14:textId="77777777" w:rsidR="009F04A2" w:rsidRDefault="009F04A2">
      <w:r>
        <w:separator/>
      </w:r>
    </w:p>
  </w:endnote>
  <w:endnote w:type="continuationSeparator" w:id="0">
    <w:p w14:paraId="4B2AED87" w14:textId="77777777" w:rsidR="009F04A2" w:rsidRDefault="009F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800008E7" w:usb1="00000000" w:usb2="00000000" w:usb3="00000000" w:csb0="000001F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07981"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98D97" w14:textId="77777777" w:rsidR="009F04A2" w:rsidRDefault="009F04A2">
      <w:r>
        <w:t>____________________</w:t>
      </w:r>
    </w:p>
  </w:footnote>
  <w:footnote w:type="continuationSeparator" w:id="0">
    <w:p w14:paraId="30573071" w14:textId="77777777" w:rsidR="009F04A2" w:rsidRDefault="009F0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DA8A" w14:textId="406F8C2C"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543FC00E" w14:textId="2CB7AC55" w:rsidR="003C1C39" w:rsidRPr="00303D62" w:rsidRDefault="003C5436" w:rsidP="003C1C39">
    <w:pPr>
      <w:pStyle w:val="Header"/>
      <w:rPr>
        <w:sz w:val="18"/>
        <w:szCs w:val="18"/>
      </w:rPr>
    </w:pPr>
    <w:r>
      <w:rPr>
        <w:rStyle w:val="PageNumber"/>
        <w:sz w:val="18"/>
        <w:szCs w:val="18"/>
      </w:rPr>
      <w:t xml:space="preserve">Circular TSB </w:t>
    </w:r>
    <w:r w:rsidR="003C1C39">
      <w:rPr>
        <w:rStyle w:val="PageNumber"/>
        <w:sz w:val="18"/>
        <w:szCs w:val="18"/>
      </w:rPr>
      <w:t>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3"/>
  </w:num>
  <w:num w:numId="3" w16cid:durableId="1069613404">
    <w:abstractNumId w:val="2"/>
  </w:num>
  <w:num w:numId="4" w16cid:durableId="37493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40"/>
    <w:rsid w:val="00002529"/>
    <w:rsid w:val="00085662"/>
    <w:rsid w:val="000A340F"/>
    <w:rsid w:val="000C382F"/>
    <w:rsid w:val="001173CC"/>
    <w:rsid w:val="001350B9"/>
    <w:rsid w:val="0014464D"/>
    <w:rsid w:val="001A54CC"/>
    <w:rsid w:val="00257FB4"/>
    <w:rsid w:val="002E496E"/>
    <w:rsid w:val="00303D62"/>
    <w:rsid w:val="00335367"/>
    <w:rsid w:val="00370C2D"/>
    <w:rsid w:val="003C1C39"/>
    <w:rsid w:val="003C5436"/>
    <w:rsid w:val="003D1E8D"/>
    <w:rsid w:val="003D673B"/>
    <w:rsid w:val="003F2855"/>
    <w:rsid w:val="00401C20"/>
    <w:rsid w:val="004A7957"/>
    <w:rsid w:val="004C4144"/>
    <w:rsid w:val="0055719E"/>
    <w:rsid w:val="006969B4"/>
    <w:rsid w:val="006E4F7B"/>
    <w:rsid w:val="00781E2A"/>
    <w:rsid w:val="007933A2"/>
    <w:rsid w:val="007B6316"/>
    <w:rsid w:val="007E1140"/>
    <w:rsid w:val="00814503"/>
    <w:rsid w:val="008258C2"/>
    <w:rsid w:val="008505BD"/>
    <w:rsid w:val="00850C78"/>
    <w:rsid w:val="00876165"/>
    <w:rsid w:val="00884D12"/>
    <w:rsid w:val="008C17AD"/>
    <w:rsid w:val="008D02CD"/>
    <w:rsid w:val="0091370C"/>
    <w:rsid w:val="0095172A"/>
    <w:rsid w:val="009A0BA0"/>
    <w:rsid w:val="009F04A2"/>
    <w:rsid w:val="00A54E47"/>
    <w:rsid w:val="00AB6E3A"/>
    <w:rsid w:val="00AE7093"/>
    <w:rsid w:val="00B422BC"/>
    <w:rsid w:val="00B43F77"/>
    <w:rsid w:val="00B55A3E"/>
    <w:rsid w:val="00B87E9E"/>
    <w:rsid w:val="00B95F0A"/>
    <w:rsid w:val="00B96180"/>
    <w:rsid w:val="00C116FE"/>
    <w:rsid w:val="00C17AC0"/>
    <w:rsid w:val="00C34772"/>
    <w:rsid w:val="00C3712D"/>
    <w:rsid w:val="00C5465A"/>
    <w:rsid w:val="00C615EA"/>
    <w:rsid w:val="00D17CB1"/>
    <w:rsid w:val="00D54642"/>
    <w:rsid w:val="00D834E7"/>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DAEA1"/>
  <w15:docId w15:val="{FA92CD87-0B5B-4006-979B-196EC96F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7E1140"/>
    <w:rPr>
      <w:color w:val="605E5C"/>
      <w:shd w:val="clear" w:color="auto" w:fill="E1DFDD"/>
    </w:rPr>
  </w:style>
  <w:style w:type="paragraph" w:customStyle="1" w:styleId="Reasons">
    <w:name w:val="Reasons"/>
    <w:basedOn w:val="Normal"/>
    <w:qFormat/>
    <w:rsid w:val="003C543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events@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fano.polidori@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c.itu.in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go/ci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fnc.itu.int/engag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23</TotalTime>
  <Pages>4</Pages>
  <Words>1206</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8281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4</cp:revision>
  <cp:lastPrinted>2025-01-29T11:17:00Z</cp:lastPrinted>
  <dcterms:created xsi:type="dcterms:W3CDTF">2025-01-21T07:44:00Z</dcterms:created>
  <dcterms:modified xsi:type="dcterms:W3CDTF">2025-01-29T11:17:00Z</dcterms:modified>
</cp:coreProperties>
</file>