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9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701"/>
      </w:tblGrid>
      <w:tr w:rsidR="00D6175C" w:rsidRPr="008B3C1D" w14:paraId="68AAE004" w14:textId="77777777" w:rsidTr="001E0025">
        <w:trPr>
          <w:cantSplit/>
        </w:trPr>
        <w:tc>
          <w:tcPr>
            <w:tcW w:w="1418" w:type="dxa"/>
            <w:vAlign w:val="center"/>
          </w:tcPr>
          <w:p w14:paraId="1792D427" w14:textId="77777777" w:rsidR="00D6175C" w:rsidRPr="000A5FF0" w:rsidRDefault="00D6175C" w:rsidP="00D6175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5FF0">
              <w:rPr>
                <w:rFonts w:ascii="Calibri" w:hAnsi="Calibri"/>
                <w:noProof/>
                <w:sz w:val="24"/>
                <w:szCs w:val="20"/>
                <w:lang w:val="ru-RU" w:eastAsia="zh-CN"/>
              </w:rPr>
              <w:drawing>
                <wp:inline distT="0" distB="0" distL="0" distR="0" wp14:anchorId="7E60DB3B" wp14:editId="46CBB402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6E194E3" w14:textId="77777777" w:rsidR="00D6175C" w:rsidRPr="000A5FF0" w:rsidRDefault="00D6175C" w:rsidP="00D6175C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5FF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719B58F" w14:textId="77777777" w:rsidR="00D6175C" w:rsidRPr="000A5FF0" w:rsidRDefault="00D6175C" w:rsidP="00D6175C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5FF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14:paraId="40571AC5" w14:textId="77777777" w:rsidR="00D6175C" w:rsidRPr="000A5FF0" w:rsidRDefault="00D6175C" w:rsidP="00D6175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1E61FC2" w14:textId="07C26523" w:rsidR="001629DC" w:rsidRPr="000A5FF0" w:rsidRDefault="001629DC" w:rsidP="00D6175C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0A5FF0">
        <w:rPr>
          <w:lang w:val="ru-RU"/>
        </w:rPr>
        <w:tab/>
      </w:r>
      <w:r w:rsidR="00AC7192" w:rsidRPr="000A5FF0">
        <w:rPr>
          <w:lang w:val="ru-RU"/>
        </w:rPr>
        <w:t xml:space="preserve">Женева, </w:t>
      </w:r>
      <w:r w:rsidR="00843298" w:rsidRPr="000A5FF0">
        <w:rPr>
          <w:lang w:val="ru-RU"/>
        </w:rPr>
        <w:t>14 ноября</w:t>
      </w:r>
      <w:r w:rsidR="00E35EB5" w:rsidRPr="000A5FF0">
        <w:rPr>
          <w:lang w:val="ru-RU"/>
        </w:rPr>
        <w:t xml:space="preserve"> </w:t>
      </w:r>
      <w:r w:rsidR="00AC7192" w:rsidRPr="000A5FF0">
        <w:rPr>
          <w:lang w:val="ru-RU"/>
        </w:rPr>
        <w:t>20</w:t>
      </w:r>
      <w:r w:rsidR="00D87385" w:rsidRPr="000A5FF0">
        <w:rPr>
          <w:lang w:val="ru-RU"/>
        </w:rPr>
        <w:t>2</w:t>
      </w:r>
      <w:r w:rsidR="00E35EB5" w:rsidRPr="000A5FF0">
        <w:rPr>
          <w:lang w:val="ru-RU"/>
        </w:rPr>
        <w:t>4</w:t>
      </w:r>
      <w:r w:rsidR="00AC7192" w:rsidRPr="000A5FF0">
        <w:rPr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536"/>
      </w:tblGrid>
      <w:tr w:rsidR="004E46B0" w:rsidRPr="008B3C1D" w14:paraId="0AD268BB" w14:textId="77777777" w:rsidTr="001E0025">
        <w:trPr>
          <w:cantSplit/>
        </w:trPr>
        <w:tc>
          <w:tcPr>
            <w:tcW w:w="1418" w:type="dxa"/>
          </w:tcPr>
          <w:p w14:paraId="745D11A4" w14:textId="77777777" w:rsidR="004E46B0" w:rsidRPr="000A5FF0" w:rsidRDefault="004E46B0" w:rsidP="00587B40">
            <w:pPr>
              <w:spacing w:before="0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Осн</w:t>
            </w:r>
            <w:r w:rsidRPr="000A5FF0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C9852F9" w14:textId="44575266" w:rsidR="002C5CBA" w:rsidRPr="000A5FF0" w:rsidRDefault="004E46B0" w:rsidP="003C37EB">
            <w:pPr>
              <w:spacing w:before="0"/>
              <w:rPr>
                <w:szCs w:val="18"/>
                <w:lang w:val="ru-RU"/>
              </w:rPr>
            </w:pPr>
            <w:r w:rsidRPr="000A5FF0">
              <w:rPr>
                <w:b/>
                <w:bCs/>
                <w:lang w:val="ru-RU"/>
              </w:rPr>
              <w:t xml:space="preserve">Циркуляр </w:t>
            </w:r>
            <w:r w:rsidR="006019E3" w:rsidRPr="000A5FF0">
              <w:rPr>
                <w:b/>
                <w:bCs/>
                <w:lang w:val="ru-RU"/>
              </w:rPr>
              <w:t>00</w:t>
            </w:r>
            <w:r w:rsidR="00E83566" w:rsidRPr="000A5FF0">
              <w:rPr>
                <w:b/>
                <w:bCs/>
                <w:lang w:val="ru-RU"/>
              </w:rPr>
              <w:t>3</w:t>
            </w:r>
            <w:r w:rsidRPr="000A5FF0">
              <w:rPr>
                <w:b/>
                <w:bCs/>
                <w:lang w:val="ru-RU"/>
              </w:rPr>
              <w:t xml:space="preserve"> БСЭ</w:t>
            </w:r>
            <w:r w:rsidR="00861F21" w:rsidRPr="000A5FF0">
              <w:rPr>
                <w:b/>
                <w:bCs/>
                <w:lang w:val="ru-RU"/>
              </w:rPr>
              <w:br/>
            </w:r>
            <w:r w:rsidR="0049505A" w:rsidRPr="000A5FF0">
              <w:rPr>
                <w:szCs w:val="18"/>
                <w:lang w:val="ru-RU"/>
              </w:rPr>
              <w:t>SG</w:t>
            </w:r>
            <w:r w:rsidR="00E83566" w:rsidRPr="000A5FF0">
              <w:rPr>
                <w:szCs w:val="18"/>
                <w:lang w:val="ru-RU"/>
              </w:rPr>
              <w:t>17</w:t>
            </w:r>
            <w:r w:rsidR="0049505A" w:rsidRPr="000A5FF0">
              <w:rPr>
                <w:szCs w:val="18"/>
                <w:lang w:val="ru-RU"/>
              </w:rPr>
              <w:t>/</w:t>
            </w:r>
            <w:r w:rsidR="00E83566" w:rsidRPr="000A5FF0">
              <w:rPr>
                <w:szCs w:val="18"/>
                <w:lang w:val="ru-RU"/>
              </w:rPr>
              <w:t>XY</w:t>
            </w:r>
          </w:p>
          <w:p w14:paraId="4C70CAD9" w14:textId="330F2C47" w:rsidR="00843298" w:rsidRPr="000A5FF0" w:rsidRDefault="00843298" w:rsidP="003C37EB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1E22B80F" w14:textId="77777777" w:rsidR="00C564D0" w:rsidRPr="000A5FF0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A5FF0">
              <w:rPr>
                <w:b/>
                <w:bCs/>
                <w:szCs w:val="22"/>
                <w:lang w:val="ru-RU"/>
              </w:rPr>
              <w:t>Кому</w:t>
            </w:r>
            <w:r w:rsidRPr="000A5FF0">
              <w:rPr>
                <w:szCs w:val="22"/>
                <w:lang w:val="ru-RU"/>
              </w:rPr>
              <w:t>:</w:t>
            </w:r>
          </w:p>
          <w:p w14:paraId="34FBC708" w14:textId="0353C36F" w:rsidR="00C564D0" w:rsidRPr="000A5FF0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0A5FF0">
              <w:rPr>
                <w:sz w:val="22"/>
                <w:szCs w:val="22"/>
                <w:lang w:val="ru-RU"/>
              </w:rPr>
              <w:t>−</w:t>
            </w:r>
            <w:r w:rsidRPr="000A5FF0">
              <w:rPr>
                <w:sz w:val="22"/>
                <w:szCs w:val="22"/>
                <w:lang w:val="ru-RU"/>
              </w:rPr>
              <w:tab/>
              <w:t>Администрациям Государств</w:t>
            </w:r>
            <w:r w:rsidR="002C5CBA" w:rsidRPr="000A5FF0">
              <w:rPr>
                <w:sz w:val="22"/>
                <w:szCs w:val="22"/>
                <w:lang w:val="ru-RU"/>
              </w:rPr>
              <w:t xml:space="preserve"> − </w:t>
            </w:r>
            <w:r w:rsidRPr="000A5FF0">
              <w:rPr>
                <w:sz w:val="22"/>
                <w:szCs w:val="22"/>
                <w:lang w:val="ru-RU"/>
              </w:rPr>
              <w:t>Членов Союза</w:t>
            </w:r>
          </w:p>
          <w:p w14:paraId="63FE95FF" w14:textId="77777777" w:rsidR="00797FE8" w:rsidRPr="000A5FF0" w:rsidRDefault="00797FE8" w:rsidP="00C14A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0A5FF0">
              <w:rPr>
                <w:b/>
                <w:bCs/>
                <w:szCs w:val="22"/>
                <w:lang w:val="ru-RU"/>
              </w:rPr>
              <w:t>Копии</w:t>
            </w:r>
            <w:r w:rsidRPr="000A5FF0">
              <w:rPr>
                <w:szCs w:val="22"/>
                <w:lang w:val="ru-RU"/>
              </w:rPr>
              <w:t>:</w:t>
            </w:r>
          </w:p>
          <w:p w14:paraId="0940A07D" w14:textId="77777777" w:rsidR="009430E6" w:rsidRPr="000A5F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>Членам Сектора МСЭ-Т</w:t>
            </w:r>
          </w:p>
          <w:p w14:paraId="0F598812" w14:textId="64F95AAA" w:rsidR="009430E6" w:rsidRPr="000A5F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E83566" w:rsidRPr="000A5FF0">
              <w:rPr>
                <w:lang w:val="ru-RU"/>
              </w:rPr>
              <w:t>17</w:t>
            </w:r>
            <w:r w:rsidRPr="000A5FF0">
              <w:rPr>
                <w:lang w:val="ru-RU"/>
              </w:rPr>
              <w:t>-й Исследовательской комиссии МСЭ-Т</w:t>
            </w:r>
          </w:p>
          <w:p w14:paraId="598B146A" w14:textId="0F2D532B" w:rsidR="00BF3675" w:rsidRPr="000A5F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>Академическим организациям − Членам МСЭ</w:t>
            </w:r>
          </w:p>
          <w:p w14:paraId="58F8B00E" w14:textId="4FB747B1" w:rsidR="009430E6" w:rsidRPr="000A5F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>Председателю и заместител</w:t>
            </w:r>
            <w:r w:rsidR="00E83566" w:rsidRPr="000A5FF0">
              <w:rPr>
                <w:lang w:val="ru-RU"/>
              </w:rPr>
              <w:t>ю</w:t>
            </w:r>
            <w:r w:rsidRPr="000A5FF0">
              <w:rPr>
                <w:lang w:val="ru-RU"/>
              </w:rPr>
              <w:t xml:space="preserve"> Председателя </w:t>
            </w:r>
            <w:r w:rsidR="00E83566" w:rsidRPr="000A5FF0">
              <w:rPr>
                <w:lang w:val="ru-RU"/>
              </w:rPr>
              <w:t>17</w:t>
            </w:r>
            <w:r w:rsidRPr="000A5FF0">
              <w:rPr>
                <w:lang w:val="ru-RU"/>
              </w:rPr>
              <w:t>-й Исследовательской комиссии МСЭ-Т</w:t>
            </w:r>
          </w:p>
          <w:p w14:paraId="5786DBBB" w14:textId="77777777" w:rsidR="009430E6" w:rsidRPr="000A5FF0" w:rsidRDefault="009430E6" w:rsidP="009430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>Директору Бюро развития электросвязи</w:t>
            </w:r>
          </w:p>
          <w:p w14:paraId="73D699AD" w14:textId="528F2CAD" w:rsidR="00657F8E" w:rsidRPr="000A5FF0" w:rsidRDefault="009430E6" w:rsidP="00D617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0A5FF0">
              <w:rPr>
                <w:lang w:val="ru-RU"/>
              </w:rPr>
              <w:t>–</w:t>
            </w:r>
            <w:r w:rsidRPr="000A5FF0">
              <w:rPr>
                <w:lang w:val="ru-RU"/>
              </w:rPr>
              <w:tab/>
              <w:t>Директору Бюро радиосвязи</w:t>
            </w:r>
          </w:p>
        </w:tc>
      </w:tr>
      <w:tr w:rsidR="00F87345" w:rsidRPr="000A5FF0" w14:paraId="64CFD2CC" w14:textId="77777777" w:rsidTr="001E0025">
        <w:trPr>
          <w:cantSplit/>
          <w:trHeight w:val="1583"/>
        </w:trPr>
        <w:tc>
          <w:tcPr>
            <w:tcW w:w="1418" w:type="dxa"/>
          </w:tcPr>
          <w:p w14:paraId="1781AC3E" w14:textId="77777777" w:rsidR="00843298" w:rsidRPr="000A5FF0" w:rsidRDefault="00F87345" w:rsidP="00843298">
            <w:pPr>
              <w:spacing w:before="40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Тел</w:t>
            </w:r>
            <w:r w:rsidRPr="000A5FF0">
              <w:rPr>
                <w:lang w:val="ru-RU"/>
              </w:rPr>
              <w:t>.:</w:t>
            </w:r>
          </w:p>
          <w:p w14:paraId="6DD79352" w14:textId="77777777" w:rsidR="00843298" w:rsidRPr="000A5FF0" w:rsidRDefault="00F87345" w:rsidP="00843298">
            <w:pPr>
              <w:spacing w:before="40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Факс</w:t>
            </w:r>
            <w:r w:rsidRPr="000A5FF0">
              <w:rPr>
                <w:lang w:val="ru-RU"/>
              </w:rPr>
              <w:t>:</w:t>
            </w:r>
          </w:p>
          <w:p w14:paraId="45087891" w14:textId="3D5E8315" w:rsidR="00F87345" w:rsidRPr="000A5FF0" w:rsidRDefault="00F87345" w:rsidP="00843298">
            <w:pPr>
              <w:spacing w:before="40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Эл. почта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3685" w:type="dxa"/>
          </w:tcPr>
          <w:p w14:paraId="334D1A1A" w14:textId="28F9D861" w:rsidR="00843298" w:rsidRPr="000A5FF0" w:rsidRDefault="0049505A" w:rsidP="00843298">
            <w:pPr>
              <w:spacing w:before="40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t>+41 22 730 6</w:t>
            </w:r>
            <w:r w:rsidR="00861F21" w:rsidRPr="000A5FF0">
              <w:rPr>
                <w:szCs w:val="22"/>
                <w:lang w:val="ru-RU"/>
              </w:rPr>
              <w:t>206</w:t>
            </w:r>
          </w:p>
          <w:p w14:paraId="158683A8" w14:textId="77777777" w:rsidR="00843298" w:rsidRPr="000A5FF0" w:rsidRDefault="0049505A" w:rsidP="00843298">
            <w:pPr>
              <w:spacing w:before="40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t>+41 22 730 5853</w:t>
            </w:r>
          </w:p>
          <w:p w14:paraId="71063A13" w14:textId="4D2DBA6C" w:rsidR="00F87345" w:rsidRPr="000A5FF0" w:rsidRDefault="00861F21" w:rsidP="00843298">
            <w:pPr>
              <w:spacing w:before="40"/>
              <w:rPr>
                <w:b/>
                <w:bCs/>
                <w:lang w:val="ru-RU"/>
              </w:rPr>
            </w:pPr>
            <w:hyperlink r:id="rId9" w:history="1">
              <w:r w:rsidRPr="000A5FF0">
                <w:rPr>
                  <w:rStyle w:val="Hyperlink"/>
                  <w:rFonts w:cstheme="minorHAnsi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536" w:type="dxa"/>
            <w:vMerge/>
          </w:tcPr>
          <w:p w14:paraId="16EEDE38" w14:textId="77777777" w:rsidR="00F87345" w:rsidRPr="000A5FF0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F7B49" w:rsidRPr="008B3C1D" w14:paraId="16795477" w14:textId="77777777" w:rsidTr="001E0025">
        <w:trPr>
          <w:cantSplit/>
        </w:trPr>
        <w:tc>
          <w:tcPr>
            <w:tcW w:w="1418" w:type="dxa"/>
          </w:tcPr>
          <w:p w14:paraId="32C67225" w14:textId="1686CE9D" w:rsidR="004F7B49" w:rsidRPr="000A5FF0" w:rsidRDefault="004F7B49" w:rsidP="00861F21">
            <w:pPr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Предмет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8221" w:type="dxa"/>
            <w:gridSpan w:val="2"/>
          </w:tcPr>
          <w:p w14:paraId="0215B97B" w14:textId="3AE11C23" w:rsidR="004F7B49" w:rsidRPr="000A5FF0" w:rsidRDefault="00B84B29" w:rsidP="00861F21">
            <w:pPr>
              <w:rPr>
                <w:b/>
                <w:szCs w:val="22"/>
                <w:lang w:val="ru-RU"/>
              </w:rPr>
            </w:pPr>
            <w:r w:rsidRPr="000A5FF0">
              <w:rPr>
                <w:b/>
                <w:lang w:val="ru-RU"/>
              </w:rPr>
              <w:t>Консультации с Государствами-Членами по проект</w:t>
            </w:r>
            <w:r w:rsidR="00843298" w:rsidRPr="000A5FF0">
              <w:rPr>
                <w:b/>
                <w:lang w:val="ru-RU"/>
              </w:rPr>
              <w:t>ам</w:t>
            </w:r>
            <w:r w:rsidRPr="000A5FF0">
              <w:rPr>
                <w:b/>
                <w:lang w:val="ru-RU"/>
              </w:rPr>
              <w:t xml:space="preserve"> </w:t>
            </w:r>
            <w:r w:rsidR="003F7246" w:rsidRPr="000A5FF0">
              <w:rPr>
                <w:b/>
                <w:lang w:val="ru-RU"/>
              </w:rPr>
              <w:t>нов</w:t>
            </w:r>
            <w:r w:rsidR="00843298" w:rsidRPr="000A5FF0">
              <w:rPr>
                <w:b/>
                <w:lang w:val="ru-RU"/>
              </w:rPr>
              <w:t>ых</w:t>
            </w:r>
            <w:r w:rsidR="003F7246" w:rsidRPr="000A5FF0">
              <w:rPr>
                <w:b/>
                <w:lang w:val="ru-RU"/>
              </w:rPr>
              <w:t xml:space="preserve"> </w:t>
            </w:r>
            <w:r w:rsidRPr="000A5FF0">
              <w:rPr>
                <w:b/>
                <w:lang w:val="ru-RU"/>
              </w:rPr>
              <w:t>Рекомендаци</w:t>
            </w:r>
            <w:r w:rsidR="00843298" w:rsidRPr="000A5FF0">
              <w:rPr>
                <w:b/>
                <w:lang w:val="ru-RU"/>
              </w:rPr>
              <w:t>й</w:t>
            </w:r>
            <w:r w:rsidRPr="000A5FF0">
              <w:rPr>
                <w:b/>
                <w:lang w:val="ru-RU"/>
              </w:rPr>
              <w:t xml:space="preserve"> МСЭ-Т </w:t>
            </w:r>
            <w:r w:rsidR="00E83566" w:rsidRPr="000A5FF0">
              <w:rPr>
                <w:rFonts w:cstheme="minorHAnsi"/>
                <w:b/>
                <w:szCs w:val="22"/>
                <w:lang w:val="ru-RU"/>
              </w:rPr>
              <w:t>X.1355 (X.ra-iot), X.1456 (X.sgdfs-us), X.1648 (X.gecds), X.1284 (X.afotak)</w:t>
            </w:r>
            <w:r w:rsidR="000139A6" w:rsidRPr="000A5FF0">
              <w:rPr>
                <w:rFonts w:cstheme="minorHAnsi"/>
                <w:b/>
                <w:szCs w:val="22"/>
                <w:lang w:val="ru-RU"/>
              </w:rPr>
              <w:t xml:space="preserve"> и</w:t>
            </w:r>
            <w:r w:rsidR="00E83566" w:rsidRPr="000A5FF0">
              <w:rPr>
                <w:rFonts w:cstheme="minorHAnsi"/>
                <w:b/>
                <w:szCs w:val="22"/>
                <w:lang w:val="ru-RU"/>
              </w:rPr>
              <w:t xml:space="preserve"> X.1385 (X.evtol</w:t>
            </w:r>
            <w:r w:rsidR="000A5FF0" w:rsidRPr="000A5FF0">
              <w:rPr>
                <w:rFonts w:cstheme="minorHAnsi"/>
                <w:b/>
                <w:szCs w:val="22"/>
                <w:lang w:val="ru-RU"/>
              </w:rPr>
              <w:noBreakHyphen/>
            </w:r>
            <w:r w:rsidR="00E83566" w:rsidRPr="000A5FF0">
              <w:rPr>
                <w:rFonts w:cstheme="minorHAnsi"/>
                <w:b/>
                <w:szCs w:val="22"/>
                <w:lang w:val="ru-RU"/>
              </w:rPr>
              <w:t>sec)</w:t>
            </w:r>
            <w:r w:rsidRPr="000A5FF0">
              <w:rPr>
                <w:b/>
                <w:lang w:val="ru-RU"/>
              </w:rPr>
              <w:t>, по котор</w:t>
            </w:r>
            <w:r w:rsidR="00843298" w:rsidRPr="000A5FF0">
              <w:rPr>
                <w:b/>
                <w:lang w:val="ru-RU"/>
              </w:rPr>
              <w:t>ым</w:t>
            </w:r>
            <w:r w:rsidRPr="000A5FF0">
              <w:rPr>
                <w:b/>
                <w:lang w:val="ru-RU"/>
              </w:rPr>
              <w:t xml:space="preserve"> сделано заключение и которы</w:t>
            </w:r>
            <w:r w:rsidR="00843298" w:rsidRPr="000A5FF0">
              <w:rPr>
                <w:b/>
                <w:lang w:val="ru-RU"/>
              </w:rPr>
              <w:t>е</w:t>
            </w:r>
            <w:r w:rsidRPr="000A5FF0">
              <w:rPr>
                <w:b/>
                <w:lang w:val="ru-RU"/>
              </w:rPr>
              <w:t xml:space="preserve"> предложен</w:t>
            </w:r>
            <w:r w:rsidR="00843298" w:rsidRPr="000A5FF0">
              <w:rPr>
                <w:b/>
                <w:lang w:val="ru-RU"/>
              </w:rPr>
              <w:t>ы</w:t>
            </w:r>
            <w:r w:rsidRPr="000A5FF0">
              <w:rPr>
                <w:b/>
                <w:lang w:val="ru-RU"/>
              </w:rPr>
              <w:t xml:space="preserve"> для</w:t>
            </w:r>
            <w:r w:rsidR="000A5FF0" w:rsidRPr="000A5FF0">
              <w:rPr>
                <w:b/>
                <w:lang w:val="ru-RU"/>
              </w:rPr>
              <w:t> </w:t>
            </w:r>
            <w:r w:rsidRPr="000A5FF0">
              <w:rPr>
                <w:b/>
                <w:lang w:val="ru-RU"/>
              </w:rPr>
              <w:t xml:space="preserve">утверждения на собрании </w:t>
            </w:r>
            <w:r w:rsidR="00D522AE" w:rsidRPr="000A5FF0">
              <w:rPr>
                <w:b/>
                <w:lang w:val="ru-RU"/>
              </w:rPr>
              <w:t>17</w:t>
            </w:r>
            <w:r w:rsidR="00843298" w:rsidRPr="000A5FF0">
              <w:rPr>
                <w:rFonts w:ascii="Cambria Math" w:hAnsi="Cambria Math"/>
                <w:b/>
                <w:lang w:val="ru-RU"/>
              </w:rPr>
              <w:t>‑</w:t>
            </w:r>
            <w:r w:rsidR="00843298" w:rsidRPr="000A5FF0">
              <w:rPr>
                <w:b/>
                <w:lang w:val="ru-RU"/>
              </w:rPr>
              <w:t>й Исследовательской комиссии МСЭ</w:t>
            </w:r>
            <w:r w:rsidR="00843298" w:rsidRPr="000A5FF0">
              <w:rPr>
                <w:rFonts w:cstheme="minorHAnsi"/>
                <w:b/>
                <w:szCs w:val="22"/>
                <w:lang w:val="ru-RU"/>
              </w:rPr>
              <w:t xml:space="preserve">-T, </w:t>
            </w:r>
            <w:r w:rsidR="000A5FF0" w:rsidRPr="000A5FF0">
              <w:rPr>
                <w:rFonts w:cstheme="minorHAnsi"/>
                <w:b/>
                <w:szCs w:val="22"/>
                <w:lang w:val="ru-RU"/>
              </w:rPr>
              <w:br/>
            </w:r>
            <w:r w:rsidR="00843298" w:rsidRPr="000A5FF0">
              <w:rPr>
                <w:rFonts w:cstheme="minorHAnsi"/>
                <w:b/>
                <w:szCs w:val="22"/>
                <w:lang w:val="ru-RU"/>
              </w:rPr>
              <w:t>Женева, 8−17 апреля 2025 года</w:t>
            </w:r>
          </w:p>
        </w:tc>
      </w:tr>
    </w:tbl>
    <w:p w14:paraId="47AA1639" w14:textId="52EAC77E" w:rsidR="001629DC" w:rsidRPr="000A5FF0" w:rsidRDefault="001629DC" w:rsidP="00861F21">
      <w:pPr>
        <w:pStyle w:val="Normalaftertitle"/>
        <w:spacing w:before="360"/>
        <w:rPr>
          <w:lang w:val="ru-RU"/>
        </w:rPr>
      </w:pPr>
      <w:r w:rsidRPr="000A5FF0">
        <w:rPr>
          <w:lang w:val="ru-RU"/>
        </w:rPr>
        <w:t>Уважаемая госпожа,</w:t>
      </w:r>
      <w:r w:rsidRPr="000A5FF0">
        <w:rPr>
          <w:lang w:val="ru-RU"/>
        </w:rPr>
        <w:br/>
        <w:t>уважаемый господин,</w:t>
      </w:r>
    </w:p>
    <w:p w14:paraId="1AF3446D" w14:textId="7C04DA08" w:rsidR="005110B6" w:rsidRPr="000A5FF0" w:rsidRDefault="005110B6" w:rsidP="00433DD2">
      <w:pPr>
        <w:rPr>
          <w:szCs w:val="22"/>
          <w:lang w:val="ru-RU"/>
        </w:rPr>
      </w:pPr>
      <w:r w:rsidRPr="000A5FF0">
        <w:rPr>
          <w:lang w:val="ru-RU"/>
        </w:rPr>
        <w:t>1</w:t>
      </w:r>
      <w:r w:rsidRPr="000A5FF0">
        <w:rPr>
          <w:lang w:val="ru-RU"/>
        </w:rPr>
        <w:tab/>
      </w:r>
      <w:r w:rsidR="00E83566" w:rsidRPr="000A5FF0">
        <w:rPr>
          <w:lang w:val="ru-RU"/>
        </w:rPr>
        <w:t>17</w:t>
      </w:r>
      <w:r w:rsidR="00843298" w:rsidRPr="000A5FF0">
        <w:rPr>
          <w:rFonts w:ascii="Cambria Math" w:hAnsi="Cambria Math" w:cs="Cambria Math"/>
          <w:lang w:val="ru-RU"/>
        </w:rPr>
        <w:t>‑</w:t>
      </w:r>
      <w:r w:rsidR="00843298" w:rsidRPr="000A5FF0">
        <w:rPr>
          <w:lang w:val="ru-RU"/>
        </w:rPr>
        <w:t xml:space="preserve">я Исследовательская комиссия </w:t>
      </w:r>
      <w:r w:rsidR="00C455E6" w:rsidRPr="000A5FF0">
        <w:rPr>
          <w:lang w:val="ru-RU"/>
        </w:rPr>
        <w:t>МСЭ-</w:t>
      </w:r>
      <w:r w:rsidR="00C455E6" w:rsidRPr="000A5FF0">
        <w:rPr>
          <w:szCs w:val="22"/>
          <w:lang w:val="ru-RU"/>
        </w:rPr>
        <w:t xml:space="preserve">Т </w:t>
      </w:r>
      <w:r w:rsidR="00843298" w:rsidRPr="000A5FF0">
        <w:rPr>
          <w:szCs w:val="22"/>
          <w:lang w:val="ru-RU"/>
        </w:rPr>
        <w:t>(</w:t>
      </w:r>
      <w:r w:rsidR="00E83566" w:rsidRPr="000A5FF0">
        <w:rPr>
          <w:lang w:val="ru-RU"/>
        </w:rPr>
        <w:t>Безопасность</w:t>
      </w:r>
      <w:r w:rsidR="00843298" w:rsidRPr="000A5FF0">
        <w:rPr>
          <w:lang w:val="ru-RU"/>
        </w:rPr>
        <w:t xml:space="preserve">) </w:t>
      </w:r>
      <w:r w:rsidR="00D867DE" w:rsidRPr="000A5FF0">
        <w:rPr>
          <w:lang w:val="ru-RU"/>
        </w:rPr>
        <w:t>намерена применить традиционную процедуру утверждения, описанную в разделе 9 Резолюции 1 (Пересм. Женева, 2022 г.) ВАСЭ, для утверждения указанн</w:t>
      </w:r>
      <w:r w:rsidR="00015C3F" w:rsidRPr="000A5FF0">
        <w:rPr>
          <w:lang w:val="ru-RU"/>
        </w:rPr>
        <w:t>ых</w:t>
      </w:r>
      <w:r w:rsidR="00D867DE" w:rsidRPr="000A5FF0">
        <w:rPr>
          <w:lang w:val="ru-RU"/>
        </w:rPr>
        <w:t xml:space="preserve"> выше проект</w:t>
      </w:r>
      <w:r w:rsidR="00015C3F" w:rsidRPr="000A5FF0">
        <w:rPr>
          <w:lang w:val="ru-RU"/>
        </w:rPr>
        <w:t>ов</w:t>
      </w:r>
      <w:r w:rsidR="00D867DE" w:rsidRPr="000A5FF0">
        <w:rPr>
          <w:lang w:val="ru-RU"/>
        </w:rPr>
        <w:t xml:space="preserve"> Рекомендаци</w:t>
      </w:r>
      <w:r w:rsidR="00015C3F" w:rsidRPr="000A5FF0">
        <w:rPr>
          <w:lang w:val="ru-RU"/>
        </w:rPr>
        <w:t>й</w:t>
      </w:r>
      <w:r w:rsidR="00D867DE" w:rsidRPr="000A5FF0">
        <w:rPr>
          <w:lang w:val="ru-RU"/>
        </w:rPr>
        <w:t xml:space="preserve"> на своем следующем собрании, которое состоится в </w:t>
      </w:r>
      <w:r w:rsidR="00015C3F" w:rsidRPr="000A5FF0">
        <w:rPr>
          <w:b/>
          <w:bCs/>
          <w:lang w:val="ru-RU"/>
        </w:rPr>
        <w:t>Женеве, 8−17 апреля</w:t>
      </w:r>
      <w:r w:rsidR="00D60A66" w:rsidRPr="000A5FF0">
        <w:rPr>
          <w:b/>
          <w:bCs/>
          <w:lang w:val="ru-RU"/>
        </w:rPr>
        <w:t xml:space="preserve"> 2025 года</w:t>
      </w:r>
      <w:r w:rsidR="00D867DE" w:rsidRPr="000A5FF0">
        <w:rPr>
          <w:lang w:val="ru-RU"/>
        </w:rPr>
        <w:t xml:space="preserve">. Повестка дня и вся необходимая информация, касающаяся собрания </w:t>
      </w:r>
      <w:r w:rsidR="00E83566" w:rsidRPr="000A5FF0">
        <w:rPr>
          <w:lang w:val="ru-RU"/>
        </w:rPr>
        <w:t>17</w:t>
      </w:r>
      <w:r w:rsidR="00015C3F" w:rsidRPr="000A5FF0">
        <w:rPr>
          <w:rFonts w:ascii="Cambria Math" w:hAnsi="Cambria Math" w:cs="Cambria Math"/>
          <w:lang w:val="ru-RU"/>
        </w:rPr>
        <w:t>‑</w:t>
      </w:r>
      <w:r w:rsidR="00015C3F" w:rsidRPr="000A5FF0">
        <w:rPr>
          <w:rFonts w:ascii="Calibri" w:hAnsi="Calibri" w:cs="Calibri"/>
          <w:lang w:val="ru-RU"/>
        </w:rPr>
        <w:t>й</w:t>
      </w:r>
      <w:r w:rsidR="00015C3F" w:rsidRPr="000A5FF0">
        <w:rPr>
          <w:lang w:val="ru-RU"/>
        </w:rPr>
        <w:t xml:space="preserve"> </w:t>
      </w:r>
      <w:r w:rsidR="00015C3F" w:rsidRPr="000A5FF0">
        <w:rPr>
          <w:rFonts w:ascii="Calibri" w:hAnsi="Calibri" w:cs="Calibri"/>
          <w:lang w:val="ru-RU"/>
        </w:rPr>
        <w:t>Исследовательской</w:t>
      </w:r>
      <w:r w:rsidR="00015C3F" w:rsidRPr="000A5FF0">
        <w:rPr>
          <w:lang w:val="ru-RU"/>
        </w:rPr>
        <w:t xml:space="preserve"> </w:t>
      </w:r>
      <w:r w:rsidR="00015C3F" w:rsidRPr="000A5FF0">
        <w:rPr>
          <w:rFonts w:ascii="Calibri" w:hAnsi="Calibri" w:cs="Calibri"/>
          <w:lang w:val="ru-RU"/>
        </w:rPr>
        <w:t>комиссии</w:t>
      </w:r>
      <w:r w:rsidR="00015C3F" w:rsidRPr="000A5FF0">
        <w:rPr>
          <w:lang w:val="ru-RU"/>
        </w:rPr>
        <w:t xml:space="preserve"> </w:t>
      </w:r>
      <w:r w:rsidR="00015C3F" w:rsidRPr="000A5FF0">
        <w:rPr>
          <w:rFonts w:ascii="Calibri" w:hAnsi="Calibri" w:cs="Calibri"/>
          <w:lang w:val="ru-RU"/>
        </w:rPr>
        <w:t>МСЭ</w:t>
      </w:r>
      <w:r w:rsidR="00015C3F" w:rsidRPr="000A5FF0">
        <w:rPr>
          <w:lang w:val="ru-RU"/>
        </w:rPr>
        <w:t>-T</w:t>
      </w:r>
      <w:r w:rsidR="00D867DE" w:rsidRPr="000A5FF0">
        <w:rPr>
          <w:lang w:val="ru-RU"/>
        </w:rPr>
        <w:t xml:space="preserve">, будет представлена в </w:t>
      </w:r>
      <w:r w:rsidR="00D867DE" w:rsidRPr="000A5FF0">
        <w:rPr>
          <w:spacing w:val="-2"/>
          <w:lang w:val="ru-RU"/>
        </w:rPr>
        <w:t>Коллективном письме</w:t>
      </w:r>
      <w:r w:rsidR="00861F21" w:rsidRPr="000A5FF0">
        <w:rPr>
          <w:spacing w:val="-2"/>
          <w:lang w:val="ru-RU"/>
        </w:rPr>
        <w:t> </w:t>
      </w:r>
      <w:hyperlink r:id="rId10" w:history="1">
        <w:r w:rsidR="00E83566" w:rsidRPr="000A5FF0">
          <w:rPr>
            <w:rStyle w:val="Hyperlink"/>
            <w:spacing w:val="-2"/>
            <w:lang w:val="ru-RU"/>
          </w:rPr>
          <w:t>1/17</w:t>
        </w:r>
      </w:hyperlink>
      <w:r w:rsidR="00D867DE" w:rsidRPr="000A5FF0">
        <w:rPr>
          <w:lang w:val="ru-RU"/>
        </w:rPr>
        <w:t>.</w:t>
      </w:r>
    </w:p>
    <w:p w14:paraId="0194DA26" w14:textId="298BC716" w:rsidR="005110B6" w:rsidRPr="000A5FF0" w:rsidRDefault="005110B6" w:rsidP="00433DD2">
      <w:pPr>
        <w:rPr>
          <w:lang w:val="ru-RU"/>
        </w:rPr>
      </w:pPr>
      <w:r w:rsidRPr="000A5FF0">
        <w:rPr>
          <w:bCs/>
          <w:szCs w:val="22"/>
          <w:lang w:val="ru-RU"/>
        </w:rPr>
        <w:t>2</w:t>
      </w:r>
      <w:r w:rsidRPr="000A5FF0">
        <w:rPr>
          <w:szCs w:val="22"/>
          <w:lang w:val="ru-RU"/>
        </w:rPr>
        <w:tab/>
      </w:r>
      <w:r w:rsidRPr="000A5FF0">
        <w:rPr>
          <w:lang w:val="ru-RU"/>
        </w:rPr>
        <w:t>Названи</w:t>
      </w:r>
      <w:r w:rsidR="00015C3F" w:rsidRPr="000A5FF0">
        <w:rPr>
          <w:lang w:val="ru-RU"/>
        </w:rPr>
        <w:t>я</w:t>
      </w:r>
      <w:r w:rsidRPr="000A5FF0">
        <w:rPr>
          <w:lang w:val="ru-RU"/>
        </w:rPr>
        <w:t xml:space="preserve"> и резюме предлагаем</w:t>
      </w:r>
      <w:r w:rsidR="00D6175C" w:rsidRPr="000A5FF0">
        <w:rPr>
          <w:lang w:val="ru-RU"/>
        </w:rPr>
        <w:t>ых</w:t>
      </w:r>
      <w:r w:rsidRPr="000A5FF0">
        <w:rPr>
          <w:lang w:val="ru-RU"/>
        </w:rPr>
        <w:t xml:space="preserve"> к утверждению проект</w:t>
      </w:r>
      <w:r w:rsidR="00D6175C" w:rsidRPr="000A5FF0">
        <w:rPr>
          <w:lang w:val="ru-RU"/>
        </w:rPr>
        <w:t>ов</w:t>
      </w:r>
      <w:r w:rsidRPr="000A5FF0">
        <w:rPr>
          <w:lang w:val="ru-RU"/>
        </w:rPr>
        <w:t xml:space="preserve"> Рекомендаци</w:t>
      </w:r>
      <w:r w:rsidR="00D6175C" w:rsidRPr="000A5FF0">
        <w:rPr>
          <w:lang w:val="ru-RU"/>
        </w:rPr>
        <w:t>й</w:t>
      </w:r>
      <w:r w:rsidR="008A52F5" w:rsidRPr="000A5FF0">
        <w:rPr>
          <w:lang w:val="ru-RU"/>
        </w:rPr>
        <w:t xml:space="preserve"> МСЭ-Т</w:t>
      </w:r>
      <w:r w:rsidRPr="000A5FF0">
        <w:rPr>
          <w:lang w:val="ru-RU"/>
        </w:rPr>
        <w:t xml:space="preserve">, а также указание на место </w:t>
      </w:r>
      <w:r w:rsidR="00D6175C" w:rsidRPr="000A5FF0">
        <w:rPr>
          <w:lang w:val="ru-RU"/>
        </w:rPr>
        <w:t>их</w:t>
      </w:r>
      <w:r w:rsidRPr="000A5FF0">
        <w:rPr>
          <w:lang w:val="ru-RU"/>
        </w:rPr>
        <w:t xml:space="preserve"> размещения содержатся в </w:t>
      </w:r>
      <w:r w:rsidRPr="000A5FF0">
        <w:rPr>
          <w:b/>
          <w:bCs/>
          <w:lang w:val="ru-RU"/>
        </w:rPr>
        <w:t>Приложении 1</w:t>
      </w:r>
      <w:r w:rsidRPr="000A5FF0">
        <w:rPr>
          <w:lang w:val="ru-RU"/>
        </w:rPr>
        <w:t>.</w:t>
      </w:r>
    </w:p>
    <w:p w14:paraId="1BD5546C" w14:textId="612D57FF" w:rsidR="00E83566" w:rsidRPr="000A5FF0" w:rsidRDefault="00C54A2D" w:rsidP="000A5FF0">
      <w:pPr>
        <w:pStyle w:val="Note"/>
        <w:rPr>
          <w:lang w:val="ru-RU"/>
        </w:rPr>
      </w:pPr>
      <w:r w:rsidRPr="000A5FF0">
        <w:rPr>
          <w:lang w:val="ru-RU"/>
        </w:rPr>
        <w:t xml:space="preserve">ПРИМЕЧАНИЕ 1 БСЭ. – Ни для одного из этих текстов, по которым сделано заключение, кроме проекта новой Рекомендации </w:t>
      </w:r>
      <w:r w:rsidRPr="000A5FF0">
        <w:rPr>
          <w:b/>
          <w:bCs/>
          <w:lang w:val="ru-RU"/>
        </w:rPr>
        <w:t>X.1648 (X.gecds)</w:t>
      </w:r>
      <w:r w:rsidRPr="000A5FF0">
        <w:rPr>
          <w:lang w:val="ru-RU"/>
        </w:rPr>
        <w:t>, не был</w:t>
      </w:r>
      <w:r w:rsidR="00A138DA" w:rsidRPr="000A5FF0">
        <w:rPr>
          <w:lang w:val="ru-RU"/>
        </w:rPr>
        <w:t>о</w:t>
      </w:r>
      <w:r w:rsidRPr="000A5FF0">
        <w:rPr>
          <w:lang w:val="ru-RU"/>
        </w:rPr>
        <w:t xml:space="preserve"> представлен</w:t>
      </w:r>
      <w:r w:rsidR="00A138DA" w:rsidRPr="000A5FF0">
        <w:rPr>
          <w:lang w:val="ru-RU"/>
        </w:rPr>
        <w:t>о</w:t>
      </w:r>
      <w:r w:rsidRPr="000A5FF0">
        <w:rPr>
          <w:lang w:val="ru-RU"/>
        </w:rPr>
        <w:t xml:space="preserve"> обоснов</w:t>
      </w:r>
      <w:r w:rsidR="00A138DA" w:rsidRPr="000A5FF0">
        <w:rPr>
          <w:lang w:val="ru-RU"/>
        </w:rPr>
        <w:t xml:space="preserve">ание </w:t>
      </w:r>
      <w:r w:rsidRPr="000A5FF0">
        <w:rPr>
          <w:lang w:val="ru-RU"/>
        </w:rPr>
        <w:t>согласно Рекомендации МСЭ-Т</w:t>
      </w:r>
      <w:r w:rsidR="00A138DA" w:rsidRPr="000A5FF0">
        <w:rPr>
          <w:lang w:val="ru-RU"/>
        </w:rPr>
        <w:t xml:space="preserve"> A.5</w:t>
      </w:r>
      <w:r w:rsidRPr="000A5FF0">
        <w:rPr>
          <w:lang w:val="ru-RU"/>
        </w:rPr>
        <w:t>.</w:t>
      </w:r>
    </w:p>
    <w:p w14:paraId="66236684" w14:textId="412B175F" w:rsidR="00190D9B" w:rsidRPr="000A5FF0" w:rsidRDefault="00190D9B" w:rsidP="000A5FF0">
      <w:pPr>
        <w:pStyle w:val="Note"/>
        <w:rPr>
          <w:highlight w:val="green"/>
          <w:lang w:val="ru-RU"/>
        </w:rPr>
      </w:pPr>
      <w:r w:rsidRPr="000A5FF0">
        <w:rPr>
          <w:lang w:val="ru-RU"/>
        </w:rPr>
        <w:t>ПРИМЕЧАНИЕ 2 БСЭ. – На дату настоящего Циркуляра БСЭ не получило в отношении указанных текстов, по которым сделано заключение, каких-либо заявлений в соответствии с политикой в</w:t>
      </w:r>
      <w:r w:rsidR="000A5FF0" w:rsidRPr="000A5FF0">
        <w:rPr>
          <w:lang w:val="ru-RU"/>
        </w:rPr>
        <w:t> </w:t>
      </w:r>
      <w:r w:rsidRPr="000A5FF0">
        <w:rPr>
          <w:lang w:val="ru-RU"/>
        </w:rPr>
        <w:t xml:space="preserve">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0A5FF0">
          <w:rPr>
            <w:rStyle w:val="Hyperlink"/>
            <w:lang w:val="ru-RU"/>
          </w:rPr>
          <w:t>www.itu.int/ipr/</w:t>
        </w:r>
      </w:hyperlink>
      <w:r w:rsidRPr="000A5FF0">
        <w:rPr>
          <w:lang w:val="ru-RU"/>
        </w:rPr>
        <w:t>.</w:t>
      </w:r>
    </w:p>
    <w:p w14:paraId="7BAC6741" w14:textId="5141181C" w:rsidR="00D6175C" w:rsidRPr="000A5FF0" w:rsidRDefault="005110B6" w:rsidP="00CD6E24">
      <w:pPr>
        <w:rPr>
          <w:bCs/>
          <w:lang w:val="ru-RU"/>
        </w:rPr>
      </w:pPr>
      <w:r w:rsidRPr="000A5FF0">
        <w:rPr>
          <w:szCs w:val="22"/>
          <w:lang w:val="ru-RU"/>
        </w:rPr>
        <w:t>3</w:t>
      </w:r>
      <w:r w:rsidRPr="000A5FF0">
        <w:rPr>
          <w:szCs w:val="22"/>
          <w:lang w:val="ru-RU"/>
        </w:rPr>
        <w:tab/>
        <w:t>Настоящий Циркуляр открывает официальные консультации с Государствами – Членами МСЭ</w:t>
      </w:r>
      <w:r w:rsidR="008A52F5" w:rsidRPr="000A5FF0">
        <w:rPr>
          <w:szCs w:val="22"/>
          <w:lang w:val="ru-RU"/>
        </w:rPr>
        <w:t xml:space="preserve"> </w:t>
      </w:r>
      <w:r w:rsidRPr="000A5FF0">
        <w:rPr>
          <w:szCs w:val="22"/>
          <w:lang w:val="ru-RU"/>
        </w:rPr>
        <w:t>относительно возможности рассмотрения эт</w:t>
      </w:r>
      <w:r w:rsidR="00D6175C" w:rsidRPr="000A5FF0">
        <w:rPr>
          <w:szCs w:val="22"/>
          <w:lang w:val="ru-RU"/>
        </w:rPr>
        <w:t>их</w:t>
      </w:r>
      <w:r w:rsidRPr="000A5FF0">
        <w:rPr>
          <w:szCs w:val="22"/>
          <w:lang w:val="ru-RU"/>
        </w:rPr>
        <w:t xml:space="preserve"> текст</w:t>
      </w:r>
      <w:r w:rsidR="00D6175C" w:rsidRPr="000A5FF0">
        <w:rPr>
          <w:szCs w:val="22"/>
          <w:lang w:val="ru-RU"/>
        </w:rPr>
        <w:t>ов</w:t>
      </w:r>
      <w:r w:rsidRPr="000A5FF0">
        <w:rPr>
          <w:szCs w:val="22"/>
          <w:lang w:val="ru-RU"/>
        </w:rPr>
        <w:t xml:space="preserve"> с целью </w:t>
      </w:r>
      <w:r w:rsidR="00D6175C" w:rsidRPr="000A5FF0">
        <w:rPr>
          <w:szCs w:val="22"/>
          <w:lang w:val="ru-RU"/>
        </w:rPr>
        <w:t>их</w:t>
      </w:r>
      <w:r w:rsidRPr="000A5FF0">
        <w:rPr>
          <w:szCs w:val="22"/>
          <w:lang w:val="ru-RU"/>
        </w:rPr>
        <w:t xml:space="preserve"> утверждения на предстоящем собрании в соответствии с п. 9.4 Резолюции 1. Государствам-Членам предлагается заполнить </w:t>
      </w:r>
      <w:r w:rsidRPr="000A5FF0">
        <w:rPr>
          <w:szCs w:val="22"/>
          <w:lang w:val="ru-RU"/>
        </w:rPr>
        <w:lastRenderedPageBreak/>
        <w:t xml:space="preserve">содержащуюся в </w:t>
      </w:r>
      <w:r w:rsidRPr="000A5FF0">
        <w:rPr>
          <w:b/>
          <w:bCs/>
          <w:szCs w:val="22"/>
          <w:lang w:val="ru-RU"/>
        </w:rPr>
        <w:t>Приложении 2</w:t>
      </w:r>
      <w:r w:rsidRPr="000A5FF0">
        <w:rPr>
          <w:szCs w:val="22"/>
          <w:lang w:val="ru-RU"/>
        </w:rPr>
        <w:t xml:space="preserve"> форму и вернуть ее не позднее </w:t>
      </w:r>
      <w:r w:rsidRPr="000A5FF0">
        <w:rPr>
          <w:b/>
          <w:bCs/>
          <w:szCs w:val="22"/>
          <w:lang w:val="ru-RU"/>
        </w:rPr>
        <w:t>23 час</w:t>
      </w:r>
      <w:r w:rsidRPr="000A5FF0">
        <w:rPr>
          <w:szCs w:val="22"/>
          <w:lang w:val="ru-RU"/>
        </w:rPr>
        <w:t>.</w:t>
      </w:r>
      <w:r w:rsidRPr="000A5FF0">
        <w:rPr>
          <w:b/>
          <w:bCs/>
          <w:szCs w:val="22"/>
          <w:lang w:val="ru-RU"/>
        </w:rPr>
        <w:t xml:space="preserve"> 59 мин</w:t>
      </w:r>
      <w:r w:rsidRPr="000A5FF0">
        <w:rPr>
          <w:szCs w:val="22"/>
          <w:lang w:val="ru-RU"/>
        </w:rPr>
        <w:t xml:space="preserve">. UTC </w:t>
      </w:r>
      <w:r w:rsidR="00D6175C" w:rsidRPr="000A5FF0">
        <w:rPr>
          <w:b/>
          <w:bCs/>
          <w:szCs w:val="22"/>
          <w:lang w:val="ru-RU"/>
        </w:rPr>
        <w:t>27 марта</w:t>
      </w:r>
      <w:r w:rsidRPr="000A5FF0">
        <w:rPr>
          <w:b/>
          <w:bCs/>
          <w:szCs w:val="22"/>
          <w:lang w:val="ru-RU"/>
        </w:rPr>
        <w:t xml:space="preserve"> 202</w:t>
      </w:r>
      <w:r w:rsidR="00D6175C" w:rsidRPr="000A5FF0">
        <w:rPr>
          <w:b/>
          <w:bCs/>
          <w:szCs w:val="22"/>
          <w:lang w:val="ru-RU"/>
        </w:rPr>
        <w:t>5</w:t>
      </w:r>
      <w:r w:rsidRPr="000A5FF0">
        <w:rPr>
          <w:b/>
          <w:bCs/>
          <w:szCs w:val="22"/>
          <w:lang w:val="ru-RU"/>
        </w:rPr>
        <w:t> года</w:t>
      </w:r>
      <w:r w:rsidRPr="000A5FF0">
        <w:rPr>
          <w:lang w:val="ru-RU"/>
        </w:rPr>
        <w:t>.</w:t>
      </w:r>
    </w:p>
    <w:p w14:paraId="7619855E" w14:textId="7FF064FE" w:rsidR="005110B6" w:rsidRPr="000A5FF0" w:rsidRDefault="005110B6" w:rsidP="00D6175C">
      <w:pPr>
        <w:rPr>
          <w:szCs w:val="22"/>
          <w:lang w:val="ru-RU"/>
        </w:rPr>
      </w:pPr>
      <w:r w:rsidRPr="000A5FF0">
        <w:rPr>
          <w:bCs/>
          <w:lang w:val="ru-RU"/>
        </w:rPr>
        <w:t>4</w:t>
      </w:r>
      <w:r w:rsidRPr="000A5FF0">
        <w:rPr>
          <w:lang w:val="ru-RU"/>
        </w:rPr>
        <w:tab/>
        <w:t>Если в своих ответах 70 процентов или более Государств-Членов поддержат рассмотрение с</w:t>
      </w:r>
      <w:r w:rsidR="00433DD2" w:rsidRPr="000A5FF0">
        <w:rPr>
          <w:lang w:val="ru-RU"/>
        </w:rPr>
        <w:t> </w:t>
      </w:r>
      <w:r w:rsidRPr="000A5FF0">
        <w:rPr>
          <w:lang w:val="ru-RU"/>
        </w:rPr>
        <w:t>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0A5FF0">
        <w:rPr>
          <w:szCs w:val="22"/>
          <w:lang w:val="ru-RU"/>
        </w:rPr>
        <w:t>.</w:t>
      </w:r>
    </w:p>
    <w:p w14:paraId="3EEEF7EA" w14:textId="24CE54EE" w:rsidR="002423F5" w:rsidRPr="000A5FF0" w:rsidRDefault="002C66E6" w:rsidP="00D6175C">
      <w:pPr>
        <w:rPr>
          <w:szCs w:val="22"/>
          <w:lang w:val="ru-RU"/>
        </w:rPr>
      </w:pPr>
      <w:r w:rsidRPr="000A5FF0">
        <w:rPr>
          <w:szCs w:val="22"/>
          <w:lang w:val="ru-RU"/>
        </w:rPr>
        <w:t>С уважением</w:t>
      </w:r>
      <w:r w:rsidR="002423F5" w:rsidRPr="000A5FF0">
        <w:rPr>
          <w:szCs w:val="22"/>
          <w:lang w:val="ru-RU"/>
        </w:rPr>
        <w:t>,</w:t>
      </w:r>
    </w:p>
    <w:p w14:paraId="3436059F" w14:textId="1A9CFC9D" w:rsidR="00D6175C" w:rsidRPr="000A5FF0" w:rsidRDefault="003D1C28" w:rsidP="008B3C1D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rFonts w:eastAsia="SimSun"/>
          <w:szCs w:val="22"/>
          <w:lang w:val="ru-RU"/>
        </w:rPr>
      </w:pPr>
      <w:r>
        <w:rPr>
          <w:rFonts w:eastAsia="SimSun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299E8211" wp14:editId="5CC7F48E">
            <wp:simplePos x="0" y="0"/>
            <wp:positionH relativeFrom="column">
              <wp:posOffset>-2540</wp:posOffset>
            </wp:positionH>
            <wp:positionV relativeFrom="paragraph">
              <wp:posOffset>85090</wp:posOffset>
            </wp:positionV>
            <wp:extent cx="793407" cy="425450"/>
            <wp:effectExtent l="0" t="0" r="6985" b="0"/>
            <wp:wrapNone/>
            <wp:docPr id="1870149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49936" name="Picture 18701499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07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75C" w:rsidRPr="000A5FF0">
        <w:rPr>
          <w:rFonts w:eastAsia="SimSun"/>
          <w:szCs w:val="22"/>
          <w:lang w:val="ru-RU"/>
        </w:rPr>
        <w:t>Сейдзо Оноэ</w:t>
      </w:r>
      <w:r w:rsidR="00D6175C" w:rsidRPr="000A5FF0">
        <w:rPr>
          <w:rFonts w:eastAsia="SimSun"/>
          <w:szCs w:val="22"/>
          <w:lang w:val="ru-RU"/>
        </w:rPr>
        <w:br/>
        <w:t>Директор Бюро</w:t>
      </w:r>
      <w:r w:rsidR="00D6175C" w:rsidRPr="000A5FF0">
        <w:rPr>
          <w:rFonts w:eastAsia="SimSun"/>
          <w:szCs w:val="22"/>
          <w:lang w:val="ru-RU"/>
        </w:rPr>
        <w:br/>
        <w:t>стандартизации электросвязи</w:t>
      </w:r>
    </w:p>
    <w:p w14:paraId="04B4541D" w14:textId="464BF8BB" w:rsidR="0081044F" w:rsidRPr="000A5FF0" w:rsidRDefault="0081044F" w:rsidP="00D6175C">
      <w:pPr>
        <w:spacing w:before="720"/>
        <w:rPr>
          <w:lang w:val="ru-RU"/>
        </w:rPr>
      </w:pPr>
      <w:r w:rsidRPr="000A5FF0">
        <w:rPr>
          <w:b/>
          <w:bCs/>
          <w:lang w:val="ru-RU"/>
        </w:rPr>
        <w:t>Приложени</w:t>
      </w:r>
      <w:r w:rsidR="00D867DE" w:rsidRPr="000A5FF0">
        <w:rPr>
          <w:b/>
          <w:bCs/>
          <w:lang w:val="ru-RU"/>
        </w:rPr>
        <w:t>я</w:t>
      </w:r>
      <w:r w:rsidRPr="000A5FF0">
        <w:rPr>
          <w:lang w:val="ru-RU"/>
        </w:rPr>
        <w:t xml:space="preserve">: </w:t>
      </w:r>
      <w:r w:rsidR="00D867DE" w:rsidRPr="000A5FF0">
        <w:rPr>
          <w:lang w:val="ru-RU"/>
        </w:rPr>
        <w:t>2</w:t>
      </w:r>
    </w:p>
    <w:p w14:paraId="5F06B7C4" w14:textId="1FC4C461" w:rsidR="0081044F" w:rsidRPr="000A5FF0" w:rsidRDefault="0081044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A5FF0">
        <w:rPr>
          <w:lang w:val="ru-RU"/>
        </w:rPr>
        <w:br w:type="page"/>
      </w:r>
    </w:p>
    <w:p w14:paraId="13F16A5A" w14:textId="77777777" w:rsidR="00B84B29" w:rsidRPr="000A5FF0" w:rsidRDefault="00B84B29" w:rsidP="00B84B29">
      <w:pPr>
        <w:pStyle w:val="AnnexNo"/>
        <w:rPr>
          <w:lang w:val="ru-RU"/>
        </w:rPr>
      </w:pPr>
      <w:r w:rsidRPr="000A5FF0">
        <w:rPr>
          <w:lang w:val="ru-RU"/>
        </w:rPr>
        <w:lastRenderedPageBreak/>
        <w:t>ПРИЛОЖЕНИЕ 1</w:t>
      </w:r>
    </w:p>
    <w:p w14:paraId="2F89C355" w14:textId="037E5CE3" w:rsidR="00B84B29" w:rsidRPr="000A5FF0" w:rsidRDefault="00B84B29" w:rsidP="00B84B29">
      <w:pPr>
        <w:pStyle w:val="Annextitle0"/>
        <w:rPr>
          <w:lang w:val="ru-RU"/>
        </w:rPr>
      </w:pPr>
      <w:r w:rsidRPr="000A5FF0">
        <w:rPr>
          <w:lang w:val="ru-RU"/>
        </w:rPr>
        <w:t>Резюме и указание на место размещения проект</w:t>
      </w:r>
      <w:r w:rsidR="009647FA" w:rsidRPr="000A5FF0">
        <w:rPr>
          <w:lang w:val="ru-RU"/>
        </w:rPr>
        <w:t xml:space="preserve">ов новых </w:t>
      </w:r>
      <w:r w:rsidR="00641004" w:rsidRPr="000A5FF0">
        <w:rPr>
          <w:lang w:val="ru-RU"/>
        </w:rPr>
        <w:br/>
      </w:r>
      <w:r w:rsidR="009647FA" w:rsidRPr="000A5FF0">
        <w:rPr>
          <w:lang w:val="ru-RU"/>
        </w:rPr>
        <w:t>Рекомендаций</w:t>
      </w:r>
      <w:r w:rsidR="00BA3B73" w:rsidRPr="000A5FF0">
        <w:rPr>
          <w:lang w:val="ru-RU"/>
        </w:rPr>
        <w:t xml:space="preserve"> </w:t>
      </w:r>
      <w:r w:rsidR="009647FA" w:rsidRPr="000A5FF0">
        <w:rPr>
          <w:lang w:val="ru-RU"/>
        </w:rPr>
        <w:t xml:space="preserve">МСЭ-T </w:t>
      </w:r>
      <w:r w:rsidR="000139A6" w:rsidRPr="000A5FF0">
        <w:rPr>
          <w:lang w:val="ru-RU"/>
        </w:rPr>
        <w:t>X.1355 (X.ra-iot), X.1456 (X.sgdfs-us), X.1648 (X.gecds), X.1284</w:t>
      </w:r>
      <w:r w:rsidR="000A5FF0">
        <w:rPr>
          <w:lang w:val="en-US"/>
        </w:rPr>
        <w:t> </w:t>
      </w:r>
      <w:r w:rsidR="000139A6" w:rsidRPr="000A5FF0">
        <w:rPr>
          <w:lang w:val="ru-RU"/>
        </w:rPr>
        <w:t>(X.afotak) и X.1385 (X.evtol-sec)</w:t>
      </w:r>
      <w:r w:rsidRPr="000A5FF0">
        <w:rPr>
          <w:lang w:val="ru-RU"/>
        </w:rPr>
        <w:t>, по котор</w:t>
      </w:r>
      <w:r w:rsidR="009647FA" w:rsidRPr="000A5FF0">
        <w:rPr>
          <w:lang w:val="ru-RU"/>
        </w:rPr>
        <w:t>ым</w:t>
      </w:r>
      <w:r w:rsidRPr="000A5FF0">
        <w:rPr>
          <w:lang w:val="ru-RU"/>
        </w:rPr>
        <w:t> сделано заключение</w:t>
      </w:r>
    </w:p>
    <w:p w14:paraId="5317560A" w14:textId="321398B9" w:rsidR="00B84B29" w:rsidRPr="000A5FF0" w:rsidRDefault="009647FA" w:rsidP="009647FA">
      <w:pPr>
        <w:pStyle w:val="Heading1"/>
      </w:pPr>
      <w:bookmarkStart w:id="0" w:name="lt_pId070"/>
      <w:r w:rsidRPr="000A5FF0">
        <w:t>1</w:t>
      </w:r>
      <w:r w:rsidRPr="000A5FF0">
        <w:tab/>
      </w:r>
      <w:bookmarkEnd w:id="0"/>
      <w:r w:rsidR="00403D83" w:rsidRPr="000A5FF0">
        <w:t>Проект новой Рекомендации МСЭ-Т X.1355 (X.ra-iot) [SG17-</w:t>
      </w:r>
      <w:hyperlink r:id="rId13" w:history="1">
        <w:r w:rsidR="00476D7D" w:rsidRPr="000A5FF0">
          <w:rPr>
            <w:rStyle w:val="Hyperlink"/>
          </w:rPr>
          <w:t>R75</w:t>
        </w:r>
      </w:hyperlink>
      <w:r w:rsidR="00403D83" w:rsidRPr="000A5FF0">
        <w:t>]</w:t>
      </w:r>
    </w:p>
    <w:p w14:paraId="56385E84" w14:textId="63465555" w:rsidR="009647FA" w:rsidRPr="001E0025" w:rsidRDefault="00403D83" w:rsidP="000A5FF0">
      <w:pPr>
        <w:pStyle w:val="Rectitle"/>
        <w:rPr>
          <w:lang w:val="ru-RU"/>
        </w:rPr>
      </w:pPr>
      <w:r w:rsidRPr="001E0025">
        <w:rPr>
          <w:lang w:val="ru-RU"/>
        </w:rPr>
        <w:t>Структура анализа рисков безопасности устройств интернета вещей (</w:t>
      </w:r>
      <w:r w:rsidRPr="000A5FF0">
        <w:t>IoT</w:t>
      </w:r>
      <w:r w:rsidRPr="001E0025">
        <w:rPr>
          <w:lang w:val="ru-RU"/>
        </w:rPr>
        <w:t>)</w:t>
      </w:r>
    </w:p>
    <w:p w14:paraId="4B8ECFE2" w14:textId="2D2266EE" w:rsidR="009647FA" w:rsidRPr="000A5FF0" w:rsidRDefault="009647FA" w:rsidP="009647FA">
      <w:pPr>
        <w:pStyle w:val="Headingb"/>
        <w:rPr>
          <w:lang w:val="ru-RU"/>
        </w:rPr>
      </w:pPr>
      <w:r w:rsidRPr="000A5FF0">
        <w:rPr>
          <w:lang w:val="ru-RU"/>
        </w:rPr>
        <w:t>Резюме</w:t>
      </w:r>
    </w:p>
    <w:p w14:paraId="0A9FDE4D" w14:textId="36DBFCA7" w:rsidR="00403D83" w:rsidRPr="000A5FF0" w:rsidRDefault="00403D83" w:rsidP="00861F21">
      <w:pPr>
        <w:rPr>
          <w:lang w:val="ru-RU"/>
        </w:rPr>
      </w:pPr>
      <w:r w:rsidRPr="000A5FF0">
        <w:rPr>
          <w:lang w:val="ru-RU"/>
        </w:rPr>
        <w:t>Интернет вещей (IoT) охватывает различные сферы применения – здравоохранение, транспорт, промышленные системы управления, "умные" города, "умные" дома и др. Он играет ключевую роль в обеспечении передовых услуг, соединяя физические и виртуальные объекты. Однако устройства IoT подвержены кибератакам, так как они осуществляют сбор, обработку и передачу конфиденциальных данных в среде IoT. Нарушение безопасности устройств IoT может привести к серьезным последствиям, включая несанкционированный доступ к информации, нарушение работы жизненно важных служб, финансовые последствия и даже причинение физического ущерба. Следовательно, необходимо обеспечить защиту данных и гарантировать безопасность систем IoT.</w:t>
      </w:r>
    </w:p>
    <w:p w14:paraId="321FE207" w14:textId="510B3ACF" w:rsidR="00403D83" w:rsidRPr="000A5FF0" w:rsidRDefault="00403D83" w:rsidP="00861F21">
      <w:pPr>
        <w:rPr>
          <w:lang w:val="ru-RU"/>
        </w:rPr>
      </w:pPr>
      <w:r w:rsidRPr="000A5FF0">
        <w:rPr>
          <w:lang w:val="ru-RU"/>
        </w:rPr>
        <w:t>Для обеспечения безопасности устройств IoT необходимо использовать подход, основанный на управлении рисками, подобно тому, как это делается в сфере ИТ-безопасности. Надежная стратегия управления рисками подразумевает выявление потенциальных угроз, оценку их вероятности и последствий, а также систематическое снижение рисков. Этот метод не только способствует определению приоритетности рисков и соблюдению нормативных требований, но и укрепляет доверие заинтересованных сторон и повышает устойчивость к возникающим угрозам. Анализ рисков служит краеугольным камнем этого важного процесса и является первым шагом на пути к укреплению среды IoT.</w:t>
      </w:r>
    </w:p>
    <w:p w14:paraId="1BA8D582" w14:textId="0C2EE6E9" w:rsidR="009647FA" w:rsidRPr="000A5FF0" w:rsidRDefault="00403D83" w:rsidP="00861F21">
      <w:pPr>
        <w:rPr>
          <w:rFonts w:cstheme="minorHAnsi"/>
          <w:szCs w:val="22"/>
          <w:lang w:val="ru-RU"/>
        </w:rPr>
      </w:pPr>
      <w:r w:rsidRPr="000A5FF0">
        <w:rPr>
          <w:lang w:val="ru-RU"/>
        </w:rPr>
        <w:t>В настоящей Рекомендации описана комплексная структура анализа рисков, адаптированная к устройствам IoT. Она предусматривает определение цели анализа, выявление потенциальных угроз, а также их оценку для разработки эффективных стратегий снижения рисков. Заинтересованным сторонам предлагается системный подход к оценке и устранению рисков, связанных с устройствами IoT, независимо от того, обладают ли эти устройства возможностями связи, срабатывания, измерения, а также обработки или хранения данных. Он адаптируется к различным отраслям промышленности и типам устройств IoT, тем самым обеспечивая возможность внедрения безопасных решений IoT путем тщательного анализа рисков и снижения потенциальных угроз</w:t>
      </w:r>
      <w:r w:rsidR="009647FA" w:rsidRPr="000A5FF0">
        <w:rPr>
          <w:rFonts w:cstheme="minorHAnsi"/>
          <w:szCs w:val="22"/>
          <w:lang w:val="ru-RU"/>
        </w:rPr>
        <w:t>.</w:t>
      </w:r>
    </w:p>
    <w:p w14:paraId="70909076" w14:textId="604C1723" w:rsidR="009647FA" w:rsidRPr="000A5FF0" w:rsidRDefault="009647FA" w:rsidP="009647FA">
      <w:pPr>
        <w:pStyle w:val="Heading1"/>
        <w:rPr>
          <w:rFonts w:cstheme="minorHAnsi"/>
          <w:szCs w:val="22"/>
        </w:rPr>
      </w:pPr>
      <w:r w:rsidRPr="000A5FF0">
        <w:rPr>
          <w:rFonts w:cstheme="minorHAnsi"/>
          <w:szCs w:val="22"/>
        </w:rPr>
        <w:t>2</w:t>
      </w:r>
      <w:r w:rsidRPr="000A5FF0">
        <w:rPr>
          <w:rFonts w:cstheme="minorHAnsi"/>
          <w:szCs w:val="22"/>
        </w:rPr>
        <w:tab/>
      </w:r>
      <w:r w:rsidR="00403D83" w:rsidRPr="000A5FF0">
        <w:t>Проект новой Рекомендации МСЭ-T X.1456 (X.sgdfs-us) [SG17-</w:t>
      </w:r>
      <w:hyperlink r:id="rId14" w:history="1">
        <w:r w:rsidR="00476D7D" w:rsidRPr="000A5FF0">
          <w:rPr>
            <w:rStyle w:val="Hyperlink"/>
          </w:rPr>
          <w:t>R76</w:t>
        </w:r>
      </w:hyperlink>
      <w:r w:rsidR="00403D83" w:rsidRPr="000A5FF0">
        <w:t>]</w:t>
      </w:r>
    </w:p>
    <w:p w14:paraId="7502F447" w14:textId="18505621" w:rsidR="009647FA" w:rsidRPr="001E0025" w:rsidRDefault="00403D83" w:rsidP="000A5FF0">
      <w:pPr>
        <w:pStyle w:val="Rectitle"/>
        <w:rPr>
          <w:lang w:val="ru-RU"/>
        </w:rPr>
      </w:pPr>
      <w:r w:rsidRPr="001E0025">
        <w:rPr>
          <w:lang w:val="ru-RU"/>
        </w:rPr>
        <w:t>Руководящие указания по обеспечению безопасности приложений цифровых финансовых услуг (ЦФУ) на основе неструктурированных данных дополнительных услуг (</w:t>
      </w:r>
      <w:r w:rsidRPr="000A5FF0">
        <w:t>USSD</w:t>
      </w:r>
      <w:r w:rsidRPr="001E0025">
        <w:rPr>
          <w:lang w:val="ru-RU"/>
        </w:rPr>
        <w:t>) и набора приложений для модуля идентификации абонента (</w:t>
      </w:r>
      <w:r w:rsidRPr="000A5FF0">
        <w:t>STK</w:t>
      </w:r>
      <w:r w:rsidRPr="001E0025">
        <w:rPr>
          <w:lang w:val="ru-RU"/>
        </w:rPr>
        <w:t>)</w:t>
      </w:r>
    </w:p>
    <w:p w14:paraId="0D6239EA" w14:textId="7BC9D6D8" w:rsidR="009647FA" w:rsidRPr="000A5FF0" w:rsidRDefault="009647FA" w:rsidP="009647FA">
      <w:pPr>
        <w:pStyle w:val="Headingb"/>
        <w:rPr>
          <w:lang w:val="ru-RU"/>
        </w:rPr>
      </w:pPr>
      <w:r w:rsidRPr="000A5FF0">
        <w:rPr>
          <w:lang w:val="ru-RU"/>
        </w:rPr>
        <w:t>Резюме</w:t>
      </w:r>
    </w:p>
    <w:p w14:paraId="61FF4DA3" w14:textId="168EF8B5" w:rsidR="00403D83" w:rsidRPr="000A5FF0" w:rsidRDefault="00403D83" w:rsidP="00861F21">
      <w:pPr>
        <w:rPr>
          <w:lang w:val="ru-RU"/>
        </w:rPr>
      </w:pPr>
      <w:r w:rsidRPr="000A5FF0">
        <w:rPr>
          <w:lang w:val="ru-RU"/>
        </w:rPr>
        <w:t xml:space="preserve">В настоящей Рекомендации содержатся руководящие указания по обеспечению безопасности приложений цифровых финансовых услуг (ЦФУ) на основе неструктурированных данных дополнительных услуг (USSD) и набора приложений для модуля идентификации абонента (STK), </w:t>
      </w:r>
      <w:r w:rsidRPr="000A5FF0">
        <w:rPr>
          <w:lang w:val="ru-RU"/>
        </w:rPr>
        <w:lastRenderedPageBreak/>
        <w:t xml:space="preserve">которые могут </w:t>
      </w:r>
      <w:r w:rsidR="00BB4E2D" w:rsidRPr="000A5FF0">
        <w:rPr>
          <w:lang w:val="ru-RU"/>
        </w:rPr>
        <w:t>использоваться</w:t>
      </w:r>
      <w:r w:rsidRPr="000A5FF0">
        <w:rPr>
          <w:lang w:val="ru-RU"/>
        </w:rPr>
        <w:t xml:space="preserve"> поставщиками ЦФУ и операторами сетей подвижной связи для</w:t>
      </w:r>
      <w:r w:rsidR="000A5FF0">
        <w:rPr>
          <w:lang w:val="ru-RU"/>
        </w:rPr>
        <w:t> </w:t>
      </w:r>
      <w:r w:rsidRPr="000A5FF0">
        <w:rPr>
          <w:lang w:val="ru-RU"/>
        </w:rPr>
        <w:t>смягчения рисков безопасности, связанных с USSD и STK для приложений ЦФУ. Настоящий проект Рекомендации охватывает следующие аспекты:</w:t>
      </w:r>
    </w:p>
    <w:p w14:paraId="1A525303" w14:textId="77777777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угрозы безопасности для услуг ЦФУ на основе USSD и STK, а также их уязвимости;</w:t>
      </w:r>
    </w:p>
    <w:p w14:paraId="63476A09" w14:textId="77777777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определение областей, в которых могут быть реализованы меры безопасности, за счет понимания рисков и уязвимостей, связанных с приложениями ЦФУ;</w:t>
      </w:r>
    </w:p>
    <w:p w14:paraId="65B19241" w14:textId="45BBD434" w:rsidR="00BA3B7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методы обеспечения безопасности для операторов сетей подвижной связи и поставщиков ЦФУ.</w:t>
      </w:r>
    </w:p>
    <w:p w14:paraId="1AF5147C" w14:textId="3F041174" w:rsidR="00403D83" w:rsidRPr="000A5FF0" w:rsidRDefault="00403D83" w:rsidP="00403D83">
      <w:pPr>
        <w:pStyle w:val="Heading1"/>
      </w:pPr>
      <w:r w:rsidRPr="000A5FF0">
        <w:t>3</w:t>
      </w:r>
      <w:r w:rsidRPr="000A5FF0">
        <w:tab/>
        <w:t>Проект новой Рекомендации МСЭ-T X.1648 (X.gecds) [SG17-</w:t>
      </w:r>
      <w:hyperlink r:id="rId15" w:history="1">
        <w:r w:rsidR="00DE1CD8" w:rsidRPr="000A5FF0">
          <w:rPr>
            <w:rStyle w:val="Hyperlink"/>
          </w:rPr>
          <w:t>R77</w:t>
        </w:r>
      </w:hyperlink>
      <w:r w:rsidRPr="000A5FF0">
        <w:t>]</w:t>
      </w:r>
    </w:p>
    <w:p w14:paraId="47A03ED8" w14:textId="613B3C15" w:rsidR="00403D83" w:rsidRPr="000A5FF0" w:rsidRDefault="00403D83" w:rsidP="000A5FF0">
      <w:pPr>
        <w:pStyle w:val="Rectitle"/>
        <w:rPr>
          <w:lang w:val="ru-RU"/>
        </w:rPr>
      </w:pPr>
      <w:r w:rsidRPr="000A5FF0">
        <w:rPr>
          <w:lang w:val="ru-RU"/>
        </w:rPr>
        <w:t>Руководящие указания по обеспечению безопасности данных периферийных</w:t>
      </w:r>
      <w:r w:rsidR="000A5FF0">
        <w:rPr>
          <w:lang w:val="ru-RU"/>
        </w:rPr>
        <w:t> </w:t>
      </w:r>
      <w:r w:rsidRPr="000A5FF0">
        <w:rPr>
          <w:lang w:val="ru-RU"/>
        </w:rPr>
        <w:t>вычислений</w:t>
      </w:r>
    </w:p>
    <w:p w14:paraId="6997BD1B" w14:textId="77777777" w:rsidR="00403D83" w:rsidRPr="000A5FF0" w:rsidRDefault="00403D83" w:rsidP="00861F21">
      <w:pPr>
        <w:pStyle w:val="Headingb"/>
        <w:rPr>
          <w:lang w:val="ru-RU"/>
        </w:rPr>
      </w:pPr>
      <w:r w:rsidRPr="000A5FF0">
        <w:rPr>
          <w:lang w:val="ru-RU"/>
        </w:rPr>
        <w:t>Резюме</w:t>
      </w:r>
    </w:p>
    <w:p w14:paraId="0853A082" w14:textId="27DE3D86" w:rsidR="00403D83" w:rsidRPr="000A5FF0" w:rsidRDefault="00403D83" w:rsidP="00403D83">
      <w:pPr>
        <w:rPr>
          <w:lang w:val="ru-RU"/>
        </w:rPr>
      </w:pPr>
      <w:r w:rsidRPr="000A5FF0">
        <w:rPr>
          <w:lang w:val="ru-RU"/>
        </w:rPr>
        <w:t>В настоящей Рекомендации указано, как эталонная архитектура периферийных вычислений влияет на безопасность данных на периферии сети, и анализируются угрозы и проблемы безопасности периферийных вычислений. Кроме того, приводятся руководящие указания по обеспечению безопасности периферийных вычислений для различных ролей, имеющих отношение к</w:t>
      </w:r>
      <w:r w:rsidR="000A5FF0">
        <w:rPr>
          <w:lang w:val="ru-RU"/>
        </w:rPr>
        <w:t> </w:t>
      </w:r>
      <w:r w:rsidRPr="000A5FF0">
        <w:rPr>
          <w:lang w:val="ru-RU"/>
        </w:rPr>
        <w:t>приложениям для периферийных вычислений.</w:t>
      </w:r>
    </w:p>
    <w:p w14:paraId="27ABC3A1" w14:textId="692A3DAE" w:rsidR="00403D83" w:rsidRPr="007F25B7" w:rsidRDefault="00403D83" w:rsidP="00403D83">
      <w:pPr>
        <w:rPr>
          <w:lang w:val="ru-RU"/>
        </w:rPr>
      </w:pPr>
      <w:r w:rsidRPr="000A5FF0">
        <w:rPr>
          <w:lang w:val="ru-RU"/>
        </w:rPr>
        <w:t>В этом проекте текста, по которому сделано заключение, перечислены нормативные справочные документы, требующие обоснования согласно Рекомендации A.5 МСЭ-Т, которое представлено в</w:t>
      </w:r>
      <w:r w:rsidR="007F25B7">
        <w:rPr>
          <w:lang w:val="ru-RU"/>
        </w:rPr>
        <w:t> Документе</w:t>
      </w:r>
      <w:r w:rsidR="000A5FF0">
        <w:rPr>
          <w:lang w:val="ru-RU"/>
        </w:rPr>
        <w:t> </w:t>
      </w:r>
      <w:hyperlink r:id="rId16" w:history="1">
        <w:r w:rsidRPr="000A5FF0">
          <w:rPr>
            <w:rStyle w:val="Hyperlink"/>
            <w:lang w:val="ru-RU"/>
          </w:rPr>
          <w:t>TD</w:t>
        </w:r>
        <w:r w:rsidR="000A5FF0">
          <w:rPr>
            <w:rStyle w:val="Hyperlink"/>
            <w:lang w:val="ru-RU"/>
          </w:rPr>
          <w:t>/</w:t>
        </w:r>
        <w:r w:rsidRPr="000A5FF0">
          <w:rPr>
            <w:rStyle w:val="Hyperlink"/>
            <w:lang w:val="ru-RU"/>
          </w:rPr>
          <w:t>2377</w:t>
        </w:r>
        <w:r w:rsidR="007F25B7">
          <w:rPr>
            <w:rStyle w:val="Hyperlink"/>
            <w:lang w:val="ru-RU"/>
          </w:rPr>
          <w:t>(</w:t>
        </w:r>
        <w:r w:rsidR="007F25B7">
          <w:rPr>
            <w:rStyle w:val="Hyperlink"/>
          </w:rPr>
          <w:t>Rev</w:t>
        </w:r>
        <w:r w:rsidR="007F25B7" w:rsidRPr="007F25B7">
          <w:rPr>
            <w:rStyle w:val="Hyperlink"/>
            <w:lang w:val="ru-RU"/>
          </w:rPr>
          <w:t>.1)</w:t>
        </w:r>
      </w:hyperlink>
      <w:r w:rsidR="007F25B7">
        <w:rPr>
          <w:lang w:val="ru-RU"/>
        </w:rPr>
        <w:t xml:space="preserve"> ИК17.</w:t>
      </w:r>
    </w:p>
    <w:p w14:paraId="60B3E872" w14:textId="74CA716B" w:rsidR="00403D83" w:rsidRPr="000A5FF0" w:rsidRDefault="00403D83" w:rsidP="00403D83">
      <w:pPr>
        <w:pStyle w:val="Heading1"/>
      </w:pPr>
      <w:r w:rsidRPr="000A5FF0">
        <w:t>4</w:t>
      </w:r>
      <w:r w:rsidRPr="000A5FF0">
        <w:tab/>
        <w:t>Проект новой Рекомендации МСЭ-T X.1284 (X.afotak) [SG17-</w:t>
      </w:r>
      <w:hyperlink r:id="rId17" w:history="1">
        <w:r w:rsidR="00DE1CD8" w:rsidRPr="000A5FF0">
          <w:rPr>
            <w:rStyle w:val="Hyperlink"/>
          </w:rPr>
          <w:t>R78</w:t>
        </w:r>
      </w:hyperlink>
      <w:r w:rsidRPr="000A5FF0">
        <w:t>]</w:t>
      </w:r>
    </w:p>
    <w:p w14:paraId="0682B892" w14:textId="77777777" w:rsidR="00403D83" w:rsidRPr="001E0025" w:rsidRDefault="00403D83" w:rsidP="007F25B7">
      <w:pPr>
        <w:pStyle w:val="Rectitle"/>
        <w:rPr>
          <w:lang w:val="ru-RU"/>
        </w:rPr>
      </w:pPr>
      <w:r w:rsidRPr="001E0025">
        <w:rPr>
          <w:lang w:val="ru-RU"/>
        </w:rPr>
        <w:t>Система аутентификации на основе одноразового ключа с использованием технологии распределенного реестра</w:t>
      </w:r>
    </w:p>
    <w:p w14:paraId="5FEF6432" w14:textId="5F13584A" w:rsidR="00403D83" w:rsidRPr="001E0025" w:rsidRDefault="00403D83" w:rsidP="007F25B7">
      <w:pPr>
        <w:pStyle w:val="Headingb"/>
        <w:rPr>
          <w:lang w:val="ru-RU"/>
        </w:rPr>
      </w:pPr>
      <w:r w:rsidRPr="001E0025">
        <w:rPr>
          <w:lang w:val="ru-RU"/>
        </w:rPr>
        <w:t>Резюме</w:t>
      </w:r>
    </w:p>
    <w:p w14:paraId="7DE3C3FA" w14:textId="1C73A46C" w:rsidR="00403D83" w:rsidRPr="000A5FF0" w:rsidRDefault="00403D83" w:rsidP="00403D83">
      <w:pPr>
        <w:rPr>
          <w:lang w:val="ru-RU"/>
        </w:rPr>
      </w:pPr>
      <w:r w:rsidRPr="000A5FF0">
        <w:rPr>
          <w:lang w:val="ru-RU"/>
        </w:rPr>
        <w:t>В данной Рекомендации представлена система аутентификации на основе одноразового ключа (AFOTAK) с использованием технологии распределенного реестра (DLT). В этой Рекомендации:</w:t>
      </w:r>
    </w:p>
    <w:p w14:paraId="25E24AA7" w14:textId="77777777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определена система аутентификации на основе одноразового ключа и соответствующие процедуры аутентификации;</w:t>
      </w:r>
    </w:p>
    <w:p w14:paraId="7556B3D1" w14:textId="1B7796DC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определены требования безопасности для системы аутентификации на основе одноразового ключа;</w:t>
      </w:r>
    </w:p>
    <w:p w14:paraId="1A3D6040" w14:textId="55E3354F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описана процедура создания и проверки одноразового ключа аутентификации;</w:t>
      </w:r>
    </w:p>
    <w:p w14:paraId="3FA22C86" w14:textId="08810B2B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определены угрозы нарушения безопасности; и</w:t>
      </w:r>
    </w:p>
    <w:p w14:paraId="4918A770" w14:textId="4B92F023" w:rsidR="00403D83" w:rsidRPr="000A5FF0" w:rsidRDefault="00403D83" w:rsidP="00861F21">
      <w:pPr>
        <w:pStyle w:val="enumlev1"/>
        <w:rPr>
          <w:lang w:val="ru-RU"/>
        </w:rPr>
      </w:pPr>
      <w:r w:rsidRPr="000A5FF0">
        <w:rPr>
          <w:lang w:val="ru-RU"/>
        </w:rPr>
        <w:t>•</w:t>
      </w:r>
      <w:r w:rsidRPr="000A5FF0">
        <w:rPr>
          <w:lang w:val="ru-RU"/>
        </w:rPr>
        <w:tab/>
        <w:t>определены элементы управления для обеспечения безопасности.</w:t>
      </w:r>
    </w:p>
    <w:p w14:paraId="4D13BD0D" w14:textId="1038FD21" w:rsidR="00476D7D" w:rsidRPr="000A5FF0" w:rsidRDefault="00476D7D" w:rsidP="00476D7D">
      <w:pPr>
        <w:pStyle w:val="Heading1"/>
      </w:pPr>
      <w:r w:rsidRPr="000A5FF0">
        <w:lastRenderedPageBreak/>
        <w:t>5</w:t>
      </w:r>
      <w:r w:rsidRPr="000A5FF0">
        <w:tab/>
        <w:t>Проект новой Рекомендации МСЭ-Т X.1385 (X.evtol-sec) [SG17-</w:t>
      </w:r>
      <w:hyperlink r:id="rId18" w:history="1">
        <w:r w:rsidR="00DE1CD8" w:rsidRPr="000A5FF0">
          <w:rPr>
            <w:rStyle w:val="Hyperlink"/>
          </w:rPr>
          <w:t>R79</w:t>
        </w:r>
      </w:hyperlink>
      <w:r w:rsidRPr="000A5FF0">
        <w:t>]</w:t>
      </w:r>
    </w:p>
    <w:p w14:paraId="4A15F39E" w14:textId="584B13FA" w:rsidR="00476D7D" w:rsidRPr="001E0025" w:rsidRDefault="00476D7D" w:rsidP="007F25B7">
      <w:pPr>
        <w:pStyle w:val="Rectitle"/>
        <w:rPr>
          <w:lang w:val="ru-RU"/>
        </w:rPr>
      </w:pPr>
      <w:r w:rsidRPr="001E0025">
        <w:rPr>
          <w:lang w:val="ru-RU"/>
        </w:rPr>
        <w:t>Требования и руководящие указания по обеспечению безопасности электросвязи в среде воздушной городской мобильности (</w:t>
      </w:r>
      <w:r w:rsidRPr="000A5FF0">
        <w:t>UAM</w:t>
      </w:r>
      <w:r w:rsidRPr="001E0025">
        <w:rPr>
          <w:lang w:val="ru-RU"/>
        </w:rPr>
        <w:t>)</w:t>
      </w:r>
    </w:p>
    <w:p w14:paraId="472FC09A" w14:textId="77777777" w:rsidR="00476D7D" w:rsidRPr="000A5FF0" w:rsidRDefault="00476D7D" w:rsidP="00861F21">
      <w:pPr>
        <w:pStyle w:val="Headingb"/>
        <w:rPr>
          <w:lang w:val="ru-RU"/>
        </w:rPr>
      </w:pPr>
      <w:r w:rsidRPr="000A5FF0">
        <w:rPr>
          <w:lang w:val="ru-RU"/>
        </w:rPr>
        <w:t>Резюме</w:t>
      </w:r>
    </w:p>
    <w:p w14:paraId="0DFCA35F" w14:textId="19ED4009" w:rsidR="00476D7D" w:rsidRPr="000A5FF0" w:rsidRDefault="00476D7D" w:rsidP="00476D7D">
      <w:pPr>
        <w:rPr>
          <w:lang w:val="ru-RU"/>
        </w:rPr>
      </w:pPr>
      <w:r w:rsidRPr="000A5FF0">
        <w:rPr>
          <w:lang w:val="ru-RU"/>
        </w:rPr>
        <w:t>Воздушная городская мобильность (UAM) или воздушная перспективная мобильность (AAM)</w:t>
      </w:r>
      <w:r w:rsidR="007F25B7">
        <w:rPr>
          <w:lang w:val="ru-RU"/>
        </w:rPr>
        <w:t> </w:t>
      </w:r>
      <w:r w:rsidRPr="000A5FF0">
        <w:rPr>
          <w:lang w:val="ru-RU"/>
        </w:rPr>
        <w:t>– это воздушная транспортная система для перевозки пассажиров или грузов по требованию, при этом полеты, как правило, осуществляются в пределах городских районов или в/из них. Ожидается, что</w:t>
      </w:r>
      <w:r w:rsidR="007F25B7">
        <w:rPr>
          <w:lang w:val="ru-RU"/>
        </w:rPr>
        <w:t> </w:t>
      </w:r>
      <w:r w:rsidRPr="000A5FF0">
        <w:rPr>
          <w:lang w:val="ru-RU"/>
        </w:rPr>
        <w:t>эта</w:t>
      </w:r>
      <w:r w:rsidR="007F25B7">
        <w:rPr>
          <w:lang w:val="ru-RU"/>
        </w:rPr>
        <w:t> </w:t>
      </w:r>
      <w:r w:rsidRPr="000A5FF0">
        <w:rPr>
          <w:lang w:val="ru-RU"/>
        </w:rPr>
        <w:t>транспортная система нового типа решит различные проблемы крупных городов, включая огромные пробки на дорогах, загрязнение окружающей среды и высокую плотность населения. Для</w:t>
      </w:r>
      <w:r w:rsidR="007F25B7">
        <w:rPr>
          <w:lang w:val="ru-RU"/>
        </w:rPr>
        <w:t> </w:t>
      </w:r>
      <w:r w:rsidRPr="000A5FF0">
        <w:rPr>
          <w:lang w:val="ru-RU"/>
        </w:rPr>
        <w:t>обеспечения безопасного и четкого воздушного движения в городских районах необходимо использовать различные системы связи. Весьма вероятно, что некоторые каналы связи могут стать целью злоумышленников, стремящихся получить доступ к внутренним системам соединенного летательного аппарата, что приведет к значительным потерям.</w:t>
      </w:r>
    </w:p>
    <w:p w14:paraId="6E2228D8" w14:textId="0279F9DF" w:rsidR="00476D7D" w:rsidRPr="000A5FF0" w:rsidRDefault="00476D7D" w:rsidP="00476D7D">
      <w:pPr>
        <w:rPr>
          <w:lang w:val="ru-RU"/>
        </w:rPr>
      </w:pPr>
      <w:r w:rsidRPr="000A5FF0">
        <w:rPr>
          <w:lang w:val="ru-RU"/>
        </w:rPr>
        <w:t>В настоящей Рекомендации представлены угрозы безопасности, требования по обеспечению безопасности и руководящие указания по реализации услуг электросвязи в системах UAM. Данная</w:t>
      </w:r>
      <w:r w:rsidR="007F25B7">
        <w:rPr>
          <w:lang w:val="ru-RU"/>
        </w:rPr>
        <w:t> </w:t>
      </w:r>
      <w:r w:rsidRPr="000A5FF0">
        <w:rPr>
          <w:lang w:val="ru-RU"/>
        </w:rPr>
        <w:t>Рекомендация может быть использована производителями систем UAM/AAM и</w:t>
      </w:r>
      <w:r w:rsidR="007F25B7">
        <w:rPr>
          <w:lang w:val="ru-RU"/>
        </w:rPr>
        <w:t> </w:t>
      </w:r>
      <w:r w:rsidRPr="000A5FF0">
        <w:rPr>
          <w:lang w:val="ru-RU"/>
        </w:rPr>
        <w:t>организациями смежных отраслей в качестве источника требований и рекомендаций по</w:t>
      </w:r>
      <w:r w:rsidR="007F25B7">
        <w:rPr>
          <w:lang w:val="ru-RU"/>
        </w:rPr>
        <w:t> </w:t>
      </w:r>
      <w:r w:rsidRPr="000A5FF0">
        <w:rPr>
          <w:lang w:val="ru-RU"/>
        </w:rPr>
        <w:t>безопасности.</w:t>
      </w:r>
    </w:p>
    <w:p w14:paraId="4A0B9C1E" w14:textId="77777777" w:rsidR="007F25B7" w:rsidRPr="007F25B7" w:rsidRDefault="007F25B7" w:rsidP="007F25B7">
      <w:pPr>
        <w:rPr>
          <w:lang w:val="ru-RU"/>
        </w:rPr>
      </w:pPr>
      <w:r w:rsidRPr="007F25B7">
        <w:rPr>
          <w:lang w:val="ru-RU"/>
        </w:rPr>
        <w:br w:type="page"/>
      </w:r>
    </w:p>
    <w:p w14:paraId="3FCF201F" w14:textId="3DBE5690" w:rsidR="00B84B29" w:rsidRPr="000A5FF0" w:rsidRDefault="00B84B29" w:rsidP="007F25B7">
      <w:pPr>
        <w:pStyle w:val="AnnexNo"/>
        <w:rPr>
          <w:lang w:val="ru-RU"/>
        </w:rPr>
      </w:pPr>
      <w:r w:rsidRPr="001E0025">
        <w:rPr>
          <w:lang w:val="ru-RU"/>
        </w:rPr>
        <w:lastRenderedPageBreak/>
        <w:t>ПРИЛОЖЕНИЕ</w:t>
      </w:r>
      <w:r w:rsidRPr="000A5FF0">
        <w:rPr>
          <w:lang w:val="ru-RU"/>
        </w:rPr>
        <w:t xml:space="preserve"> 2</w:t>
      </w:r>
    </w:p>
    <w:p w14:paraId="08101151" w14:textId="6F6C8AD4" w:rsidR="00B84B29" w:rsidRPr="000A5FF0" w:rsidRDefault="00B84B29" w:rsidP="00B84B29">
      <w:pPr>
        <w:pStyle w:val="Annextitle0"/>
        <w:spacing w:after="240"/>
        <w:rPr>
          <w:lang w:val="ru-RU"/>
        </w:rPr>
      </w:pPr>
      <w:r w:rsidRPr="000A5FF0">
        <w:rPr>
          <w:lang w:val="ru-RU"/>
        </w:rPr>
        <w:t xml:space="preserve">Предмет: ответ Государства-Члена на Циркуляр </w:t>
      </w:r>
      <w:r w:rsidR="00BB4E2D" w:rsidRPr="000A5FF0">
        <w:rPr>
          <w:lang w:val="ru-RU"/>
        </w:rPr>
        <w:t>00</w:t>
      </w:r>
      <w:r w:rsidR="001228C0" w:rsidRPr="000A5FF0">
        <w:rPr>
          <w:lang w:val="ru-RU"/>
        </w:rPr>
        <w:t>3</w:t>
      </w:r>
      <w:r w:rsidRPr="000A5FF0">
        <w:rPr>
          <w:lang w:val="ru-RU"/>
        </w:rPr>
        <w:t xml:space="preserve"> БСЭ </w:t>
      </w:r>
      <w:r w:rsidR="00344162" w:rsidRPr="000A5FF0">
        <w:rPr>
          <w:lang w:val="ru-RU"/>
        </w:rPr>
        <w:br/>
      </w:r>
      <w:r w:rsidRPr="000A5FF0">
        <w:rPr>
          <w:lang w:val="ru-RU"/>
        </w:rPr>
        <w:t xml:space="preserve">Консультации по </w:t>
      </w:r>
      <w:r w:rsidR="00433DD2" w:rsidRPr="000A5FF0">
        <w:rPr>
          <w:lang w:val="ru-RU"/>
        </w:rPr>
        <w:t xml:space="preserve">проектам новых Рекомендаций МСЭ-T </w:t>
      </w:r>
      <w:r w:rsidR="001228C0" w:rsidRPr="000A5FF0">
        <w:rPr>
          <w:lang w:val="ru-RU"/>
        </w:rPr>
        <w:t>X.1355 (X.ra-iot), X.1456</w:t>
      </w:r>
      <w:r w:rsidR="007F25B7">
        <w:rPr>
          <w:lang w:val="ru-RU"/>
        </w:rPr>
        <w:t> </w:t>
      </w:r>
      <w:r w:rsidR="001228C0" w:rsidRPr="000A5FF0">
        <w:rPr>
          <w:lang w:val="ru-RU"/>
        </w:rPr>
        <w:t>(X.sgdfs-us), X.1648 (X.gecds), X.1284 (X.afotak) и X.1385 (X.evtol-sec)</w:t>
      </w:r>
      <w:r w:rsidR="00433DD2" w:rsidRPr="000A5FF0">
        <w:rPr>
          <w:lang w:val="ru-RU"/>
        </w:rPr>
        <w:t>, по которым 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B84B29" w:rsidRPr="008B3C1D" w14:paraId="32A963BC" w14:textId="77777777" w:rsidTr="00E66EB5">
        <w:tc>
          <w:tcPr>
            <w:tcW w:w="1064" w:type="dxa"/>
            <w:shd w:val="clear" w:color="auto" w:fill="auto"/>
          </w:tcPr>
          <w:p w14:paraId="6B7511E9" w14:textId="77777777" w:rsidR="00B84B29" w:rsidRPr="000A5FF0" w:rsidRDefault="00B84B29" w:rsidP="00E66EB5">
            <w:pPr>
              <w:ind w:left="-113"/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Кому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3D0E69" w14:textId="77777777" w:rsidR="00B84B29" w:rsidRPr="000A5FF0" w:rsidRDefault="00B84B29" w:rsidP="00E66EB5">
            <w:pPr>
              <w:rPr>
                <w:lang w:val="ru-RU"/>
              </w:rPr>
            </w:pPr>
            <w:r w:rsidRPr="000A5FF0">
              <w:rPr>
                <w:lang w:val="ru-RU"/>
              </w:rPr>
              <w:t xml:space="preserve">Директору </w:t>
            </w:r>
            <w:r w:rsidRPr="000A5FF0">
              <w:rPr>
                <w:lang w:val="ru-RU"/>
              </w:rPr>
              <w:br/>
              <w:t>Бюро стандартизации электросвязи</w:t>
            </w:r>
          </w:p>
          <w:p w14:paraId="125E81E1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  <w:r w:rsidRPr="000A5FF0">
              <w:rPr>
                <w:lang w:val="ru-RU"/>
              </w:rPr>
              <w:t>Международный союз электросвязи</w:t>
            </w:r>
          </w:p>
          <w:p w14:paraId="4EA93CE6" w14:textId="77777777" w:rsidR="00B84B29" w:rsidRPr="001E0025" w:rsidRDefault="00B84B29" w:rsidP="00E66EB5">
            <w:pPr>
              <w:spacing w:before="0"/>
              <w:rPr>
                <w:lang w:val="fr-FR"/>
              </w:rPr>
            </w:pPr>
            <w:r w:rsidRPr="001E0025">
              <w:rPr>
                <w:lang w:val="fr-FR"/>
              </w:rPr>
              <w:t>Place des Nations</w:t>
            </w:r>
          </w:p>
          <w:p w14:paraId="7B8F6590" w14:textId="3216E8A5" w:rsidR="00B84B29" w:rsidRPr="001E0025" w:rsidRDefault="00B84B29" w:rsidP="007F25B7">
            <w:pPr>
              <w:spacing w:before="0"/>
              <w:rPr>
                <w:lang w:val="fr-FR"/>
              </w:rPr>
            </w:pPr>
            <w:r w:rsidRPr="001E0025">
              <w:rPr>
                <w:lang w:val="fr-FR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384E0E" w14:textId="77777777" w:rsidR="00B84B29" w:rsidRPr="000A5FF0" w:rsidRDefault="00B84B29" w:rsidP="00E66EB5">
            <w:pPr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От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6175BF5" w14:textId="77777777" w:rsidR="00B84B29" w:rsidRPr="000A5FF0" w:rsidRDefault="00B84B29" w:rsidP="00E66EB5">
            <w:pPr>
              <w:rPr>
                <w:highlight w:val="green"/>
                <w:lang w:val="ru-RU"/>
              </w:rPr>
            </w:pPr>
            <w:r w:rsidRPr="000A5FF0">
              <w:rPr>
                <w:highlight w:val="green"/>
                <w:lang w:val="ru-RU"/>
              </w:rPr>
              <w:t>[Фамилия]</w:t>
            </w:r>
          </w:p>
          <w:p w14:paraId="592F9CEB" w14:textId="77777777" w:rsidR="00B84B29" w:rsidRPr="000A5FF0" w:rsidRDefault="00B84B29" w:rsidP="00E66EB5">
            <w:pPr>
              <w:spacing w:before="0"/>
              <w:rPr>
                <w:highlight w:val="green"/>
                <w:lang w:val="ru-RU"/>
              </w:rPr>
            </w:pPr>
            <w:r w:rsidRPr="000A5FF0">
              <w:rPr>
                <w:highlight w:val="green"/>
                <w:lang w:val="ru-RU"/>
              </w:rPr>
              <w:t>[Официальная должность/титул]</w:t>
            </w:r>
          </w:p>
          <w:p w14:paraId="12A3D830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  <w:r w:rsidRPr="000A5FF0">
              <w:rPr>
                <w:highlight w:val="green"/>
                <w:lang w:val="ru-RU"/>
              </w:rPr>
              <w:t>[Адрес]</w:t>
            </w:r>
          </w:p>
        </w:tc>
      </w:tr>
      <w:tr w:rsidR="00B84B29" w:rsidRPr="000A5FF0" w14:paraId="6B9C9CF3" w14:textId="77777777" w:rsidTr="00E66EB5">
        <w:tc>
          <w:tcPr>
            <w:tcW w:w="1064" w:type="dxa"/>
            <w:shd w:val="clear" w:color="auto" w:fill="auto"/>
          </w:tcPr>
          <w:p w14:paraId="2763E2EA" w14:textId="77777777" w:rsidR="00B84B29" w:rsidRPr="000A5FF0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Факс</w:t>
            </w:r>
            <w:r w:rsidRPr="000A5FF0">
              <w:rPr>
                <w:lang w:val="ru-RU"/>
              </w:rPr>
              <w:t>:</w:t>
            </w:r>
          </w:p>
          <w:p w14:paraId="3E04E6A7" w14:textId="77777777" w:rsidR="00B84B29" w:rsidRPr="000A5FF0" w:rsidRDefault="00B84B29" w:rsidP="00E66EB5">
            <w:pPr>
              <w:spacing w:before="0"/>
              <w:ind w:left="-113"/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Эл. почта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D115E9F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  <w:r w:rsidRPr="000A5FF0">
              <w:rPr>
                <w:lang w:val="ru-RU"/>
              </w:rPr>
              <w:t>+41 22 730 5853</w:t>
            </w:r>
          </w:p>
          <w:p w14:paraId="7E67DE50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  <w:hyperlink r:id="rId19" w:history="1">
              <w:r w:rsidRPr="000A5FF0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1C89A1F" w14:textId="77777777" w:rsidR="00B84B29" w:rsidRPr="000A5FF0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Факс</w:t>
            </w:r>
            <w:r w:rsidRPr="000A5FF0">
              <w:rPr>
                <w:lang w:val="ru-RU"/>
              </w:rPr>
              <w:t>:</w:t>
            </w:r>
          </w:p>
          <w:p w14:paraId="37CD893A" w14:textId="77777777" w:rsidR="00B84B29" w:rsidRPr="000A5FF0" w:rsidRDefault="00B84B29" w:rsidP="00E66EB5">
            <w:pPr>
              <w:spacing w:before="0"/>
              <w:jc w:val="right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t>Эл. почта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3165A8C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</w:p>
        </w:tc>
      </w:tr>
      <w:tr w:rsidR="00B84B29" w:rsidRPr="000A5FF0" w14:paraId="6110762D" w14:textId="77777777" w:rsidTr="00E66EB5">
        <w:tc>
          <w:tcPr>
            <w:tcW w:w="1064" w:type="dxa"/>
            <w:shd w:val="clear" w:color="auto" w:fill="auto"/>
          </w:tcPr>
          <w:p w14:paraId="723E0C49" w14:textId="77777777" w:rsidR="00B84B29" w:rsidRPr="000A5FF0" w:rsidRDefault="00B84B29" w:rsidP="00E66EB5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16A5005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8CA143" w14:textId="77777777" w:rsidR="00B84B29" w:rsidRPr="000A5FF0" w:rsidRDefault="00B84B29" w:rsidP="00E66EB5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0A5FF0">
              <w:rPr>
                <w:b/>
                <w:bCs/>
                <w:lang w:val="ru-RU"/>
              </w:rPr>
              <w:t>Дата</w:t>
            </w:r>
            <w:r w:rsidRPr="000A5FF0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C137231" w14:textId="77777777" w:rsidR="00B84B29" w:rsidRPr="000A5FF0" w:rsidRDefault="00B84B29" w:rsidP="00E66EB5">
            <w:pPr>
              <w:spacing w:before="0"/>
              <w:rPr>
                <w:lang w:val="ru-RU"/>
              </w:rPr>
            </w:pPr>
            <w:r w:rsidRPr="000A5FF0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4F9274EA" w14:textId="77777777" w:rsidR="00B84B29" w:rsidRPr="000A5FF0" w:rsidRDefault="00B84B29" w:rsidP="007F25B7">
      <w:pPr>
        <w:spacing w:before="360"/>
        <w:rPr>
          <w:lang w:val="ru-RU"/>
        </w:rPr>
      </w:pPr>
      <w:r w:rsidRPr="000A5FF0">
        <w:rPr>
          <w:lang w:val="ru-RU"/>
        </w:rPr>
        <w:t>Уважаемая госпожа,</w:t>
      </w:r>
      <w:r w:rsidRPr="000A5FF0">
        <w:rPr>
          <w:lang w:val="ru-RU"/>
        </w:rPr>
        <w:br/>
        <w:t>уважаемый господин,</w:t>
      </w:r>
    </w:p>
    <w:p w14:paraId="409C034F" w14:textId="0C2AABB9" w:rsidR="00B84B29" w:rsidRPr="000A5FF0" w:rsidRDefault="00B84B29" w:rsidP="00B84B29">
      <w:pPr>
        <w:spacing w:after="120"/>
        <w:rPr>
          <w:lang w:val="ru-RU"/>
        </w:rPr>
      </w:pPr>
      <w:r w:rsidRPr="000A5FF0">
        <w:rPr>
          <w:lang w:val="ru-RU"/>
        </w:rPr>
        <w:t xml:space="preserve">В рамках консультаций с Государствами-Членами </w:t>
      </w:r>
      <w:r w:rsidRPr="000A5FF0">
        <w:rPr>
          <w:bCs/>
          <w:lang w:val="ru-RU"/>
        </w:rPr>
        <w:t>по указанн</w:t>
      </w:r>
      <w:r w:rsidR="00433DD2" w:rsidRPr="000A5FF0">
        <w:rPr>
          <w:bCs/>
          <w:lang w:val="ru-RU"/>
        </w:rPr>
        <w:t>ым</w:t>
      </w:r>
      <w:r w:rsidRPr="000A5FF0">
        <w:rPr>
          <w:bCs/>
          <w:lang w:val="ru-RU"/>
        </w:rPr>
        <w:t xml:space="preserve"> в Циркуляре </w:t>
      </w:r>
      <w:r w:rsidR="00BB4E2D" w:rsidRPr="000A5FF0">
        <w:rPr>
          <w:bCs/>
          <w:lang w:val="ru-RU"/>
        </w:rPr>
        <w:t>003</w:t>
      </w:r>
      <w:r w:rsidRPr="000A5FF0">
        <w:rPr>
          <w:bCs/>
          <w:lang w:val="ru-RU"/>
        </w:rPr>
        <w:t xml:space="preserve"> БСЭ проект</w:t>
      </w:r>
      <w:r w:rsidR="00433DD2" w:rsidRPr="000A5FF0">
        <w:rPr>
          <w:bCs/>
          <w:lang w:val="ru-RU"/>
        </w:rPr>
        <w:t>ам</w:t>
      </w:r>
      <w:r w:rsidR="00BA3B73" w:rsidRPr="000A5FF0">
        <w:rPr>
          <w:bCs/>
          <w:lang w:val="ru-RU"/>
        </w:rPr>
        <w:t xml:space="preserve"> </w:t>
      </w:r>
      <w:r w:rsidRPr="000A5FF0">
        <w:rPr>
          <w:bCs/>
          <w:lang w:val="ru-RU"/>
        </w:rPr>
        <w:t>текст</w:t>
      </w:r>
      <w:r w:rsidR="00E0276A" w:rsidRPr="000A5FF0">
        <w:rPr>
          <w:bCs/>
          <w:lang w:val="ru-RU"/>
        </w:rPr>
        <w:t>ов</w:t>
      </w:r>
      <w:r w:rsidRPr="000A5FF0">
        <w:rPr>
          <w:bCs/>
          <w:lang w:val="ru-RU"/>
        </w:rPr>
        <w:t>, по котор</w:t>
      </w:r>
      <w:r w:rsidR="00433DD2" w:rsidRPr="000A5FF0">
        <w:rPr>
          <w:bCs/>
          <w:lang w:val="ru-RU"/>
        </w:rPr>
        <w:t>ым</w:t>
      </w:r>
      <w:r w:rsidRPr="000A5FF0">
        <w:rPr>
          <w:bCs/>
          <w:lang w:val="ru-RU"/>
        </w:rPr>
        <w:t xml:space="preserve"> сделано </w:t>
      </w:r>
      <w:r w:rsidRPr="000A5FF0">
        <w:rPr>
          <w:lang w:val="ru-RU"/>
        </w:rPr>
        <w:t>заключение</w:t>
      </w:r>
      <w:r w:rsidRPr="000A5FF0">
        <w:rPr>
          <w:bCs/>
          <w:lang w:val="ru-RU"/>
        </w:rPr>
        <w:t xml:space="preserve">, </w:t>
      </w:r>
      <w:r w:rsidRPr="000A5FF0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B84B29" w:rsidRPr="008B3C1D" w14:paraId="71C5CE9C" w14:textId="77777777" w:rsidTr="00344162">
        <w:trPr>
          <w:cantSplit/>
          <w:tblHeader/>
        </w:trPr>
        <w:tc>
          <w:tcPr>
            <w:tcW w:w="1980" w:type="dxa"/>
            <w:vAlign w:val="center"/>
          </w:tcPr>
          <w:p w14:paraId="3C37C06C" w14:textId="77777777" w:rsidR="00B84B29" w:rsidRPr="000A5FF0" w:rsidRDefault="00B84B29" w:rsidP="00E66EB5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DDB717" w14:textId="77777777" w:rsidR="00B84B29" w:rsidRPr="000A5FF0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5FF0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B84B29" w:rsidRPr="008B3C1D" w14:paraId="0892463D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42E08" w14:textId="4CAFEDA4" w:rsidR="00B84B29" w:rsidRPr="000A5FF0" w:rsidRDefault="00B84B29" w:rsidP="0034416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" w:name="lt_pId162"/>
            <w:r w:rsidRPr="000A5FF0">
              <w:rPr>
                <w:b/>
                <w:bCs/>
                <w:lang w:val="ru-RU"/>
              </w:rPr>
              <w:t xml:space="preserve">Проект </w:t>
            </w:r>
            <w:bookmarkEnd w:id="1"/>
            <w:r w:rsidR="000A1850" w:rsidRPr="000A5FF0">
              <w:rPr>
                <w:b/>
                <w:bCs/>
                <w:lang w:val="ru-RU"/>
              </w:rPr>
              <w:t xml:space="preserve">новой Рекомендации МСЭ-Т </w:t>
            </w:r>
            <w:r w:rsidR="00AE1085" w:rsidRPr="000A5FF0">
              <w:rPr>
                <w:rFonts w:cstheme="minorHAnsi"/>
                <w:b/>
                <w:bCs/>
                <w:szCs w:val="22"/>
                <w:lang w:val="ru-RU"/>
              </w:rPr>
              <w:t>X.1355 (X.ra-iot)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061" w14:textId="1D95D27E" w:rsidR="00B84B29" w:rsidRPr="000A5FF0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b/>
                <w:bCs/>
                <w:lang w:val="ru-RU"/>
              </w:rPr>
              <w:instrText xml:space="preserve"> FORMCHECKBOX </w:instrText>
            </w:r>
            <w:r w:rsidRPr="000A5FF0">
              <w:rPr>
                <w:b/>
                <w:bCs/>
                <w:lang w:val="ru-RU"/>
              </w:rPr>
            </w:r>
            <w:r w:rsidRPr="000A5FF0">
              <w:rPr>
                <w:b/>
                <w:bCs/>
                <w:lang w:val="ru-RU"/>
              </w:rPr>
              <w:fldChar w:fldCharType="separate"/>
            </w:r>
            <w:r w:rsidRPr="000A5FF0">
              <w:rPr>
                <w:b/>
                <w:bCs/>
                <w:lang w:val="ru-RU"/>
              </w:rPr>
              <w:fldChar w:fldCharType="end"/>
            </w:r>
            <w:r w:rsidRPr="000A5FF0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0A5FF0">
              <w:rPr>
                <w:lang w:val="ru-RU"/>
              </w:rPr>
              <w:t xml:space="preserve"> </w:t>
            </w:r>
            <w:r w:rsidR="00845F6D" w:rsidRPr="000A5FF0">
              <w:rPr>
                <w:lang w:val="ru-RU"/>
              </w:rPr>
              <w:t>ИК17</w:t>
            </w:r>
            <w:r w:rsidR="005D00AE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lang w:val="ru-RU"/>
              </w:rPr>
              <w:t>):</w:t>
            </w:r>
          </w:p>
          <w:p w14:paraId="5F651385" w14:textId="77777777" w:rsidR="00B84B29" w:rsidRPr="000A5FF0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или предлагаемые изменения отсутствуют</w:t>
            </w:r>
          </w:p>
          <w:p w14:paraId="43AABFF1" w14:textId="77777777" w:rsidR="00B84B29" w:rsidRPr="000A5FF0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B84B29" w:rsidRPr="008B3C1D" w14:paraId="10E2D903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42C9" w14:textId="77777777" w:rsidR="00B84B29" w:rsidRPr="000A5FF0" w:rsidRDefault="00B84B29" w:rsidP="00E66EB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14CE" w14:textId="66C561C6" w:rsidR="00B84B29" w:rsidRPr="000A5FF0" w:rsidRDefault="00B84B29" w:rsidP="00E66E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szCs w:val="22"/>
                <w:lang w:val="ru-RU"/>
              </w:rPr>
              <w:instrText xml:space="preserve"> FORMCHECKBOX </w:instrText>
            </w:r>
            <w:r w:rsidRPr="000A5FF0">
              <w:rPr>
                <w:szCs w:val="22"/>
                <w:lang w:val="ru-RU"/>
              </w:rPr>
            </w:r>
            <w:r w:rsidRPr="000A5FF0">
              <w:rPr>
                <w:szCs w:val="22"/>
                <w:lang w:val="ru-RU"/>
              </w:rPr>
              <w:fldChar w:fldCharType="separate"/>
            </w:r>
            <w:r w:rsidRPr="000A5FF0">
              <w:rPr>
                <w:szCs w:val="22"/>
                <w:lang w:val="ru-RU"/>
              </w:rPr>
              <w:fldChar w:fldCharType="end"/>
            </w:r>
            <w:r w:rsidRPr="000A5FF0">
              <w:rPr>
                <w:szCs w:val="22"/>
                <w:lang w:val="ru-RU"/>
              </w:rPr>
              <w:tab/>
            </w:r>
            <w:r w:rsidRPr="000A5FF0">
              <w:rPr>
                <w:b/>
                <w:bCs/>
                <w:lang w:val="ru-RU"/>
              </w:rPr>
              <w:t>Не предоставляет полномочий</w:t>
            </w:r>
            <w:r w:rsidRPr="000A5FF0">
              <w:rPr>
                <w:lang w:val="ru-RU"/>
              </w:rPr>
              <w:t xml:space="preserve"> </w:t>
            </w:r>
            <w:r w:rsidR="00845F6D" w:rsidRPr="000A5FF0">
              <w:rPr>
                <w:lang w:val="ru-RU"/>
              </w:rPr>
              <w:t>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>для рассмотрения этого текста с</w:t>
            </w:r>
            <w:r w:rsidR="007F25B7">
              <w:rPr>
                <w:lang w:val="ru-RU"/>
              </w:rPr>
              <w:t> </w:t>
            </w:r>
            <w:r w:rsidRPr="000A5FF0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A5FF0">
              <w:rPr>
                <w:szCs w:val="22"/>
                <w:lang w:val="ru-RU"/>
              </w:rPr>
              <w:t>)</w:t>
            </w:r>
          </w:p>
        </w:tc>
      </w:tr>
      <w:tr w:rsidR="00433DD2" w:rsidRPr="008B3C1D" w14:paraId="61575C6B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851C7" w14:textId="43AC37F7" w:rsidR="00433DD2" w:rsidRPr="000A5FF0" w:rsidRDefault="00433DD2" w:rsidP="00433DD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5FF0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="00AE1085" w:rsidRPr="000A5FF0">
              <w:rPr>
                <w:rFonts w:cstheme="minorHAnsi"/>
                <w:b/>
                <w:bCs/>
                <w:szCs w:val="22"/>
                <w:lang w:val="ru-RU"/>
              </w:rPr>
              <w:t>X.1456 (X.sgdfs-us)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B66C" w14:textId="5A465A11" w:rsidR="00433DD2" w:rsidRPr="000A5FF0" w:rsidRDefault="00433DD2" w:rsidP="00433D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b/>
                <w:bCs/>
                <w:lang w:val="ru-RU"/>
              </w:rPr>
              <w:instrText xml:space="preserve"> FORMCHECKBOX </w:instrText>
            </w:r>
            <w:r w:rsidRPr="000A5FF0">
              <w:rPr>
                <w:b/>
                <w:bCs/>
                <w:lang w:val="ru-RU"/>
              </w:rPr>
            </w:r>
            <w:r w:rsidRPr="000A5FF0">
              <w:rPr>
                <w:b/>
                <w:bCs/>
                <w:lang w:val="ru-RU"/>
              </w:rPr>
              <w:fldChar w:fldCharType="separate"/>
            </w:r>
            <w:r w:rsidRPr="000A5FF0">
              <w:rPr>
                <w:b/>
                <w:bCs/>
                <w:lang w:val="ru-RU"/>
              </w:rPr>
              <w:fldChar w:fldCharType="end"/>
            </w:r>
            <w:r w:rsidRPr="000A5FF0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0A5FF0">
              <w:rPr>
                <w:lang w:val="ru-RU"/>
              </w:rPr>
              <w:t xml:space="preserve"> </w:t>
            </w:r>
            <w:r w:rsidR="00845F6D" w:rsidRPr="000A5FF0">
              <w:rPr>
                <w:lang w:val="ru-RU"/>
              </w:rPr>
              <w:t>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lang w:val="ru-RU"/>
              </w:rPr>
              <w:t>):</w:t>
            </w:r>
          </w:p>
          <w:p w14:paraId="252943A0" w14:textId="77777777" w:rsidR="00433DD2" w:rsidRPr="000A5FF0" w:rsidRDefault="00433DD2" w:rsidP="00433D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или предлагаемые изменения отсутствуют</w:t>
            </w:r>
          </w:p>
          <w:p w14:paraId="27D63FB9" w14:textId="3B141B61" w:rsidR="00433DD2" w:rsidRPr="000A5FF0" w:rsidRDefault="00433DD2" w:rsidP="00433D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433DD2" w:rsidRPr="008B3C1D" w14:paraId="33D61601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C491" w14:textId="77777777" w:rsidR="00433DD2" w:rsidRPr="000A5FF0" w:rsidRDefault="00433DD2" w:rsidP="00433DD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A2B" w14:textId="14FEAE11" w:rsidR="00433DD2" w:rsidRPr="000A5FF0" w:rsidRDefault="00433DD2" w:rsidP="00433D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szCs w:val="22"/>
                <w:lang w:val="ru-RU"/>
              </w:rPr>
              <w:instrText xml:space="preserve"> FORMCHECKBOX </w:instrText>
            </w:r>
            <w:r w:rsidRPr="000A5FF0">
              <w:rPr>
                <w:szCs w:val="22"/>
                <w:lang w:val="ru-RU"/>
              </w:rPr>
            </w:r>
            <w:r w:rsidRPr="000A5FF0">
              <w:rPr>
                <w:szCs w:val="22"/>
                <w:lang w:val="ru-RU"/>
              </w:rPr>
              <w:fldChar w:fldCharType="separate"/>
            </w:r>
            <w:r w:rsidRPr="000A5FF0">
              <w:rPr>
                <w:szCs w:val="22"/>
                <w:lang w:val="ru-RU"/>
              </w:rPr>
              <w:fldChar w:fldCharType="end"/>
            </w:r>
            <w:r w:rsidRPr="000A5FF0">
              <w:rPr>
                <w:szCs w:val="22"/>
                <w:lang w:val="ru-RU"/>
              </w:rPr>
              <w:tab/>
            </w:r>
            <w:r w:rsidRPr="000A5FF0">
              <w:rPr>
                <w:b/>
                <w:bCs/>
                <w:lang w:val="ru-RU"/>
              </w:rPr>
              <w:t>Не предоставляет полномочий</w:t>
            </w:r>
            <w:r w:rsidRPr="000A5FF0">
              <w:rPr>
                <w:lang w:val="ru-RU"/>
              </w:rPr>
              <w:t xml:space="preserve"> </w:t>
            </w:r>
            <w:r w:rsidR="00845F6D" w:rsidRPr="000A5FF0">
              <w:rPr>
                <w:lang w:val="ru-RU"/>
              </w:rPr>
              <w:t>ИК17</w:t>
            </w:r>
            <w:r w:rsidR="00FB30A4" w:rsidRPr="000A5FF0">
              <w:rPr>
                <w:lang w:val="ru-RU"/>
              </w:rPr>
              <w:t xml:space="preserve"> </w:t>
            </w:r>
            <w:r w:rsidR="000A5716" w:rsidRPr="000A5FF0">
              <w:rPr>
                <w:lang w:val="ru-RU"/>
              </w:rPr>
              <w:t>для рассмотрения этого текста с</w:t>
            </w:r>
            <w:r w:rsidR="007F25B7">
              <w:rPr>
                <w:lang w:val="ru-RU"/>
              </w:rPr>
              <w:t> </w:t>
            </w:r>
            <w:r w:rsidR="000A5716" w:rsidRPr="000A5FF0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0A5716" w:rsidRPr="000A5FF0">
              <w:rPr>
                <w:szCs w:val="22"/>
                <w:lang w:val="ru-RU"/>
              </w:rPr>
              <w:t>)</w:t>
            </w:r>
          </w:p>
        </w:tc>
      </w:tr>
      <w:tr w:rsidR="00DE2468" w:rsidRPr="008B3C1D" w14:paraId="56644963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342F" w14:textId="1653C344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5FF0">
              <w:rPr>
                <w:b/>
                <w:bCs/>
                <w:lang w:val="ru-RU"/>
              </w:rPr>
              <w:t>Проект новой Рекомендации МСЭ-Т</w:t>
            </w:r>
            <w:r w:rsidR="00AE1085" w:rsidRPr="000A5FF0">
              <w:rPr>
                <w:b/>
                <w:bCs/>
                <w:lang w:val="ru-RU"/>
              </w:rPr>
              <w:t xml:space="preserve"> </w:t>
            </w:r>
            <w:r w:rsidR="00AE1085" w:rsidRPr="000A5FF0">
              <w:rPr>
                <w:rFonts w:cstheme="minorHAnsi"/>
                <w:b/>
                <w:bCs/>
                <w:lang w:val="ru-RU"/>
              </w:rPr>
              <w:t>X.1648 (X.gecds)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AFC" w14:textId="32A5CA09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b/>
                <w:bCs/>
                <w:lang w:val="ru-RU"/>
              </w:rPr>
              <w:instrText xml:space="preserve"> FORMCHECKBOX </w:instrText>
            </w:r>
            <w:r w:rsidRPr="000A5FF0">
              <w:rPr>
                <w:b/>
                <w:bCs/>
                <w:lang w:val="ru-RU"/>
              </w:rPr>
            </w:r>
            <w:r w:rsidRPr="000A5FF0">
              <w:rPr>
                <w:b/>
                <w:bCs/>
                <w:lang w:val="ru-RU"/>
              </w:rPr>
              <w:fldChar w:fldCharType="separate"/>
            </w:r>
            <w:r w:rsidRPr="000A5FF0">
              <w:rPr>
                <w:b/>
                <w:bCs/>
                <w:lang w:val="ru-RU"/>
              </w:rPr>
              <w:fldChar w:fldCharType="end"/>
            </w:r>
            <w:r w:rsidRPr="000A5FF0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lang w:val="ru-RU"/>
              </w:rPr>
              <w:t>):</w:t>
            </w:r>
          </w:p>
          <w:p w14:paraId="4C99BA36" w14:textId="77777777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или предлагаемые изменения отсутствуют</w:t>
            </w:r>
          </w:p>
          <w:p w14:paraId="21ABC9AA" w14:textId="40897C6A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DE2468" w:rsidRPr="008B3C1D" w14:paraId="7FF1E56C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3181" w14:textId="77777777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A32" w14:textId="0623289B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szCs w:val="22"/>
                <w:lang w:val="ru-RU"/>
              </w:rPr>
              <w:instrText xml:space="preserve"> FORMCHECKBOX </w:instrText>
            </w:r>
            <w:r w:rsidRPr="000A5FF0">
              <w:rPr>
                <w:szCs w:val="22"/>
                <w:lang w:val="ru-RU"/>
              </w:rPr>
            </w:r>
            <w:r w:rsidRPr="000A5FF0">
              <w:rPr>
                <w:szCs w:val="22"/>
                <w:lang w:val="ru-RU"/>
              </w:rPr>
              <w:fldChar w:fldCharType="separate"/>
            </w:r>
            <w:r w:rsidRPr="000A5FF0">
              <w:rPr>
                <w:szCs w:val="22"/>
                <w:lang w:val="ru-RU"/>
              </w:rPr>
              <w:fldChar w:fldCharType="end"/>
            </w:r>
            <w:r w:rsidRPr="000A5FF0">
              <w:rPr>
                <w:szCs w:val="22"/>
                <w:lang w:val="ru-RU"/>
              </w:rPr>
              <w:tab/>
            </w:r>
            <w:r w:rsidRPr="000A5FF0">
              <w:rPr>
                <w:b/>
                <w:bCs/>
                <w:lang w:val="ru-RU"/>
              </w:rPr>
              <w:t>Не предоставляет полномочий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>для рассмотрения этого текста с</w:t>
            </w:r>
            <w:r w:rsidR="007F25B7">
              <w:rPr>
                <w:lang w:val="ru-RU"/>
              </w:rPr>
              <w:t> </w:t>
            </w:r>
            <w:r w:rsidRPr="000A5FF0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A5FF0">
              <w:rPr>
                <w:szCs w:val="22"/>
                <w:lang w:val="ru-RU"/>
              </w:rPr>
              <w:t>)</w:t>
            </w:r>
          </w:p>
        </w:tc>
      </w:tr>
      <w:tr w:rsidR="00DE2468" w:rsidRPr="008B3C1D" w14:paraId="49976846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9402" w14:textId="34CA1511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5FF0">
              <w:rPr>
                <w:b/>
                <w:bCs/>
                <w:lang w:val="ru-RU"/>
              </w:rPr>
              <w:lastRenderedPageBreak/>
              <w:t>Проект новой Рекомендации МСЭ-Т</w:t>
            </w:r>
            <w:r w:rsidR="00AE1085" w:rsidRPr="000A5FF0">
              <w:rPr>
                <w:rFonts w:cstheme="minorHAnsi"/>
                <w:b/>
                <w:bCs/>
                <w:lang w:val="ru-RU"/>
              </w:rPr>
              <w:t xml:space="preserve"> X.1284 (X.afotak)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699B" w14:textId="6BF39B03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b/>
                <w:bCs/>
                <w:lang w:val="ru-RU"/>
              </w:rPr>
              <w:instrText xml:space="preserve"> FORMCHECKBOX </w:instrText>
            </w:r>
            <w:r w:rsidRPr="000A5FF0">
              <w:rPr>
                <w:b/>
                <w:bCs/>
                <w:lang w:val="ru-RU"/>
              </w:rPr>
            </w:r>
            <w:r w:rsidRPr="000A5FF0">
              <w:rPr>
                <w:b/>
                <w:bCs/>
                <w:lang w:val="ru-RU"/>
              </w:rPr>
              <w:fldChar w:fldCharType="separate"/>
            </w:r>
            <w:r w:rsidRPr="000A5FF0">
              <w:rPr>
                <w:b/>
                <w:bCs/>
                <w:lang w:val="ru-RU"/>
              </w:rPr>
              <w:fldChar w:fldCharType="end"/>
            </w:r>
            <w:r w:rsidRPr="000A5FF0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lang w:val="ru-RU"/>
              </w:rPr>
              <w:t>):</w:t>
            </w:r>
          </w:p>
          <w:p w14:paraId="4068166B" w14:textId="77777777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или предлагаемые изменения отсутствуют</w:t>
            </w:r>
          </w:p>
          <w:p w14:paraId="4FC81340" w14:textId="7430E46B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DE2468" w:rsidRPr="008B3C1D" w14:paraId="554E3DE8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F872A" w14:textId="77777777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31C0" w14:textId="689A07EF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szCs w:val="22"/>
                <w:lang w:val="ru-RU"/>
              </w:rPr>
              <w:instrText xml:space="preserve"> FORMCHECKBOX </w:instrText>
            </w:r>
            <w:r w:rsidRPr="000A5FF0">
              <w:rPr>
                <w:szCs w:val="22"/>
                <w:lang w:val="ru-RU"/>
              </w:rPr>
            </w:r>
            <w:r w:rsidRPr="000A5FF0">
              <w:rPr>
                <w:szCs w:val="22"/>
                <w:lang w:val="ru-RU"/>
              </w:rPr>
              <w:fldChar w:fldCharType="separate"/>
            </w:r>
            <w:r w:rsidRPr="000A5FF0">
              <w:rPr>
                <w:szCs w:val="22"/>
                <w:lang w:val="ru-RU"/>
              </w:rPr>
              <w:fldChar w:fldCharType="end"/>
            </w:r>
            <w:r w:rsidRPr="000A5FF0">
              <w:rPr>
                <w:szCs w:val="22"/>
                <w:lang w:val="ru-RU"/>
              </w:rPr>
              <w:tab/>
            </w:r>
            <w:r w:rsidRPr="000A5FF0">
              <w:rPr>
                <w:b/>
                <w:bCs/>
                <w:lang w:val="ru-RU"/>
              </w:rPr>
              <w:t>Не предоставляет полномочий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>для рассмотрения этого текста с</w:t>
            </w:r>
            <w:r w:rsidR="007F25B7">
              <w:rPr>
                <w:lang w:val="ru-RU"/>
              </w:rPr>
              <w:t> </w:t>
            </w:r>
            <w:r w:rsidRPr="000A5FF0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A5FF0">
              <w:rPr>
                <w:szCs w:val="22"/>
                <w:lang w:val="ru-RU"/>
              </w:rPr>
              <w:t>)</w:t>
            </w:r>
          </w:p>
        </w:tc>
      </w:tr>
      <w:tr w:rsidR="00DE2468" w:rsidRPr="008B3C1D" w14:paraId="6B7AD0E9" w14:textId="77777777" w:rsidTr="00344162">
        <w:trPr>
          <w:cantSplit/>
          <w:trHeight w:val="748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C381E" w14:textId="382FBE91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5FF0">
              <w:rPr>
                <w:b/>
                <w:bCs/>
                <w:lang w:val="ru-RU"/>
              </w:rPr>
              <w:t>Проект новой Рекомендации МСЭ-Т</w:t>
            </w:r>
            <w:r w:rsidR="00AE1085" w:rsidRPr="000A5FF0">
              <w:rPr>
                <w:rFonts w:cstheme="minorHAnsi"/>
                <w:b/>
                <w:bCs/>
                <w:lang w:val="ru-RU"/>
              </w:rPr>
              <w:t xml:space="preserve"> X.1385 (X.evtol-sec)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2F44" w14:textId="2DBDD4A2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0A5FF0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b/>
                <w:bCs/>
                <w:lang w:val="ru-RU"/>
              </w:rPr>
              <w:instrText xml:space="preserve"> FORMCHECKBOX </w:instrText>
            </w:r>
            <w:r w:rsidRPr="000A5FF0">
              <w:rPr>
                <w:b/>
                <w:bCs/>
                <w:lang w:val="ru-RU"/>
              </w:rPr>
            </w:r>
            <w:r w:rsidRPr="000A5FF0">
              <w:rPr>
                <w:b/>
                <w:bCs/>
                <w:lang w:val="ru-RU"/>
              </w:rPr>
              <w:fldChar w:fldCharType="separate"/>
            </w:r>
            <w:r w:rsidRPr="000A5FF0">
              <w:rPr>
                <w:b/>
                <w:bCs/>
                <w:lang w:val="ru-RU"/>
              </w:rPr>
              <w:fldChar w:fldCharType="end"/>
            </w:r>
            <w:r w:rsidRPr="000A5FF0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 xml:space="preserve">для рассмотрения этого текста с целью его утверждения (в этом случае выбрать один из двух вариантов </w:t>
            </w: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lang w:val="ru-RU"/>
              </w:rPr>
              <w:t>):</w:t>
            </w:r>
          </w:p>
          <w:p w14:paraId="3F2EEF16" w14:textId="77777777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или предлагаемые изменения отсутствуют</w:t>
            </w:r>
          </w:p>
          <w:p w14:paraId="1951A02E" w14:textId="0696FF5B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0A5FF0">
              <w:rPr>
                <w:sz w:val="20"/>
                <w:lang w:val="ru-RU"/>
              </w:rPr>
              <w:t>⃝</w:t>
            </w:r>
            <w:r w:rsidRPr="000A5FF0">
              <w:rPr>
                <w:sz w:val="20"/>
                <w:lang w:val="ru-RU"/>
              </w:rPr>
              <w:tab/>
            </w:r>
            <w:r w:rsidRPr="000A5FF0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DE2468" w:rsidRPr="008B3C1D" w14:paraId="000BF656" w14:textId="77777777" w:rsidTr="00344162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540B" w14:textId="77777777" w:rsidR="00DE2468" w:rsidRPr="000A5FF0" w:rsidRDefault="00DE2468" w:rsidP="00DE246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18BD" w14:textId="48D6ADA6" w:rsidR="00DE2468" w:rsidRPr="000A5FF0" w:rsidRDefault="00DE2468" w:rsidP="00DE24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0A5FF0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5FF0">
              <w:rPr>
                <w:szCs w:val="22"/>
                <w:lang w:val="ru-RU"/>
              </w:rPr>
              <w:instrText xml:space="preserve"> FORMCHECKBOX </w:instrText>
            </w:r>
            <w:r w:rsidRPr="000A5FF0">
              <w:rPr>
                <w:szCs w:val="22"/>
                <w:lang w:val="ru-RU"/>
              </w:rPr>
            </w:r>
            <w:r w:rsidRPr="000A5FF0">
              <w:rPr>
                <w:szCs w:val="22"/>
                <w:lang w:val="ru-RU"/>
              </w:rPr>
              <w:fldChar w:fldCharType="separate"/>
            </w:r>
            <w:r w:rsidRPr="000A5FF0">
              <w:rPr>
                <w:szCs w:val="22"/>
                <w:lang w:val="ru-RU"/>
              </w:rPr>
              <w:fldChar w:fldCharType="end"/>
            </w:r>
            <w:r w:rsidRPr="000A5FF0">
              <w:rPr>
                <w:szCs w:val="22"/>
                <w:lang w:val="ru-RU"/>
              </w:rPr>
              <w:tab/>
            </w:r>
            <w:r w:rsidRPr="000A5FF0">
              <w:rPr>
                <w:b/>
                <w:bCs/>
                <w:lang w:val="ru-RU"/>
              </w:rPr>
              <w:t>Не предоставляет полномочий</w:t>
            </w:r>
            <w:r w:rsidRPr="000A5FF0">
              <w:rPr>
                <w:lang w:val="ru-RU"/>
              </w:rPr>
              <w:t xml:space="preserve"> ИК17</w:t>
            </w:r>
            <w:r w:rsidR="00FB30A4" w:rsidRPr="000A5FF0">
              <w:rPr>
                <w:lang w:val="ru-RU"/>
              </w:rPr>
              <w:t xml:space="preserve"> </w:t>
            </w:r>
            <w:r w:rsidRPr="000A5FF0">
              <w:rPr>
                <w:lang w:val="ru-RU"/>
              </w:rPr>
              <w:t>для рассмотрения этого текста с</w:t>
            </w:r>
            <w:r w:rsidR="007F25B7">
              <w:rPr>
                <w:lang w:val="ru-RU"/>
              </w:rPr>
              <w:t> </w:t>
            </w:r>
            <w:r w:rsidRPr="000A5FF0">
              <w:rPr>
                <w:lang w:val="ru-RU"/>
              </w:rPr>
              <w:t>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0A5FF0">
              <w:rPr>
                <w:szCs w:val="22"/>
                <w:lang w:val="ru-RU"/>
              </w:rPr>
              <w:t>)</w:t>
            </w:r>
          </w:p>
        </w:tc>
      </w:tr>
    </w:tbl>
    <w:p w14:paraId="69AC0814" w14:textId="77777777" w:rsidR="00B84B29" w:rsidRPr="000A5FF0" w:rsidRDefault="00B84B29" w:rsidP="00433DD2">
      <w:pPr>
        <w:spacing w:before="240"/>
        <w:rPr>
          <w:lang w:val="ru-RU"/>
        </w:rPr>
      </w:pPr>
      <w:r w:rsidRPr="000A5FF0">
        <w:rPr>
          <w:lang w:val="ru-RU"/>
        </w:rPr>
        <w:t>С уважением,</w:t>
      </w:r>
    </w:p>
    <w:p w14:paraId="02334D05" w14:textId="77C142E3" w:rsidR="0081044F" w:rsidRPr="000A5FF0" w:rsidRDefault="00B84B29" w:rsidP="007F25B7">
      <w:pPr>
        <w:spacing w:before="1080"/>
        <w:rPr>
          <w:lang w:val="ru-RU"/>
        </w:rPr>
      </w:pPr>
      <w:r w:rsidRPr="000A5FF0">
        <w:rPr>
          <w:highlight w:val="green"/>
          <w:lang w:val="ru-RU"/>
        </w:rPr>
        <w:t>[Фамилия]</w:t>
      </w:r>
      <w:r w:rsidRPr="000A5FF0">
        <w:rPr>
          <w:lang w:val="ru-RU"/>
        </w:rPr>
        <w:br/>
      </w:r>
      <w:r w:rsidRPr="000A5FF0">
        <w:rPr>
          <w:highlight w:val="green"/>
          <w:lang w:val="ru-RU"/>
        </w:rPr>
        <w:t>[Официальная должность/титул]</w:t>
      </w:r>
      <w:r w:rsidRPr="000A5FF0">
        <w:rPr>
          <w:lang w:val="ru-RU"/>
        </w:rPr>
        <w:br/>
        <w:t xml:space="preserve">Администрация </w:t>
      </w:r>
      <w:r w:rsidRPr="000A5FF0">
        <w:rPr>
          <w:highlight w:val="green"/>
          <w:lang w:val="ru-RU"/>
        </w:rPr>
        <w:t>[Государства-Члена]</w:t>
      </w:r>
    </w:p>
    <w:p w14:paraId="005CE566" w14:textId="77777777" w:rsidR="00433DD2" w:rsidRPr="000A5FF0" w:rsidRDefault="00433DD2" w:rsidP="00433DD2">
      <w:pPr>
        <w:spacing w:before="360"/>
        <w:jc w:val="center"/>
        <w:rPr>
          <w:lang w:val="ru-RU"/>
        </w:rPr>
      </w:pPr>
      <w:r w:rsidRPr="000A5FF0">
        <w:rPr>
          <w:lang w:val="ru-RU"/>
        </w:rPr>
        <w:t>______________</w:t>
      </w:r>
    </w:p>
    <w:sectPr w:rsidR="00433DD2" w:rsidRPr="000A5FF0" w:rsidSect="00AA4627">
      <w:headerReference w:type="default" r:id="rId20"/>
      <w:footerReference w:type="first" r:id="rId2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20D39" w14:textId="77777777" w:rsidR="00EE0C3F" w:rsidRDefault="00EE0C3F">
      <w:r>
        <w:separator/>
      </w:r>
    </w:p>
  </w:endnote>
  <w:endnote w:type="continuationSeparator" w:id="0">
    <w:p w14:paraId="255B186F" w14:textId="77777777" w:rsidR="00EE0C3F" w:rsidRDefault="00EE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0F47" w14:textId="77777777" w:rsidR="0030081F" w:rsidRPr="00861F21" w:rsidRDefault="00C14A3A" w:rsidP="00C14A3A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861F21">
      <w:rPr>
        <w:color w:val="0070C0"/>
        <w:sz w:val="18"/>
        <w:szCs w:val="18"/>
        <w:lang w:val="fr-CH"/>
      </w:rPr>
      <w:t>International Telecommunication Union • Place des Nations, CH</w:t>
    </w:r>
    <w:r w:rsidRPr="00861F2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861F21">
      <w:rPr>
        <w:color w:val="0070C0"/>
        <w:sz w:val="18"/>
        <w:szCs w:val="18"/>
        <w:lang w:val="fr-CH"/>
      </w:rPr>
      <w:br/>
    </w:r>
    <w:r w:rsidRPr="00861F21">
      <w:rPr>
        <w:color w:val="0070C0"/>
        <w:sz w:val="18"/>
        <w:szCs w:val="18"/>
        <w:lang w:val="ru-RU"/>
      </w:rPr>
      <w:t>Тел</w:t>
    </w:r>
    <w:r w:rsidRPr="00861F21">
      <w:rPr>
        <w:color w:val="0070C0"/>
        <w:sz w:val="18"/>
        <w:szCs w:val="18"/>
      </w:rPr>
      <w:t>.</w:t>
    </w:r>
    <w:r w:rsidRPr="00861F21">
      <w:rPr>
        <w:color w:val="0070C0"/>
        <w:sz w:val="18"/>
        <w:szCs w:val="18"/>
        <w:lang w:val="fr-CH"/>
      </w:rPr>
      <w:t xml:space="preserve">: +41 22 730 5111 • </w:t>
    </w:r>
    <w:r w:rsidRPr="00861F21">
      <w:rPr>
        <w:color w:val="0070C0"/>
        <w:sz w:val="18"/>
        <w:szCs w:val="18"/>
        <w:lang w:val="ru-RU"/>
      </w:rPr>
      <w:t>Факс</w:t>
    </w:r>
    <w:r w:rsidRPr="00861F21">
      <w:rPr>
        <w:color w:val="0070C0"/>
        <w:sz w:val="18"/>
        <w:szCs w:val="18"/>
        <w:lang w:val="fr-CH"/>
      </w:rPr>
      <w:t>: +41 22 733 7256</w:t>
    </w:r>
    <w:r w:rsidRPr="00861F21">
      <w:rPr>
        <w:color w:val="0070C0"/>
        <w:sz w:val="18"/>
        <w:szCs w:val="18"/>
      </w:rPr>
      <w:t xml:space="preserve"> </w:t>
    </w:r>
    <w:r w:rsidRPr="00861F21">
      <w:rPr>
        <w:color w:val="0070C0"/>
        <w:sz w:val="18"/>
        <w:szCs w:val="18"/>
        <w:lang w:val="fr-CH"/>
      </w:rPr>
      <w:t xml:space="preserve">• </w:t>
    </w:r>
    <w:r w:rsidRPr="00861F21">
      <w:rPr>
        <w:color w:val="0070C0"/>
        <w:sz w:val="18"/>
        <w:szCs w:val="18"/>
        <w:lang w:val="ru-RU"/>
      </w:rPr>
      <w:t>Эл</w:t>
    </w:r>
    <w:r w:rsidRPr="00861F21">
      <w:rPr>
        <w:color w:val="0070C0"/>
        <w:sz w:val="18"/>
        <w:szCs w:val="18"/>
      </w:rPr>
      <w:t xml:space="preserve">. </w:t>
    </w:r>
    <w:r w:rsidRPr="00861F21">
      <w:rPr>
        <w:color w:val="0070C0"/>
        <w:sz w:val="18"/>
        <w:szCs w:val="18"/>
        <w:lang w:val="ru-RU"/>
      </w:rPr>
      <w:t>почта</w:t>
    </w:r>
    <w:r w:rsidRPr="00861F21">
      <w:rPr>
        <w:color w:val="0070C0"/>
        <w:sz w:val="18"/>
        <w:szCs w:val="18"/>
        <w:lang w:val="fr-CH"/>
      </w:rPr>
      <w:t xml:space="preserve">: </w:t>
    </w:r>
    <w:hyperlink r:id="rId1" w:history="1">
      <w:r w:rsidRPr="00861F21">
        <w:rPr>
          <w:rStyle w:val="Hyperlink"/>
          <w:color w:val="0070C0"/>
          <w:sz w:val="18"/>
          <w:szCs w:val="18"/>
        </w:rPr>
        <w:t>itumail@itu.int</w:t>
      </w:r>
    </w:hyperlink>
    <w:r w:rsidRPr="00861F21">
      <w:rPr>
        <w:color w:val="0070C0"/>
        <w:sz w:val="18"/>
        <w:szCs w:val="18"/>
        <w:lang w:val="fr-CH"/>
      </w:rPr>
      <w:t xml:space="preserve"> • </w:t>
    </w:r>
    <w:hyperlink r:id="rId2" w:history="1">
      <w:r w:rsidRPr="00861F2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85A9" w14:textId="77777777" w:rsidR="00EE0C3F" w:rsidRDefault="00EE0C3F">
      <w:r>
        <w:separator/>
      </w:r>
    </w:p>
  </w:footnote>
  <w:footnote w:type="continuationSeparator" w:id="0">
    <w:p w14:paraId="3383B193" w14:textId="77777777" w:rsidR="00EE0C3F" w:rsidRDefault="00EE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D747" w14:textId="3A6E656B" w:rsidR="0030081F" w:rsidRPr="0086614A" w:rsidRDefault="0030081F" w:rsidP="00660A4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142CC6">
      <w:rPr>
        <w:rStyle w:val="PageNumber"/>
        <w:noProof/>
        <w:szCs w:val="18"/>
      </w:rPr>
      <w:t>3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 xml:space="preserve">Циркуляр </w:t>
    </w:r>
    <w:r w:rsidR="00861F21">
      <w:rPr>
        <w:rStyle w:val="PageNumber"/>
      </w:rPr>
      <w:t>003</w:t>
    </w:r>
    <w:r>
      <w:rPr>
        <w:rStyle w:val="PageNumber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68C3A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6ACE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F46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72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CCEA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3E2D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C04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1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90D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064286">
    <w:abstractNumId w:val="9"/>
  </w:num>
  <w:num w:numId="2" w16cid:durableId="254098465">
    <w:abstractNumId w:val="7"/>
  </w:num>
  <w:num w:numId="3" w16cid:durableId="918245924">
    <w:abstractNumId w:val="6"/>
  </w:num>
  <w:num w:numId="4" w16cid:durableId="2019382665">
    <w:abstractNumId w:val="5"/>
  </w:num>
  <w:num w:numId="5" w16cid:durableId="1190874040">
    <w:abstractNumId w:val="4"/>
  </w:num>
  <w:num w:numId="6" w16cid:durableId="458962984">
    <w:abstractNumId w:val="8"/>
  </w:num>
  <w:num w:numId="7" w16cid:durableId="129398480">
    <w:abstractNumId w:val="3"/>
  </w:num>
  <w:num w:numId="8" w16cid:durableId="182281328">
    <w:abstractNumId w:val="2"/>
  </w:num>
  <w:num w:numId="9" w16cid:durableId="1031807403">
    <w:abstractNumId w:val="1"/>
  </w:num>
  <w:num w:numId="10" w16cid:durableId="3135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5BE2"/>
    <w:rsid w:val="000139A6"/>
    <w:rsid w:val="00015C3F"/>
    <w:rsid w:val="00022027"/>
    <w:rsid w:val="00022EC3"/>
    <w:rsid w:val="00024565"/>
    <w:rsid w:val="00030E6A"/>
    <w:rsid w:val="0003235D"/>
    <w:rsid w:val="00032485"/>
    <w:rsid w:val="00036DFF"/>
    <w:rsid w:val="00042A18"/>
    <w:rsid w:val="00047BB6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4D59"/>
    <w:rsid w:val="00095E12"/>
    <w:rsid w:val="00095EA0"/>
    <w:rsid w:val="000965CD"/>
    <w:rsid w:val="00096E24"/>
    <w:rsid w:val="000A1850"/>
    <w:rsid w:val="000A520F"/>
    <w:rsid w:val="000A5716"/>
    <w:rsid w:val="000A5FF0"/>
    <w:rsid w:val="000C2147"/>
    <w:rsid w:val="000C2D59"/>
    <w:rsid w:val="000C67CA"/>
    <w:rsid w:val="000C7D98"/>
    <w:rsid w:val="000E0F2E"/>
    <w:rsid w:val="000E3347"/>
    <w:rsid w:val="000F4384"/>
    <w:rsid w:val="001008EC"/>
    <w:rsid w:val="00102534"/>
    <w:rsid w:val="00103310"/>
    <w:rsid w:val="001076DB"/>
    <w:rsid w:val="00112CD6"/>
    <w:rsid w:val="00115B49"/>
    <w:rsid w:val="00116FFC"/>
    <w:rsid w:val="001228C0"/>
    <w:rsid w:val="0013142F"/>
    <w:rsid w:val="0013610C"/>
    <w:rsid w:val="00137401"/>
    <w:rsid w:val="00142CC6"/>
    <w:rsid w:val="0014511B"/>
    <w:rsid w:val="001456C1"/>
    <w:rsid w:val="00151616"/>
    <w:rsid w:val="001629DC"/>
    <w:rsid w:val="00183AA4"/>
    <w:rsid w:val="001843A6"/>
    <w:rsid w:val="00184AE5"/>
    <w:rsid w:val="00190D9B"/>
    <w:rsid w:val="00196F1C"/>
    <w:rsid w:val="001A227F"/>
    <w:rsid w:val="001B4A74"/>
    <w:rsid w:val="001C59A6"/>
    <w:rsid w:val="001C5ECE"/>
    <w:rsid w:val="001C696F"/>
    <w:rsid w:val="001D137B"/>
    <w:rsid w:val="001D1D80"/>
    <w:rsid w:val="001D261C"/>
    <w:rsid w:val="001D288D"/>
    <w:rsid w:val="001D452B"/>
    <w:rsid w:val="001E0025"/>
    <w:rsid w:val="001E346D"/>
    <w:rsid w:val="001E5D5D"/>
    <w:rsid w:val="001F345C"/>
    <w:rsid w:val="001F72DF"/>
    <w:rsid w:val="001F79DA"/>
    <w:rsid w:val="00205108"/>
    <w:rsid w:val="00207341"/>
    <w:rsid w:val="00211F81"/>
    <w:rsid w:val="00212628"/>
    <w:rsid w:val="00217651"/>
    <w:rsid w:val="0021768C"/>
    <w:rsid w:val="002343BE"/>
    <w:rsid w:val="002414DD"/>
    <w:rsid w:val="002423F5"/>
    <w:rsid w:val="0024619F"/>
    <w:rsid w:val="0025701E"/>
    <w:rsid w:val="0026232A"/>
    <w:rsid w:val="0026787A"/>
    <w:rsid w:val="002736E9"/>
    <w:rsid w:val="002773B1"/>
    <w:rsid w:val="00284005"/>
    <w:rsid w:val="002915D2"/>
    <w:rsid w:val="00291B02"/>
    <w:rsid w:val="00295C2D"/>
    <w:rsid w:val="00297152"/>
    <w:rsid w:val="00297434"/>
    <w:rsid w:val="002A08AC"/>
    <w:rsid w:val="002A5E04"/>
    <w:rsid w:val="002B21EE"/>
    <w:rsid w:val="002B2D16"/>
    <w:rsid w:val="002B37F9"/>
    <w:rsid w:val="002C262A"/>
    <w:rsid w:val="002C2B34"/>
    <w:rsid w:val="002C552E"/>
    <w:rsid w:val="002C5CBA"/>
    <w:rsid w:val="002C66E6"/>
    <w:rsid w:val="002D06B7"/>
    <w:rsid w:val="002D26FD"/>
    <w:rsid w:val="002E495E"/>
    <w:rsid w:val="002E4C41"/>
    <w:rsid w:val="002E4CE4"/>
    <w:rsid w:val="002F4006"/>
    <w:rsid w:val="003006B9"/>
    <w:rsid w:val="0030081F"/>
    <w:rsid w:val="0030091C"/>
    <w:rsid w:val="00314B2D"/>
    <w:rsid w:val="00315996"/>
    <w:rsid w:val="00321EB6"/>
    <w:rsid w:val="0032307C"/>
    <w:rsid w:val="00323296"/>
    <w:rsid w:val="00333CA6"/>
    <w:rsid w:val="0033434F"/>
    <w:rsid w:val="00337770"/>
    <w:rsid w:val="00337F1C"/>
    <w:rsid w:val="00340304"/>
    <w:rsid w:val="00344162"/>
    <w:rsid w:val="00360D8C"/>
    <w:rsid w:val="00362165"/>
    <w:rsid w:val="00362E12"/>
    <w:rsid w:val="00367E4A"/>
    <w:rsid w:val="00372A8C"/>
    <w:rsid w:val="003759D0"/>
    <w:rsid w:val="00376259"/>
    <w:rsid w:val="00377052"/>
    <w:rsid w:val="003831C3"/>
    <w:rsid w:val="00383619"/>
    <w:rsid w:val="003906BF"/>
    <w:rsid w:val="003A0643"/>
    <w:rsid w:val="003A159C"/>
    <w:rsid w:val="003B1ECD"/>
    <w:rsid w:val="003B71A5"/>
    <w:rsid w:val="003B7C77"/>
    <w:rsid w:val="003C37EB"/>
    <w:rsid w:val="003C3F2C"/>
    <w:rsid w:val="003C5975"/>
    <w:rsid w:val="003D0C98"/>
    <w:rsid w:val="003D1C28"/>
    <w:rsid w:val="003D6A29"/>
    <w:rsid w:val="003D723E"/>
    <w:rsid w:val="003E0A73"/>
    <w:rsid w:val="003F1864"/>
    <w:rsid w:val="003F5B77"/>
    <w:rsid w:val="003F7246"/>
    <w:rsid w:val="00400CEF"/>
    <w:rsid w:val="00403C87"/>
    <w:rsid w:val="00403D83"/>
    <w:rsid w:val="004049BA"/>
    <w:rsid w:val="00416703"/>
    <w:rsid w:val="004167E6"/>
    <w:rsid w:val="0041688E"/>
    <w:rsid w:val="00432797"/>
    <w:rsid w:val="00433DD2"/>
    <w:rsid w:val="00434979"/>
    <w:rsid w:val="00434C78"/>
    <w:rsid w:val="00442A44"/>
    <w:rsid w:val="00444B73"/>
    <w:rsid w:val="00453DC7"/>
    <w:rsid w:val="004545ED"/>
    <w:rsid w:val="00455EFA"/>
    <w:rsid w:val="00461685"/>
    <w:rsid w:val="00461969"/>
    <w:rsid w:val="00462A8B"/>
    <w:rsid w:val="004650C7"/>
    <w:rsid w:val="004720C2"/>
    <w:rsid w:val="00473570"/>
    <w:rsid w:val="00475A27"/>
    <w:rsid w:val="00476C35"/>
    <w:rsid w:val="00476D7D"/>
    <w:rsid w:val="00476E39"/>
    <w:rsid w:val="004920C1"/>
    <w:rsid w:val="0049505A"/>
    <w:rsid w:val="0049554E"/>
    <w:rsid w:val="00495B60"/>
    <w:rsid w:val="00495F13"/>
    <w:rsid w:val="004A0D07"/>
    <w:rsid w:val="004B00AE"/>
    <w:rsid w:val="004B6656"/>
    <w:rsid w:val="004B6737"/>
    <w:rsid w:val="004C1D06"/>
    <w:rsid w:val="004C5268"/>
    <w:rsid w:val="004E01AE"/>
    <w:rsid w:val="004E1869"/>
    <w:rsid w:val="004E46B0"/>
    <w:rsid w:val="004F081F"/>
    <w:rsid w:val="004F48F0"/>
    <w:rsid w:val="004F5849"/>
    <w:rsid w:val="004F5E93"/>
    <w:rsid w:val="004F603E"/>
    <w:rsid w:val="004F7B49"/>
    <w:rsid w:val="00501B68"/>
    <w:rsid w:val="005052E6"/>
    <w:rsid w:val="005110B6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30F1"/>
    <w:rsid w:val="005C54C9"/>
    <w:rsid w:val="005C72B3"/>
    <w:rsid w:val="005D00AE"/>
    <w:rsid w:val="005D044D"/>
    <w:rsid w:val="005D0B62"/>
    <w:rsid w:val="005D0F33"/>
    <w:rsid w:val="005D4797"/>
    <w:rsid w:val="005E616E"/>
    <w:rsid w:val="005F27E9"/>
    <w:rsid w:val="005F2867"/>
    <w:rsid w:val="005F6C91"/>
    <w:rsid w:val="005F761F"/>
    <w:rsid w:val="006019E3"/>
    <w:rsid w:val="00605EFA"/>
    <w:rsid w:val="00607B45"/>
    <w:rsid w:val="006139B2"/>
    <w:rsid w:val="00622F2E"/>
    <w:rsid w:val="00623804"/>
    <w:rsid w:val="00624739"/>
    <w:rsid w:val="00625BAF"/>
    <w:rsid w:val="00634E90"/>
    <w:rsid w:val="00636A4B"/>
    <w:rsid w:val="00636D90"/>
    <w:rsid w:val="00637932"/>
    <w:rsid w:val="00640032"/>
    <w:rsid w:val="00641004"/>
    <w:rsid w:val="006439F6"/>
    <w:rsid w:val="00644FDC"/>
    <w:rsid w:val="006577DB"/>
    <w:rsid w:val="00657F8E"/>
    <w:rsid w:val="00660A47"/>
    <w:rsid w:val="0067041D"/>
    <w:rsid w:val="00675877"/>
    <w:rsid w:val="006777D5"/>
    <w:rsid w:val="00682BCD"/>
    <w:rsid w:val="00684E89"/>
    <w:rsid w:val="00690DB4"/>
    <w:rsid w:val="00692FE6"/>
    <w:rsid w:val="006969EA"/>
    <w:rsid w:val="00697259"/>
    <w:rsid w:val="006A01B2"/>
    <w:rsid w:val="006A3504"/>
    <w:rsid w:val="006A47F4"/>
    <w:rsid w:val="006B0C75"/>
    <w:rsid w:val="006B0FB6"/>
    <w:rsid w:val="006B1E6B"/>
    <w:rsid w:val="006C444C"/>
    <w:rsid w:val="006C547E"/>
    <w:rsid w:val="006C7D30"/>
    <w:rsid w:val="006E5D64"/>
    <w:rsid w:val="006E714C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35517"/>
    <w:rsid w:val="0073702D"/>
    <w:rsid w:val="00741C5B"/>
    <w:rsid w:val="00742749"/>
    <w:rsid w:val="0074299E"/>
    <w:rsid w:val="00744B3C"/>
    <w:rsid w:val="0074689D"/>
    <w:rsid w:val="00751BDC"/>
    <w:rsid w:val="00753BB2"/>
    <w:rsid w:val="00753F18"/>
    <w:rsid w:val="007540B3"/>
    <w:rsid w:val="00754946"/>
    <w:rsid w:val="00762E2B"/>
    <w:rsid w:val="00763FF3"/>
    <w:rsid w:val="007659BD"/>
    <w:rsid w:val="007667E8"/>
    <w:rsid w:val="007749F3"/>
    <w:rsid w:val="007752C4"/>
    <w:rsid w:val="00787BD1"/>
    <w:rsid w:val="0079397B"/>
    <w:rsid w:val="00793AF4"/>
    <w:rsid w:val="00795C6F"/>
    <w:rsid w:val="0079616C"/>
    <w:rsid w:val="00797FE8"/>
    <w:rsid w:val="007A0ECE"/>
    <w:rsid w:val="007A4133"/>
    <w:rsid w:val="007B25FD"/>
    <w:rsid w:val="007C3BE3"/>
    <w:rsid w:val="007C5987"/>
    <w:rsid w:val="007C779F"/>
    <w:rsid w:val="007D0BFA"/>
    <w:rsid w:val="007D3949"/>
    <w:rsid w:val="007D4432"/>
    <w:rsid w:val="007D4F1A"/>
    <w:rsid w:val="007E07FB"/>
    <w:rsid w:val="007E3440"/>
    <w:rsid w:val="007F25B7"/>
    <w:rsid w:val="007F6346"/>
    <w:rsid w:val="008014CF"/>
    <w:rsid w:val="00801775"/>
    <w:rsid w:val="00801C8D"/>
    <w:rsid w:val="00803BC4"/>
    <w:rsid w:val="0081044F"/>
    <w:rsid w:val="00811CEC"/>
    <w:rsid w:val="008128AB"/>
    <w:rsid w:val="00825FC0"/>
    <w:rsid w:val="00826CB4"/>
    <w:rsid w:val="00831FDC"/>
    <w:rsid w:val="00832A5A"/>
    <w:rsid w:val="00834455"/>
    <w:rsid w:val="008357B8"/>
    <w:rsid w:val="00843298"/>
    <w:rsid w:val="00845F6D"/>
    <w:rsid w:val="00852337"/>
    <w:rsid w:val="00861F21"/>
    <w:rsid w:val="0086381F"/>
    <w:rsid w:val="0086614A"/>
    <w:rsid w:val="00867192"/>
    <w:rsid w:val="00871131"/>
    <w:rsid w:val="008712E5"/>
    <w:rsid w:val="00874E92"/>
    <w:rsid w:val="0087674B"/>
    <w:rsid w:val="00893327"/>
    <w:rsid w:val="00894719"/>
    <w:rsid w:val="008A52F5"/>
    <w:rsid w:val="008B0BD9"/>
    <w:rsid w:val="008B3C1D"/>
    <w:rsid w:val="008B7F27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A76"/>
    <w:rsid w:val="008F1DEA"/>
    <w:rsid w:val="008F5FAF"/>
    <w:rsid w:val="00901B1B"/>
    <w:rsid w:val="00904358"/>
    <w:rsid w:val="009120C4"/>
    <w:rsid w:val="009145BE"/>
    <w:rsid w:val="009166E1"/>
    <w:rsid w:val="00920CF0"/>
    <w:rsid w:val="00930D31"/>
    <w:rsid w:val="009344BF"/>
    <w:rsid w:val="00941FB5"/>
    <w:rsid w:val="009430E6"/>
    <w:rsid w:val="009469D2"/>
    <w:rsid w:val="00951ED9"/>
    <w:rsid w:val="00954B9E"/>
    <w:rsid w:val="00956A8D"/>
    <w:rsid w:val="00963002"/>
    <w:rsid w:val="00963D57"/>
    <w:rsid w:val="009647FA"/>
    <w:rsid w:val="00971CBB"/>
    <w:rsid w:val="009817C8"/>
    <w:rsid w:val="009878B1"/>
    <w:rsid w:val="009908A0"/>
    <w:rsid w:val="00991A53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C232C"/>
    <w:rsid w:val="009D32AE"/>
    <w:rsid w:val="009E2FBB"/>
    <w:rsid w:val="009E4583"/>
    <w:rsid w:val="009E5B49"/>
    <w:rsid w:val="009E69EB"/>
    <w:rsid w:val="009E79C5"/>
    <w:rsid w:val="00A138DA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21D0"/>
    <w:rsid w:val="00A87822"/>
    <w:rsid w:val="00A87884"/>
    <w:rsid w:val="00A91EB5"/>
    <w:rsid w:val="00A92070"/>
    <w:rsid w:val="00AA4627"/>
    <w:rsid w:val="00AC43DE"/>
    <w:rsid w:val="00AC6F68"/>
    <w:rsid w:val="00AC7192"/>
    <w:rsid w:val="00AD177A"/>
    <w:rsid w:val="00AD3D11"/>
    <w:rsid w:val="00AD62EA"/>
    <w:rsid w:val="00AE1085"/>
    <w:rsid w:val="00AF0177"/>
    <w:rsid w:val="00AF07F8"/>
    <w:rsid w:val="00AF2B53"/>
    <w:rsid w:val="00AF4E59"/>
    <w:rsid w:val="00AF71D4"/>
    <w:rsid w:val="00B019AD"/>
    <w:rsid w:val="00B01F8C"/>
    <w:rsid w:val="00B02E4C"/>
    <w:rsid w:val="00B21B61"/>
    <w:rsid w:val="00B22A4A"/>
    <w:rsid w:val="00B23058"/>
    <w:rsid w:val="00B244F8"/>
    <w:rsid w:val="00B24730"/>
    <w:rsid w:val="00B2702F"/>
    <w:rsid w:val="00B27160"/>
    <w:rsid w:val="00B30817"/>
    <w:rsid w:val="00B34D84"/>
    <w:rsid w:val="00B36B36"/>
    <w:rsid w:val="00B467F0"/>
    <w:rsid w:val="00B53163"/>
    <w:rsid w:val="00B54B88"/>
    <w:rsid w:val="00B61708"/>
    <w:rsid w:val="00B62BF8"/>
    <w:rsid w:val="00B63F27"/>
    <w:rsid w:val="00B71BB8"/>
    <w:rsid w:val="00B73381"/>
    <w:rsid w:val="00B84B29"/>
    <w:rsid w:val="00B84FBC"/>
    <w:rsid w:val="00B94A36"/>
    <w:rsid w:val="00B95197"/>
    <w:rsid w:val="00B96E33"/>
    <w:rsid w:val="00BA3B73"/>
    <w:rsid w:val="00BB0BA1"/>
    <w:rsid w:val="00BB4E2D"/>
    <w:rsid w:val="00BB7D9C"/>
    <w:rsid w:val="00BC31CD"/>
    <w:rsid w:val="00BC33B4"/>
    <w:rsid w:val="00BE36BC"/>
    <w:rsid w:val="00BE507B"/>
    <w:rsid w:val="00BE5D73"/>
    <w:rsid w:val="00BF3675"/>
    <w:rsid w:val="00BF575E"/>
    <w:rsid w:val="00BF68F5"/>
    <w:rsid w:val="00C015F0"/>
    <w:rsid w:val="00C01937"/>
    <w:rsid w:val="00C13A79"/>
    <w:rsid w:val="00C14A3A"/>
    <w:rsid w:val="00C20FE5"/>
    <w:rsid w:val="00C22D6C"/>
    <w:rsid w:val="00C3484F"/>
    <w:rsid w:val="00C44514"/>
    <w:rsid w:val="00C45145"/>
    <w:rsid w:val="00C455E6"/>
    <w:rsid w:val="00C54296"/>
    <w:rsid w:val="00C54A2D"/>
    <w:rsid w:val="00C564D0"/>
    <w:rsid w:val="00C5792C"/>
    <w:rsid w:val="00C60E38"/>
    <w:rsid w:val="00C623F1"/>
    <w:rsid w:val="00C712EA"/>
    <w:rsid w:val="00C73DFC"/>
    <w:rsid w:val="00C92BF2"/>
    <w:rsid w:val="00C939B0"/>
    <w:rsid w:val="00CA38CF"/>
    <w:rsid w:val="00CB7733"/>
    <w:rsid w:val="00CC7951"/>
    <w:rsid w:val="00CD6E24"/>
    <w:rsid w:val="00CE0A47"/>
    <w:rsid w:val="00CE628F"/>
    <w:rsid w:val="00CE6BD1"/>
    <w:rsid w:val="00CF093C"/>
    <w:rsid w:val="00CF0F2B"/>
    <w:rsid w:val="00CF1966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22AE"/>
    <w:rsid w:val="00D535B2"/>
    <w:rsid w:val="00D56FCF"/>
    <w:rsid w:val="00D577B0"/>
    <w:rsid w:val="00D607DF"/>
    <w:rsid w:val="00D60994"/>
    <w:rsid w:val="00D60A66"/>
    <w:rsid w:val="00D6175C"/>
    <w:rsid w:val="00D64809"/>
    <w:rsid w:val="00D711FD"/>
    <w:rsid w:val="00D814D8"/>
    <w:rsid w:val="00D83022"/>
    <w:rsid w:val="00D835D2"/>
    <w:rsid w:val="00D863E5"/>
    <w:rsid w:val="00D867DE"/>
    <w:rsid w:val="00D87055"/>
    <w:rsid w:val="00D87385"/>
    <w:rsid w:val="00D911F5"/>
    <w:rsid w:val="00D9441F"/>
    <w:rsid w:val="00DA1127"/>
    <w:rsid w:val="00DB332C"/>
    <w:rsid w:val="00DC6716"/>
    <w:rsid w:val="00DC7CF9"/>
    <w:rsid w:val="00DD2CE8"/>
    <w:rsid w:val="00DD46BF"/>
    <w:rsid w:val="00DD7711"/>
    <w:rsid w:val="00DE024B"/>
    <w:rsid w:val="00DE0985"/>
    <w:rsid w:val="00DE1CD8"/>
    <w:rsid w:val="00DE2468"/>
    <w:rsid w:val="00DE5455"/>
    <w:rsid w:val="00DF012B"/>
    <w:rsid w:val="00DF109B"/>
    <w:rsid w:val="00E0276A"/>
    <w:rsid w:val="00E07386"/>
    <w:rsid w:val="00E11D2C"/>
    <w:rsid w:val="00E14A1A"/>
    <w:rsid w:val="00E17F1A"/>
    <w:rsid w:val="00E207AF"/>
    <w:rsid w:val="00E25CF5"/>
    <w:rsid w:val="00E31C74"/>
    <w:rsid w:val="00E35EB5"/>
    <w:rsid w:val="00E45C46"/>
    <w:rsid w:val="00E473CE"/>
    <w:rsid w:val="00E62D53"/>
    <w:rsid w:val="00E645B4"/>
    <w:rsid w:val="00E80290"/>
    <w:rsid w:val="00E83566"/>
    <w:rsid w:val="00E838D3"/>
    <w:rsid w:val="00EA47BC"/>
    <w:rsid w:val="00EA59FD"/>
    <w:rsid w:val="00EB24FD"/>
    <w:rsid w:val="00EC588F"/>
    <w:rsid w:val="00EC5E44"/>
    <w:rsid w:val="00ED09BF"/>
    <w:rsid w:val="00ED63B0"/>
    <w:rsid w:val="00ED6BF2"/>
    <w:rsid w:val="00EE0C3F"/>
    <w:rsid w:val="00EE4334"/>
    <w:rsid w:val="00EF114E"/>
    <w:rsid w:val="00EF273F"/>
    <w:rsid w:val="00EF2A80"/>
    <w:rsid w:val="00EF51E9"/>
    <w:rsid w:val="00EF6644"/>
    <w:rsid w:val="00F040B6"/>
    <w:rsid w:val="00F12ADA"/>
    <w:rsid w:val="00F15118"/>
    <w:rsid w:val="00F205F5"/>
    <w:rsid w:val="00F27D21"/>
    <w:rsid w:val="00F30286"/>
    <w:rsid w:val="00F30825"/>
    <w:rsid w:val="00F3242E"/>
    <w:rsid w:val="00F32966"/>
    <w:rsid w:val="00F333E0"/>
    <w:rsid w:val="00F377AC"/>
    <w:rsid w:val="00F4122E"/>
    <w:rsid w:val="00F4470B"/>
    <w:rsid w:val="00F45FFF"/>
    <w:rsid w:val="00F51C2E"/>
    <w:rsid w:val="00F62566"/>
    <w:rsid w:val="00F830DA"/>
    <w:rsid w:val="00F83892"/>
    <w:rsid w:val="00F83C00"/>
    <w:rsid w:val="00F8473D"/>
    <w:rsid w:val="00F86513"/>
    <w:rsid w:val="00F87345"/>
    <w:rsid w:val="00F8789D"/>
    <w:rsid w:val="00F928B2"/>
    <w:rsid w:val="00F93AEE"/>
    <w:rsid w:val="00F94AC9"/>
    <w:rsid w:val="00FA2246"/>
    <w:rsid w:val="00FB30A4"/>
    <w:rsid w:val="00FC019B"/>
    <w:rsid w:val="00FD353E"/>
    <w:rsid w:val="00FD4361"/>
    <w:rsid w:val="00FD5C58"/>
    <w:rsid w:val="00FD79A1"/>
    <w:rsid w:val="00FE3F16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EFA9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0A5FF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23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B84B29"/>
    <w:rPr>
      <w:rFonts w:asciiTheme="minorHAnsi" w:hAnsiTheme="minorHAnsi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7-R-0075/en" TargetMode="External"/><Relationship Id="rId18" Type="http://schemas.openxmlformats.org/officeDocument/2006/relationships/hyperlink" Target="https://www.itu.int/md/T22-SG17-R-0079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22-SG17-R-007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SG17-240902-TD-PLEN-237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7-R-007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T25-SG17-COL-0001/en" TargetMode="External"/><Relationship Id="rId19" Type="http://schemas.openxmlformats.org/officeDocument/2006/relationships/hyperlink" Target="mailto:tsbdir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22-SG17-R-0076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20CC-B434-4184-94C3-F1699C0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31</TotalTime>
  <Pages>7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13259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2024-12-02T10:41:00Z</cp:lastPrinted>
  <dcterms:created xsi:type="dcterms:W3CDTF">2024-11-26T10:08:00Z</dcterms:created>
  <dcterms:modified xsi:type="dcterms:W3CDTF">2024-12-02T10:41:00Z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