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42" w:type="dxa"/>
        <w:tblCellMar>
          <w:left w:w="0" w:type="dxa"/>
          <w:right w:w="0" w:type="dxa"/>
        </w:tblCellMar>
        <w:tblLook w:val="0000" w:firstRow="0" w:lastRow="0" w:firstColumn="0" w:lastColumn="0" w:noHBand="0" w:noVBand="0"/>
      </w:tblPr>
      <w:tblGrid>
        <w:gridCol w:w="31"/>
        <w:gridCol w:w="1279"/>
        <w:gridCol w:w="3325"/>
        <w:gridCol w:w="5236"/>
      </w:tblGrid>
      <w:tr w:rsidR="00EF6A23" w:rsidRPr="003B3DFE" w14:paraId="0E740E2D" w14:textId="77777777" w:rsidTr="000A7427">
        <w:trPr>
          <w:gridBefore w:val="1"/>
          <w:wBefore w:w="142" w:type="dxa"/>
          <w:cantSplit/>
        </w:trPr>
        <w:tc>
          <w:tcPr>
            <w:tcW w:w="0" w:type="auto"/>
            <w:vAlign w:val="center"/>
          </w:tcPr>
          <w:p w14:paraId="4CB70290" w14:textId="77777777" w:rsidR="00EF6A23" w:rsidRPr="003B3DFE" w:rsidRDefault="00EF6A23" w:rsidP="00777912">
            <w:pPr>
              <w:tabs>
                <w:tab w:val="right" w:pos="8732"/>
              </w:tabs>
              <w:spacing w:before="0"/>
              <w:rPr>
                <w:b/>
                <w:bCs/>
                <w:iCs/>
                <w:color w:val="FFFFFF"/>
                <w:sz w:val="30"/>
                <w:szCs w:val="30"/>
              </w:rPr>
            </w:pPr>
            <w:r w:rsidRPr="003B3DFE">
              <w:rPr>
                <w:noProof/>
                <w:lang w:eastAsia="zh-CN"/>
              </w:rPr>
              <w:drawing>
                <wp:inline distT="0" distB="0" distL="0" distR="0" wp14:anchorId="3F82556F" wp14:editId="0614658F">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23EA31F8" w14:textId="77777777" w:rsidR="00EF6A23" w:rsidRPr="003B3DFE" w:rsidRDefault="00EF6A23" w:rsidP="00777912">
            <w:pPr>
              <w:spacing w:before="0"/>
              <w:rPr>
                <w:rFonts w:cs="Times New Roman Bold"/>
                <w:b/>
                <w:bCs/>
                <w:iCs/>
                <w:smallCaps/>
                <w:sz w:val="34"/>
                <w:szCs w:val="34"/>
              </w:rPr>
            </w:pPr>
            <w:r w:rsidRPr="003B3DFE">
              <w:rPr>
                <w:rFonts w:cs="Times New Roman Bold"/>
                <w:b/>
                <w:bCs/>
                <w:iCs/>
                <w:smallCaps/>
                <w:sz w:val="34"/>
                <w:szCs w:val="34"/>
              </w:rPr>
              <w:t>Union internationale des télécommunications</w:t>
            </w:r>
          </w:p>
          <w:p w14:paraId="6A8BC0E5" w14:textId="77777777" w:rsidR="00EF6A23" w:rsidRPr="003B3DFE" w:rsidRDefault="00EF6A23" w:rsidP="00777912">
            <w:pPr>
              <w:spacing w:before="0"/>
              <w:rPr>
                <w:color w:val="FFFFFF"/>
                <w:sz w:val="26"/>
                <w:szCs w:val="26"/>
              </w:rPr>
            </w:pPr>
            <w:r w:rsidRPr="003B3DFE">
              <w:rPr>
                <w:rFonts w:cs="Times New Roman Bold"/>
                <w:b/>
                <w:bCs/>
                <w:iCs/>
                <w:smallCaps/>
                <w:sz w:val="28"/>
                <w:szCs w:val="28"/>
              </w:rPr>
              <w:t>B</w:t>
            </w:r>
            <w:r w:rsidRPr="003B3DFE">
              <w:rPr>
                <w:b/>
                <w:bCs/>
                <w:iCs/>
                <w:smallCaps/>
                <w:sz w:val="28"/>
                <w:szCs w:val="28"/>
              </w:rPr>
              <w:t>ureau de la Normalisation des Télécommunications</w:t>
            </w:r>
          </w:p>
        </w:tc>
      </w:tr>
      <w:tr w:rsidR="00036F4F" w:rsidRPr="000A7427" w14:paraId="5A31F849" w14:textId="77777777" w:rsidTr="000A7427">
        <w:trPr>
          <w:cantSplit/>
          <w:trHeight w:val="711"/>
        </w:trPr>
        <w:tc>
          <w:tcPr>
            <w:tcW w:w="1421" w:type="dxa"/>
            <w:gridSpan w:val="2"/>
          </w:tcPr>
          <w:p w14:paraId="155086ED" w14:textId="77777777" w:rsidR="00036F4F" w:rsidRPr="000A7427" w:rsidRDefault="00036F4F" w:rsidP="00777912">
            <w:pPr>
              <w:tabs>
                <w:tab w:val="left" w:pos="4111"/>
              </w:tabs>
              <w:spacing w:before="10"/>
              <w:ind w:left="57"/>
              <w:rPr>
                <w:sz w:val="22"/>
                <w:szCs w:val="18"/>
              </w:rPr>
            </w:pPr>
          </w:p>
        </w:tc>
        <w:tc>
          <w:tcPr>
            <w:tcW w:w="3305" w:type="dxa"/>
          </w:tcPr>
          <w:p w14:paraId="4D54FCE0" w14:textId="77777777" w:rsidR="00036F4F" w:rsidRPr="000A7427" w:rsidRDefault="00036F4F" w:rsidP="00777912">
            <w:pPr>
              <w:tabs>
                <w:tab w:val="left" w:pos="4111"/>
              </w:tabs>
              <w:spacing w:before="10"/>
              <w:ind w:left="57"/>
              <w:rPr>
                <w:b/>
                <w:sz w:val="22"/>
                <w:szCs w:val="18"/>
              </w:rPr>
            </w:pPr>
          </w:p>
        </w:tc>
        <w:tc>
          <w:tcPr>
            <w:tcW w:w="5145" w:type="dxa"/>
          </w:tcPr>
          <w:p w14:paraId="507601DA" w14:textId="294FB182" w:rsidR="00036F4F" w:rsidRPr="000A7427" w:rsidRDefault="00036F4F" w:rsidP="00777912">
            <w:pPr>
              <w:tabs>
                <w:tab w:val="clear" w:pos="794"/>
                <w:tab w:val="clear" w:pos="1191"/>
                <w:tab w:val="clear" w:pos="1588"/>
                <w:tab w:val="clear" w:pos="1985"/>
                <w:tab w:val="left" w:pos="284"/>
              </w:tabs>
              <w:spacing w:after="120"/>
              <w:ind w:left="284" w:hanging="227"/>
              <w:rPr>
                <w:sz w:val="22"/>
                <w:szCs w:val="18"/>
              </w:rPr>
            </w:pPr>
            <w:r w:rsidRPr="000A7427">
              <w:rPr>
                <w:sz w:val="22"/>
                <w:szCs w:val="18"/>
              </w:rPr>
              <w:t>Genève, le</w:t>
            </w:r>
            <w:r w:rsidR="004419E9" w:rsidRPr="000A7427">
              <w:rPr>
                <w:sz w:val="22"/>
                <w:szCs w:val="18"/>
              </w:rPr>
              <w:t xml:space="preserve"> </w:t>
            </w:r>
            <w:r w:rsidR="0072384B" w:rsidRPr="000A7427">
              <w:rPr>
                <w:sz w:val="22"/>
                <w:szCs w:val="18"/>
              </w:rPr>
              <w:t>14 novembre</w:t>
            </w:r>
            <w:r w:rsidR="00A2569C" w:rsidRPr="000A7427">
              <w:rPr>
                <w:sz w:val="22"/>
                <w:szCs w:val="18"/>
              </w:rPr>
              <w:t xml:space="preserve"> 2024</w:t>
            </w:r>
          </w:p>
        </w:tc>
      </w:tr>
      <w:tr w:rsidR="00EB5733" w:rsidRPr="000A7427" w14:paraId="2ED24445" w14:textId="77777777" w:rsidTr="000A7427">
        <w:trPr>
          <w:cantSplit/>
          <w:trHeight w:val="340"/>
        </w:trPr>
        <w:tc>
          <w:tcPr>
            <w:tcW w:w="1421" w:type="dxa"/>
            <w:gridSpan w:val="2"/>
          </w:tcPr>
          <w:p w14:paraId="4A0EFE88" w14:textId="77777777" w:rsidR="00EB5733" w:rsidRPr="000A7427" w:rsidRDefault="00EB5733" w:rsidP="000A7427">
            <w:pPr>
              <w:tabs>
                <w:tab w:val="left" w:pos="4111"/>
              </w:tabs>
              <w:spacing w:before="10"/>
              <w:ind w:left="140"/>
              <w:rPr>
                <w:b/>
                <w:bCs/>
                <w:sz w:val="22"/>
                <w:szCs w:val="18"/>
              </w:rPr>
            </w:pPr>
            <w:proofErr w:type="gramStart"/>
            <w:r w:rsidRPr="000A7427">
              <w:rPr>
                <w:b/>
                <w:bCs/>
                <w:sz w:val="22"/>
                <w:szCs w:val="18"/>
              </w:rPr>
              <w:t>Réf.:</w:t>
            </w:r>
            <w:proofErr w:type="gramEnd"/>
          </w:p>
        </w:tc>
        <w:tc>
          <w:tcPr>
            <w:tcW w:w="3305" w:type="dxa"/>
          </w:tcPr>
          <w:p w14:paraId="3C478478" w14:textId="0E7ACDB4" w:rsidR="00EB5733" w:rsidRPr="000A7427" w:rsidRDefault="00EB5733" w:rsidP="00777912">
            <w:pPr>
              <w:tabs>
                <w:tab w:val="left" w:pos="4111"/>
              </w:tabs>
              <w:spacing w:before="10"/>
              <w:ind w:left="57"/>
              <w:rPr>
                <w:b/>
                <w:sz w:val="22"/>
                <w:szCs w:val="18"/>
              </w:rPr>
            </w:pPr>
            <w:r w:rsidRPr="000A7427">
              <w:rPr>
                <w:b/>
                <w:sz w:val="22"/>
                <w:szCs w:val="18"/>
              </w:rPr>
              <w:t>Circulaire TSB 003</w:t>
            </w:r>
          </w:p>
          <w:p w14:paraId="1EB1BA00" w14:textId="71365185" w:rsidR="00EB5733" w:rsidRPr="000A7427" w:rsidRDefault="00EB5733" w:rsidP="00777912">
            <w:pPr>
              <w:tabs>
                <w:tab w:val="left" w:pos="4111"/>
              </w:tabs>
              <w:spacing w:before="10"/>
              <w:ind w:left="57"/>
              <w:rPr>
                <w:sz w:val="22"/>
                <w:szCs w:val="18"/>
              </w:rPr>
            </w:pPr>
            <w:r w:rsidRPr="000A7427">
              <w:rPr>
                <w:sz w:val="22"/>
                <w:szCs w:val="18"/>
              </w:rPr>
              <w:t>CE 17/XY</w:t>
            </w:r>
          </w:p>
        </w:tc>
        <w:tc>
          <w:tcPr>
            <w:tcW w:w="5145" w:type="dxa"/>
            <w:vMerge w:val="restart"/>
          </w:tcPr>
          <w:p w14:paraId="233953A4" w14:textId="77777777" w:rsidR="00EB5733" w:rsidRPr="000A7427" w:rsidRDefault="00EB5733" w:rsidP="000A7427">
            <w:pPr>
              <w:tabs>
                <w:tab w:val="clear" w:pos="794"/>
                <w:tab w:val="clear" w:pos="1191"/>
                <w:tab w:val="clear" w:pos="1588"/>
                <w:tab w:val="clear" w:pos="1985"/>
                <w:tab w:val="left" w:pos="284"/>
              </w:tabs>
              <w:spacing w:before="60"/>
              <w:ind w:left="284" w:hanging="227"/>
              <w:rPr>
                <w:b/>
                <w:bCs/>
                <w:sz w:val="22"/>
                <w:szCs w:val="18"/>
              </w:rPr>
            </w:pPr>
            <w:bookmarkStart w:id="0" w:name="Addressee_F"/>
            <w:bookmarkEnd w:id="0"/>
            <w:r w:rsidRPr="000A7427">
              <w:rPr>
                <w:b/>
                <w:bCs/>
                <w:sz w:val="22"/>
                <w:szCs w:val="18"/>
              </w:rPr>
              <w:t>Aux:</w:t>
            </w:r>
          </w:p>
          <w:p w14:paraId="3A88CCF2" w14:textId="77777777" w:rsidR="00EB5733" w:rsidRPr="000A7427" w:rsidRDefault="00EB5733" w:rsidP="000A7427">
            <w:pPr>
              <w:tabs>
                <w:tab w:val="left" w:pos="4111"/>
              </w:tabs>
              <w:spacing w:before="60"/>
              <w:ind w:left="426" w:hanging="369"/>
              <w:rPr>
                <w:sz w:val="22"/>
                <w:szCs w:val="18"/>
              </w:rPr>
            </w:pPr>
            <w:r w:rsidRPr="000A7427">
              <w:rPr>
                <w:sz w:val="22"/>
                <w:szCs w:val="18"/>
              </w:rPr>
              <w:t>–</w:t>
            </w:r>
            <w:r w:rsidRPr="000A7427">
              <w:rPr>
                <w:sz w:val="22"/>
                <w:szCs w:val="18"/>
              </w:rPr>
              <w:tab/>
              <w:t>Administrations des États Membres de l'Union</w:t>
            </w:r>
          </w:p>
          <w:p w14:paraId="2D2B2D17" w14:textId="77777777" w:rsidR="00EB5733" w:rsidRPr="000A7427" w:rsidRDefault="00EB5733" w:rsidP="000A7427">
            <w:pPr>
              <w:tabs>
                <w:tab w:val="clear" w:pos="794"/>
                <w:tab w:val="clear" w:pos="1191"/>
                <w:tab w:val="clear" w:pos="1588"/>
                <w:tab w:val="clear" w:pos="1985"/>
                <w:tab w:val="left" w:pos="284"/>
              </w:tabs>
              <w:spacing w:before="60"/>
              <w:ind w:left="284" w:hanging="227"/>
              <w:rPr>
                <w:b/>
                <w:bCs/>
                <w:sz w:val="22"/>
                <w:szCs w:val="18"/>
              </w:rPr>
            </w:pPr>
            <w:r w:rsidRPr="000A7427">
              <w:rPr>
                <w:b/>
                <w:bCs/>
                <w:sz w:val="22"/>
                <w:szCs w:val="18"/>
              </w:rPr>
              <w:t>Copie:</w:t>
            </w:r>
          </w:p>
          <w:p w14:paraId="6C6DA8A4" w14:textId="77777777" w:rsidR="00EB5733" w:rsidRPr="000A7427" w:rsidRDefault="00EB5733" w:rsidP="000A7427">
            <w:pPr>
              <w:tabs>
                <w:tab w:val="left" w:pos="4111"/>
              </w:tabs>
              <w:spacing w:before="60"/>
              <w:ind w:left="426" w:hanging="369"/>
              <w:rPr>
                <w:sz w:val="22"/>
                <w:szCs w:val="18"/>
              </w:rPr>
            </w:pPr>
            <w:r w:rsidRPr="000A7427">
              <w:rPr>
                <w:sz w:val="22"/>
                <w:szCs w:val="18"/>
              </w:rPr>
              <w:t>–</w:t>
            </w:r>
            <w:r w:rsidRPr="000A7427">
              <w:rPr>
                <w:sz w:val="22"/>
                <w:szCs w:val="18"/>
              </w:rPr>
              <w:tab/>
              <w:t>Aux Membres du Secteur de l'UIT-T;</w:t>
            </w:r>
          </w:p>
          <w:p w14:paraId="45EB7AE3" w14:textId="77777777" w:rsidR="00EB5733" w:rsidRPr="000A7427" w:rsidRDefault="00EB5733" w:rsidP="000A7427">
            <w:pPr>
              <w:tabs>
                <w:tab w:val="left" w:pos="4111"/>
              </w:tabs>
              <w:spacing w:before="60"/>
              <w:ind w:left="426" w:hanging="369"/>
              <w:rPr>
                <w:sz w:val="22"/>
                <w:szCs w:val="18"/>
              </w:rPr>
            </w:pPr>
            <w:r w:rsidRPr="000A7427">
              <w:rPr>
                <w:sz w:val="22"/>
                <w:szCs w:val="18"/>
              </w:rPr>
              <w:t>–</w:t>
            </w:r>
            <w:r w:rsidRPr="000A7427">
              <w:rPr>
                <w:sz w:val="22"/>
                <w:szCs w:val="18"/>
              </w:rPr>
              <w:tab/>
              <w:t>Aux Associés de l'UIT-T participant aux travaux de la Commission d'études 17;</w:t>
            </w:r>
          </w:p>
          <w:p w14:paraId="75D63219" w14:textId="77777777" w:rsidR="00EB5733" w:rsidRPr="000A7427" w:rsidRDefault="00EB5733" w:rsidP="000A7427">
            <w:pPr>
              <w:tabs>
                <w:tab w:val="left" w:pos="4111"/>
              </w:tabs>
              <w:spacing w:before="60"/>
              <w:ind w:left="426" w:hanging="369"/>
              <w:rPr>
                <w:sz w:val="22"/>
                <w:szCs w:val="18"/>
              </w:rPr>
            </w:pPr>
            <w:r w:rsidRPr="000A7427">
              <w:rPr>
                <w:sz w:val="22"/>
                <w:szCs w:val="18"/>
              </w:rPr>
              <w:t>–</w:t>
            </w:r>
            <w:r w:rsidRPr="000A7427">
              <w:rPr>
                <w:sz w:val="22"/>
                <w:szCs w:val="18"/>
              </w:rPr>
              <w:tab/>
              <w:t>Aux établissements universitaires participant aux travaux de l'UIT;</w:t>
            </w:r>
          </w:p>
          <w:p w14:paraId="354CEEE8" w14:textId="77777777" w:rsidR="00EB5733" w:rsidRPr="000A7427" w:rsidRDefault="00EB5733" w:rsidP="000A7427">
            <w:pPr>
              <w:tabs>
                <w:tab w:val="left" w:pos="4111"/>
              </w:tabs>
              <w:spacing w:before="60"/>
              <w:ind w:left="426" w:hanging="369"/>
              <w:rPr>
                <w:sz w:val="22"/>
                <w:szCs w:val="18"/>
              </w:rPr>
            </w:pPr>
            <w:r w:rsidRPr="000A7427">
              <w:rPr>
                <w:sz w:val="22"/>
                <w:szCs w:val="18"/>
              </w:rPr>
              <w:t>–</w:t>
            </w:r>
            <w:r w:rsidRPr="000A7427">
              <w:rPr>
                <w:sz w:val="22"/>
                <w:szCs w:val="18"/>
              </w:rPr>
              <w:tab/>
              <w:t>Au Président et aux Vice-Présidents de la Commission d'études 17 de l'UIT-T;</w:t>
            </w:r>
          </w:p>
          <w:p w14:paraId="6375FDA4" w14:textId="77777777" w:rsidR="00EB5733" w:rsidRPr="000A7427" w:rsidRDefault="00EB5733" w:rsidP="000A7427">
            <w:pPr>
              <w:tabs>
                <w:tab w:val="left" w:pos="4111"/>
              </w:tabs>
              <w:spacing w:before="60"/>
              <w:ind w:left="426" w:hanging="369"/>
              <w:rPr>
                <w:sz w:val="22"/>
                <w:szCs w:val="18"/>
              </w:rPr>
            </w:pPr>
            <w:r w:rsidRPr="000A7427">
              <w:rPr>
                <w:sz w:val="22"/>
                <w:szCs w:val="18"/>
              </w:rPr>
              <w:t>–</w:t>
            </w:r>
            <w:r w:rsidRPr="000A7427">
              <w:rPr>
                <w:sz w:val="22"/>
                <w:szCs w:val="18"/>
              </w:rPr>
              <w:tab/>
              <w:t>Au Directeur du Bureau de développement des télécommunications;</w:t>
            </w:r>
          </w:p>
          <w:p w14:paraId="46B2CDD7" w14:textId="77777777" w:rsidR="00EB5733" w:rsidRDefault="00EB5733" w:rsidP="00777912">
            <w:pPr>
              <w:tabs>
                <w:tab w:val="left" w:pos="4111"/>
              </w:tabs>
              <w:spacing w:before="0"/>
              <w:ind w:left="426" w:hanging="369"/>
              <w:rPr>
                <w:sz w:val="22"/>
                <w:szCs w:val="18"/>
              </w:rPr>
            </w:pPr>
            <w:r w:rsidRPr="000A7427">
              <w:rPr>
                <w:sz w:val="22"/>
                <w:szCs w:val="18"/>
              </w:rPr>
              <w:t>–</w:t>
            </w:r>
            <w:r w:rsidRPr="000A7427">
              <w:rPr>
                <w:sz w:val="22"/>
                <w:szCs w:val="18"/>
              </w:rPr>
              <w:tab/>
              <w:t>Au Directeur du Bureau des radiocommunications</w:t>
            </w:r>
          </w:p>
          <w:p w14:paraId="2E091E0A" w14:textId="409061BB" w:rsidR="000A7427" w:rsidRPr="000A7427" w:rsidRDefault="000A7427" w:rsidP="00777912">
            <w:pPr>
              <w:tabs>
                <w:tab w:val="left" w:pos="4111"/>
              </w:tabs>
              <w:spacing w:before="0"/>
              <w:ind w:left="426" w:hanging="369"/>
              <w:rPr>
                <w:sz w:val="22"/>
                <w:szCs w:val="18"/>
              </w:rPr>
            </w:pPr>
          </w:p>
        </w:tc>
      </w:tr>
      <w:tr w:rsidR="00EB5733" w:rsidRPr="000A7427" w14:paraId="1D59A71A" w14:textId="77777777" w:rsidTr="000A7427">
        <w:trPr>
          <w:cantSplit/>
          <w:trHeight w:val="132"/>
        </w:trPr>
        <w:tc>
          <w:tcPr>
            <w:tcW w:w="1421" w:type="dxa"/>
            <w:gridSpan w:val="2"/>
          </w:tcPr>
          <w:p w14:paraId="5391CE5A" w14:textId="7787E3FE" w:rsidR="00EB5733" w:rsidRPr="000A7427" w:rsidRDefault="00EB5733" w:rsidP="000A7427">
            <w:pPr>
              <w:tabs>
                <w:tab w:val="left" w:pos="4111"/>
              </w:tabs>
              <w:spacing w:before="40"/>
              <w:ind w:left="140"/>
              <w:rPr>
                <w:b/>
                <w:bCs/>
                <w:sz w:val="22"/>
                <w:szCs w:val="18"/>
              </w:rPr>
            </w:pPr>
            <w:r w:rsidRPr="000A7427">
              <w:rPr>
                <w:b/>
                <w:bCs/>
                <w:sz w:val="22"/>
                <w:szCs w:val="18"/>
              </w:rPr>
              <w:t>Tél.:</w:t>
            </w:r>
          </w:p>
        </w:tc>
        <w:tc>
          <w:tcPr>
            <w:tcW w:w="3305" w:type="dxa"/>
          </w:tcPr>
          <w:p w14:paraId="1BA630E2" w14:textId="24FA0BE2" w:rsidR="00EB5733" w:rsidRPr="000A7427" w:rsidRDefault="00EB5733" w:rsidP="00777912">
            <w:pPr>
              <w:tabs>
                <w:tab w:val="left" w:pos="4111"/>
              </w:tabs>
              <w:spacing w:before="40"/>
              <w:ind w:left="57"/>
              <w:rPr>
                <w:b/>
                <w:sz w:val="22"/>
                <w:szCs w:val="18"/>
              </w:rPr>
            </w:pPr>
            <w:r w:rsidRPr="000A7427">
              <w:rPr>
                <w:sz w:val="22"/>
                <w:szCs w:val="18"/>
              </w:rPr>
              <w:t>+41 22 730 6206</w:t>
            </w:r>
          </w:p>
        </w:tc>
        <w:tc>
          <w:tcPr>
            <w:tcW w:w="5145" w:type="dxa"/>
            <w:vMerge/>
          </w:tcPr>
          <w:p w14:paraId="51AE0DF1" w14:textId="50647FD4" w:rsidR="00EB5733" w:rsidRPr="000A7427" w:rsidRDefault="00EB5733" w:rsidP="00777912">
            <w:pPr>
              <w:tabs>
                <w:tab w:val="left" w:pos="4111"/>
              </w:tabs>
              <w:spacing w:before="0"/>
              <w:ind w:left="426" w:hanging="369"/>
              <w:rPr>
                <w:sz w:val="22"/>
                <w:szCs w:val="18"/>
              </w:rPr>
            </w:pPr>
          </w:p>
        </w:tc>
      </w:tr>
      <w:tr w:rsidR="00EB5733" w:rsidRPr="000A7427" w14:paraId="35581497" w14:textId="77777777" w:rsidTr="000A7427">
        <w:trPr>
          <w:cantSplit/>
          <w:trHeight w:val="263"/>
        </w:trPr>
        <w:tc>
          <w:tcPr>
            <w:tcW w:w="1421" w:type="dxa"/>
            <w:gridSpan w:val="2"/>
          </w:tcPr>
          <w:p w14:paraId="1D5D4943" w14:textId="77777777" w:rsidR="00EB5733" w:rsidRPr="000A7427" w:rsidRDefault="00EB5733" w:rsidP="000A7427">
            <w:pPr>
              <w:tabs>
                <w:tab w:val="left" w:pos="4111"/>
              </w:tabs>
              <w:spacing w:before="10"/>
              <w:ind w:left="140"/>
              <w:rPr>
                <w:b/>
                <w:bCs/>
                <w:sz w:val="18"/>
                <w:szCs w:val="18"/>
              </w:rPr>
            </w:pPr>
            <w:r w:rsidRPr="000A7427">
              <w:rPr>
                <w:b/>
                <w:bCs/>
                <w:sz w:val="22"/>
                <w:szCs w:val="18"/>
              </w:rPr>
              <w:t>Télécopie:</w:t>
            </w:r>
          </w:p>
        </w:tc>
        <w:tc>
          <w:tcPr>
            <w:tcW w:w="3305" w:type="dxa"/>
          </w:tcPr>
          <w:p w14:paraId="1ED04EBB" w14:textId="77777777" w:rsidR="00EB5733" w:rsidRPr="000A7427" w:rsidRDefault="00EB5733" w:rsidP="00777912">
            <w:pPr>
              <w:tabs>
                <w:tab w:val="left" w:pos="4111"/>
              </w:tabs>
              <w:spacing w:before="10"/>
              <w:ind w:left="57"/>
              <w:rPr>
                <w:sz w:val="22"/>
                <w:szCs w:val="18"/>
              </w:rPr>
            </w:pPr>
            <w:r w:rsidRPr="000A7427">
              <w:rPr>
                <w:sz w:val="22"/>
                <w:szCs w:val="18"/>
              </w:rPr>
              <w:t>+41 22 730 5853</w:t>
            </w:r>
          </w:p>
        </w:tc>
        <w:tc>
          <w:tcPr>
            <w:tcW w:w="5145" w:type="dxa"/>
            <w:vMerge/>
          </w:tcPr>
          <w:p w14:paraId="38692909" w14:textId="5E123B09" w:rsidR="00EB5733" w:rsidRPr="000A7427" w:rsidRDefault="00EB5733" w:rsidP="00777912">
            <w:pPr>
              <w:tabs>
                <w:tab w:val="left" w:pos="4111"/>
              </w:tabs>
              <w:spacing w:before="0"/>
              <w:ind w:left="426" w:hanging="369"/>
              <w:rPr>
                <w:b/>
                <w:sz w:val="22"/>
                <w:szCs w:val="18"/>
              </w:rPr>
            </w:pPr>
          </w:p>
        </w:tc>
      </w:tr>
      <w:tr w:rsidR="00EB5733" w:rsidRPr="000A7427" w14:paraId="2BBA0C52" w14:textId="77777777" w:rsidTr="000A7427">
        <w:trPr>
          <w:cantSplit/>
        </w:trPr>
        <w:tc>
          <w:tcPr>
            <w:tcW w:w="1421" w:type="dxa"/>
            <w:gridSpan w:val="2"/>
          </w:tcPr>
          <w:p w14:paraId="0F1AA1ED" w14:textId="77777777" w:rsidR="00EB5733" w:rsidRPr="000A7427" w:rsidRDefault="00EB5733" w:rsidP="000A7427">
            <w:pPr>
              <w:tabs>
                <w:tab w:val="left" w:pos="4111"/>
              </w:tabs>
              <w:spacing w:before="10"/>
              <w:ind w:left="140"/>
              <w:rPr>
                <w:b/>
                <w:bCs/>
                <w:sz w:val="22"/>
                <w:szCs w:val="18"/>
              </w:rPr>
            </w:pPr>
            <w:r w:rsidRPr="000A7427">
              <w:rPr>
                <w:b/>
                <w:bCs/>
                <w:sz w:val="22"/>
                <w:szCs w:val="18"/>
              </w:rPr>
              <w:t>Courriel:</w:t>
            </w:r>
          </w:p>
        </w:tc>
        <w:tc>
          <w:tcPr>
            <w:tcW w:w="3305" w:type="dxa"/>
          </w:tcPr>
          <w:p w14:paraId="0BC2B600" w14:textId="08A73949" w:rsidR="00EB5733" w:rsidRPr="000A7427" w:rsidRDefault="00EB5733" w:rsidP="00777912">
            <w:pPr>
              <w:tabs>
                <w:tab w:val="left" w:pos="4111"/>
              </w:tabs>
              <w:spacing w:before="10"/>
              <w:ind w:left="57"/>
              <w:rPr>
                <w:sz w:val="22"/>
                <w:szCs w:val="18"/>
              </w:rPr>
            </w:pPr>
            <w:hyperlink r:id="rId9" w:history="1">
              <w:r w:rsidRPr="000A7427">
                <w:rPr>
                  <w:rStyle w:val="Hyperlink"/>
                  <w:sz w:val="22"/>
                  <w:szCs w:val="18"/>
                </w:rPr>
                <w:t>tsbsg17@itu.int</w:t>
              </w:r>
            </w:hyperlink>
          </w:p>
        </w:tc>
        <w:tc>
          <w:tcPr>
            <w:tcW w:w="5145" w:type="dxa"/>
            <w:vMerge/>
          </w:tcPr>
          <w:p w14:paraId="32C0DBB9" w14:textId="77BCBC1E" w:rsidR="00EB5733" w:rsidRPr="000A7427" w:rsidRDefault="00EB5733" w:rsidP="00777912">
            <w:pPr>
              <w:tabs>
                <w:tab w:val="left" w:pos="4111"/>
              </w:tabs>
              <w:spacing w:before="0"/>
              <w:ind w:left="426" w:hanging="369"/>
              <w:rPr>
                <w:sz w:val="22"/>
                <w:szCs w:val="18"/>
              </w:rPr>
            </w:pPr>
          </w:p>
        </w:tc>
      </w:tr>
      <w:tr w:rsidR="00517A03" w:rsidRPr="000A7427" w14:paraId="7EDA6B07" w14:textId="77777777" w:rsidTr="000A7427">
        <w:trPr>
          <w:cantSplit/>
          <w:trHeight w:val="1336"/>
        </w:trPr>
        <w:tc>
          <w:tcPr>
            <w:tcW w:w="1421" w:type="dxa"/>
            <w:gridSpan w:val="2"/>
          </w:tcPr>
          <w:p w14:paraId="1B775D8A" w14:textId="77777777" w:rsidR="00517A03" w:rsidRPr="000A7427" w:rsidRDefault="00517A03" w:rsidP="000A7427">
            <w:pPr>
              <w:tabs>
                <w:tab w:val="left" w:pos="4111"/>
              </w:tabs>
              <w:ind w:left="140"/>
              <w:rPr>
                <w:b/>
                <w:bCs/>
                <w:sz w:val="22"/>
              </w:rPr>
            </w:pPr>
            <w:proofErr w:type="gramStart"/>
            <w:r w:rsidRPr="000A7427">
              <w:rPr>
                <w:b/>
                <w:bCs/>
                <w:sz w:val="22"/>
              </w:rPr>
              <w:t>Objet:</w:t>
            </w:r>
            <w:proofErr w:type="gramEnd"/>
          </w:p>
        </w:tc>
        <w:tc>
          <w:tcPr>
            <w:tcW w:w="0" w:type="auto"/>
            <w:gridSpan w:val="2"/>
          </w:tcPr>
          <w:p w14:paraId="4D4C3001" w14:textId="0C5A6768" w:rsidR="00517A03" w:rsidRPr="000A7427" w:rsidRDefault="00A2569C" w:rsidP="00777912">
            <w:pPr>
              <w:ind w:left="65" w:right="58"/>
              <w:rPr>
                <w:b/>
                <w:bCs/>
                <w:sz w:val="22"/>
                <w:szCs w:val="18"/>
              </w:rPr>
            </w:pPr>
            <w:r w:rsidRPr="000A7427">
              <w:rPr>
                <w:b/>
                <w:bCs/>
                <w:sz w:val="22"/>
                <w:szCs w:val="18"/>
              </w:rPr>
              <w:t>Consultation des États Membres au sujet des textes déterminés des projets de nouvelles Recommandations UIT-T X.1355 (X.ra-iot), X.1456 (</w:t>
            </w:r>
            <w:proofErr w:type="gramStart"/>
            <w:r w:rsidRPr="000A7427">
              <w:rPr>
                <w:b/>
                <w:bCs/>
                <w:sz w:val="22"/>
                <w:szCs w:val="18"/>
              </w:rPr>
              <w:t>X.sgdfs</w:t>
            </w:r>
            <w:proofErr w:type="gramEnd"/>
            <w:r w:rsidRPr="000A7427">
              <w:rPr>
                <w:b/>
                <w:bCs/>
                <w:sz w:val="22"/>
                <w:szCs w:val="18"/>
              </w:rPr>
              <w:t>-us), X.1648 (X.gecds), X.1284 (X.afotak) et X.1385 (X.evtol-sec), qu'il est proposé d'approuver à la réunion de la Commission d'études 17 de l'UIT-T (Genève, 8-17 avril 2025)</w:t>
            </w:r>
          </w:p>
        </w:tc>
      </w:tr>
    </w:tbl>
    <w:p w14:paraId="1C48F57D" w14:textId="77777777" w:rsidR="00517A03" w:rsidRPr="000A7427" w:rsidRDefault="00517A03" w:rsidP="000A7427">
      <w:pPr>
        <w:pStyle w:val="Normalaftertitle"/>
        <w:spacing w:before="120"/>
        <w:rPr>
          <w:sz w:val="22"/>
          <w:szCs w:val="18"/>
        </w:rPr>
      </w:pPr>
      <w:bookmarkStart w:id="1" w:name="StartTyping_F"/>
      <w:bookmarkEnd w:id="1"/>
      <w:r w:rsidRPr="000A7427">
        <w:rPr>
          <w:sz w:val="22"/>
          <w:szCs w:val="18"/>
        </w:rPr>
        <w:t>Madame, Monsieur,</w:t>
      </w:r>
    </w:p>
    <w:p w14:paraId="0D263ECD" w14:textId="01132E31" w:rsidR="00A2569C" w:rsidRPr="000A7427" w:rsidRDefault="00A2569C" w:rsidP="00777912">
      <w:pPr>
        <w:rPr>
          <w:sz w:val="22"/>
          <w:szCs w:val="18"/>
        </w:rPr>
      </w:pPr>
      <w:r w:rsidRPr="000A7427">
        <w:rPr>
          <w:sz w:val="22"/>
          <w:szCs w:val="18"/>
        </w:rPr>
        <w:t>1</w:t>
      </w:r>
      <w:r w:rsidRPr="000A7427">
        <w:rPr>
          <w:sz w:val="22"/>
          <w:szCs w:val="18"/>
        </w:rPr>
        <w:tab/>
        <w:t xml:space="preserve">La Commission d'études 17 de l'UIT-T (Sécurité) a l'intention d'appliquer la procédure d'approbation traditionnelle énoncée à la section 9 de la Résolution 1 (Rév. Genève, 2022) de l'AMNT pour l'approbation des projets de Recommandation mentionnés ci-dessus à sa prochaine réunion, qui se tiendra </w:t>
      </w:r>
      <w:r w:rsidRPr="000A7427">
        <w:rPr>
          <w:bCs/>
          <w:sz w:val="22"/>
          <w:szCs w:val="18"/>
        </w:rPr>
        <w:t xml:space="preserve">à </w:t>
      </w:r>
      <w:r w:rsidRPr="000A7427">
        <w:rPr>
          <w:b/>
          <w:sz w:val="22"/>
          <w:szCs w:val="18"/>
        </w:rPr>
        <w:t>Genève du 8 au 17 avril 2025</w:t>
      </w:r>
      <w:r w:rsidRPr="000A7427">
        <w:rPr>
          <w:sz w:val="22"/>
          <w:szCs w:val="18"/>
        </w:rPr>
        <w:t xml:space="preserve">. L'ordre du jour et tous les renseignements utiles concernant la réunion de la Commission d'études 17 de l'UIT-T pourront être consultés dans la Lettre collective </w:t>
      </w:r>
      <w:hyperlink r:id="rId10" w:history="1">
        <w:r w:rsidRPr="000A7427">
          <w:rPr>
            <w:rStyle w:val="Hyperlink"/>
            <w:bCs/>
            <w:sz w:val="22"/>
            <w:szCs w:val="18"/>
          </w:rPr>
          <w:t>1/17</w:t>
        </w:r>
      </w:hyperlink>
      <w:r w:rsidRPr="000A7427">
        <w:rPr>
          <w:sz w:val="22"/>
          <w:szCs w:val="18"/>
        </w:rPr>
        <w:t>.</w:t>
      </w:r>
    </w:p>
    <w:p w14:paraId="0F44012A" w14:textId="77777777" w:rsidR="00A2569C" w:rsidRPr="000A7427" w:rsidRDefault="00A2569C" w:rsidP="00777912">
      <w:pPr>
        <w:rPr>
          <w:sz w:val="22"/>
          <w:szCs w:val="18"/>
        </w:rPr>
      </w:pPr>
      <w:r w:rsidRPr="000A7427">
        <w:rPr>
          <w:sz w:val="22"/>
          <w:szCs w:val="18"/>
        </w:rPr>
        <w:t>2</w:t>
      </w:r>
      <w:r w:rsidRPr="000A7427">
        <w:rPr>
          <w:sz w:val="22"/>
          <w:szCs w:val="18"/>
        </w:rPr>
        <w:tab/>
        <w:t>On trouvera dans l'</w:t>
      </w:r>
      <w:r w:rsidRPr="000A7427">
        <w:rPr>
          <w:b/>
          <w:sz w:val="22"/>
          <w:szCs w:val="18"/>
        </w:rPr>
        <w:t>Annexe 1</w:t>
      </w:r>
      <w:r w:rsidRPr="000A7427">
        <w:rPr>
          <w:sz w:val="22"/>
          <w:szCs w:val="18"/>
        </w:rPr>
        <w:t xml:space="preserve"> le titre, le résumé et la localisation des projets de Recommandation UIT-T qu'il est proposé d'approuver.</w:t>
      </w:r>
    </w:p>
    <w:p w14:paraId="3EED4EB2" w14:textId="77777777" w:rsidR="00A2569C" w:rsidRPr="000A7427" w:rsidRDefault="00A2569C" w:rsidP="00777912">
      <w:pPr>
        <w:pStyle w:val="Note"/>
        <w:rPr>
          <w:sz w:val="22"/>
          <w:szCs w:val="18"/>
        </w:rPr>
      </w:pPr>
      <w:r w:rsidRPr="000A7427">
        <w:rPr>
          <w:sz w:val="22"/>
          <w:szCs w:val="18"/>
        </w:rPr>
        <w:t xml:space="preserve">NOTE 1 DU TSB – À l'exception du projet de nouvelle Recommandation </w:t>
      </w:r>
      <w:r w:rsidRPr="000A7427">
        <w:rPr>
          <w:b/>
          <w:sz w:val="22"/>
          <w:szCs w:val="18"/>
        </w:rPr>
        <w:t>X.1648 (X.gecds)</w:t>
      </w:r>
      <w:r w:rsidRPr="000A7427">
        <w:rPr>
          <w:sz w:val="22"/>
          <w:szCs w:val="18"/>
        </w:rPr>
        <w:t>, aucune justification UIT-T A.5 n'a été soumise pour les autres textes déterminés.</w:t>
      </w:r>
    </w:p>
    <w:p w14:paraId="30F0E379" w14:textId="153D65CB" w:rsidR="00A2569C" w:rsidRPr="000A7427" w:rsidRDefault="00A2569C" w:rsidP="00777912">
      <w:pPr>
        <w:pStyle w:val="Note"/>
        <w:rPr>
          <w:sz w:val="22"/>
          <w:szCs w:val="18"/>
        </w:rPr>
      </w:pPr>
      <w:r w:rsidRPr="000A7427">
        <w:rPr>
          <w:sz w:val="22"/>
          <w:szCs w:val="18"/>
        </w:rPr>
        <w:t xml:space="preserve">NOTE 2 DU TSB – À la date de la présente Circulaire, le TSB n'avait reçu aucune déclaration concernant les droits de propriété intellectuelle relative à ces textes déterminés. Pour obtenir des renseignements actualisés, les membres sont invités à consulter la base de données relative aux droits de propriété intellectuelle à l'adresse </w:t>
      </w:r>
      <w:hyperlink r:id="rId11" w:history="1">
        <w:r w:rsidRPr="000A7427">
          <w:rPr>
            <w:rStyle w:val="Hyperlink"/>
            <w:sz w:val="22"/>
            <w:szCs w:val="18"/>
          </w:rPr>
          <w:t>www.itu.int/ipr/</w:t>
        </w:r>
      </w:hyperlink>
      <w:r w:rsidRPr="000A7427">
        <w:rPr>
          <w:sz w:val="22"/>
          <w:szCs w:val="18"/>
        </w:rPr>
        <w:t>.</w:t>
      </w:r>
    </w:p>
    <w:p w14:paraId="35FE7F52" w14:textId="1836ADBD" w:rsidR="00307FB4" w:rsidRPr="000A7427" w:rsidRDefault="00A2569C" w:rsidP="00777912">
      <w:pPr>
        <w:rPr>
          <w:sz w:val="22"/>
          <w:szCs w:val="18"/>
        </w:rPr>
      </w:pPr>
      <w:r w:rsidRPr="000A7427">
        <w:rPr>
          <w:sz w:val="22"/>
          <w:szCs w:val="18"/>
        </w:rPr>
        <w:t>3</w:t>
      </w:r>
      <w:r w:rsidRPr="000A7427">
        <w:rPr>
          <w:sz w:val="22"/>
          <w:szCs w:val="18"/>
        </w:rPr>
        <w:tab/>
        <w:t>La présente Circulaire a pour objet d'engager le processus de consultation formelle des États Membres de l'UIT, qui devront indiquer si ces textes peuvent être examinés en vue de leur approbation à la prochaine réunion, conformément au paragraphe 9.4 de la Résolution 1. Les États</w:t>
      </w:r>
      <w:r w:rsidR="00437EA5" w:rsidRPr="000A7427">
        <w:rPr>
          <w:sz w:val="22"/>
          <w:szCs w:val="18"/>
        </w:rPr>
        <w:t> </w:t>
      </w:r>
      <w:r w:rsidRPr="000A7427">
        <w:rPr>
          <w:sz w:val="22"/>
          <w:szCs w:val="18"/>
        </w:rPr>
        <w:t>Membres sont priés de remplir le formulaire de l'</w:t>
      </w:r>
      <w:r w:rsidRPr="000A7427">
        <w:rPr>
          <w:b/>
          <w:sz w:val="22"/>
          <w:szCs w:val="18"/>
        </w:rPr>
        <w:t xml:space="preserve">Annexe 2 </w:t>
      </w:r>
      <w:r w:rsidRPr="000A7427">
        <w:rPr>
          <w:sz w:val="22"/>
          <w:szCs w:val="18"/>
        </w:rPr>
        <w:t>et de le renvoyer d'ici au</w:t>
      </w:r>
      <w:r w:rsidR="00437EA5" w:rsidRPr="000A7427">
        <w:rPr>
          <w:sz w:val="22"/>
          <w:szCs w:val="18"/>
        </w:rPr>
        <w:t> </w:t>
      </w:r>
      <w:r w:rsidRPr="000A7427">
        <w:rPr>
          <w:b/>
          <w:sz w:val="22"/>
          <w:szCs w:val="18"/>
        </w:rPr>
        <w:t>27</w:t>
      </w:r>
      <w:r w:rsidR="00437EA5" w:rsidRPr="000A7427">
        <w:rPr>
          <w:b/>
          <w:sz w:val="22"/>
          <w:szCs w:val="18"/>
        </w:rPr>
        <w:t> </w:t>
      </w:r>
      <w:r w:rsidRPr="000A7427">
        <w:rPr>
          <w:b/>
          <w:sz w:val="22"/>
          <w:szCs w:val="18"/>
        </w:rPr>
        <w:t>mars</w:t>
      </w:r>
      <w:r w:rsidR="00437EA5" w:rsidRPr="000A7427">
        <w:rPr>
          <w:b/>
          <w:sz w:val="22"/>
          <w:szCs w:val="18"/>
        </w:rPr>
        <w:t> </w:t>
      </w:r>
      <w:r w:rsidRPr="000A7427">
        <w:rPr>
          <w:b/>
          <w:sz w:val="22"/>
          <w:szCs w:val="18"/>
        </w:rPr>
        <w:t>2025</w:t>
      </w:r>
      <w:r w:rsidRPr="000A7427">
        <w:rPr>
          <w:sz w:val="22"/>
          <w:szCs w:val="18"/>
        </w:rPr>
        <w:t xml:space="preserve"> à </w:t>
      </w:r>
      <w:r w:rsidRPr="000A7427">
        <w:rPr>
          <w:b/>
          <w:sz w:val="22"/>
          <w:szCs w:val="18"/>
        </w:rPr>
        <w:t>23 h 59</w:t>
      </w:r>
      <w:r w:rsidRPr="000A7427">
        <w:rPr>
          <w:sz w:val="22"/>
          <w:szCs w:val="18"/>
        </w:rPr>
        <w:t xml:space="preserve"> (UTC).</w:t>
      </w:r>
    </w:p>
    <w:p w14:paraId="4EBE7855" w14:textId="3A0B6D9B" w:rsidR="00A2569C" w:rsidRPr="000A7427" w:rsidRDefault="00A2569C" w:rsidP="00777912">
      <w:pPr>
        <w:rPr>
          <w:sz w:val="22"/>
          <w:szCs w:val="18"/>
        </w:rPr>
      </w:pPr>
      <w:r w:rsidRPr="000A7427">
        <w:rPr>
          <w:sz w:val="22"/>
          <w:szCs w:val="18"/>
        </w:rPr>
        <w:t>4</w:t>
      </w:r>
      <w:r w:rsidRPr="000A7427">
        <w:rPr>
          <w:sz w:val="22"/>
          <w:szCs w:val="18"/>
        </w:rPr>
        <w:tab/>
        <w:t xml:space="preserve">Si au moins 70% des réponses des États Membres sont en faveur de l'examen, pour approbation, de ces textes, une séance plénière sera consacrée à l'application de la procédure d'approbation. Les États Membres qui n'autorisent pas le groupe régional à procéder ainsi doivent informer le Directeur du TSB des </w:t>
      </w:r>
      <w:r w:rsidRPr="000A7427">
        <w:rPr>
          <w:sz w:val="22"/>
          <w:szCs w:val="18"/>
        </w:rPr>
        <w:lastRenderedPageBreak/>
        <w:t>motifs de leur décision et lui faire part des éventuelles modifications qui permettraient la poursuite des travaux.</w:t>
      </w:r>
    </w:p>
    <w:p w14:paraId="7F674E7E" w14:textId="38032D5D" w:rsidR="00307FB4" w:rsidRPr="000A7427" w:rsidRDefault="00307FB4" w:rsidP="00777912">
      <w:pPr>
        <w:rPr>
          <w:sz w:val="22"/>
          <w:szCs w:val="18"/>
        </w:rPr>
      </w:pPr>
      <w:r w:rsidRPr="000A7427">
        <w:rPr>
          <w:sz w:val="22"/>
          <w:szCs w:val="18"/>
        </w:rPr>
        <w:t>Veuillez agréer, Madame, Monsieur, l'assurance de ma considération distinguée.</w:t>
      </w:r>
    </w:p>
    <w:p w14:paraId="2F104CE1" w14:textId="47FC89D8" w:rsidR="002937DB" w:rsidRPr="000A7427" w:rsidRDefault="00CB7623" w:rsidP="000A7427">
      <w:pPr>
        <w:spacing w:before="840"/>
        <w:rPr>
          <w:bCs/>
          <w:sz w:val="22"/>
          <w:szCs w:val="18"/>
        </w:rPr>
      </w:pPr>
      <w:r>
        <w:rPr>
          <w:bCs/>
          <w:noProof/>
          <w:sz w:val="22"/>
          <w:szCs w:val="18"/>
        </w:rPr>
        <w:drawing>
          <wp:anchor distT="0" distB="0" distL="114300" distR="114300" simplePos="0" relativeHeight="251658240" behindDoc="1" locked="0" layoutInCell="1" allowOverlap="1" wp14:anchorId="3E40F584" wp14:editId="3CC346BC">
            <wp:simplePos x="0" y="0"/>
            <wp:positionH relativeFrom="column">
              <wp:posOffset>635</wp:posOffset>
            </wp:positionH>
            <wp:positionV relativeFrom="paragraph">
              <wp:posOffset>69850</wp:posOffset>
            </wp:positionV>
            <wp:extent cx="588433" cy="441325"/>
            <wp:effectExtent l="0" t="0" r="2540" b="0"/>
            <wp:wrapNone/>
            <wp:docPr id="18875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8082" name="Picture 188758082"/>
                    <pic:cNvPicPr/>
                  </pic:nvPicPr>
                  <pic:blipFill>
                    <a:blip r:embed="rId12">
                      <a:extLst>
                        <a:ext uri="{28A0092B-C50C-407E-A947-70E740481C1C}">
                          <a14:useLocalDpi xmlns:a14="http://schemas.microsoft.com/office/drawing/2010/main" val="0"/>
                        </a:ext>
                      </a:extLst>
                    </a:blip>
                    <a:stretch>
                      <a:fillRect/>
                    </a:stretch>
                  </pic:blipFill>
                  <pic:spPr>
                    <a:xfrm>
                      <a:off x="0" y="0"/>
                      <a:ext cx="588433" cy="441325"/>
                    </a:xfrm>
                    <a:prstGeom prst="rect">
                      <a:avLst/>
                    </a:prstGeom>
                  </pic:spPr>
                </pic:pic>
              </a:graphicData>
            </a:graphic>
            <wp14:sizeRelH relativeFrom="margin">
              <wp14:pctWidth>0</wp14:pctWidth>
            </wp14:sizeRelH>
            <wp14:sizeRelV relativeFrom="margin">
              <wp14:pctHeight>0</wp14:pctHeight>
            </wp14:sizeRelV>
          </wp:anchor>
        </w:drawing>
      </w:r>
      <w:r w:rsidR="00307FB4" w:rsidRPr="000A7427">
        <w:rPr>
          <w:bCs/>
          <w:sz w:val="22"/>
          <w:szCs w:val="18"/>
        </w:rPr>
        <w:t>Seizo Onoe</w:t>
      </w:r>
      <w:r w:rsidR="00B60868" w:rsidRPr="000A7427">
        <w:rPr>
          <w:bCs/>
          <w:sz w:val="22"/>
          <w:szCs w:val="18"/>
        </w:rPr>
        <w:br/>
      </w:r>
      <w:r w:rsidR="00307FB4" w:rsidRPr="000A7427">
        <w:rPr>
          <w:bCs/>
          <w:sz w:val="22"/>
          <w:szCs w:val="18"/>
        </w:rPr>
        <w:t>Directeur du Bureau de la normalisation</w:t>
      </w:r>
      <w:r w:rsidR="00B60868" w:rsidRPr="000A7427">
        <w:rPr>
          <w:bCs/>
          <w:sz w:val="22"/>
          <w:szCs w:val="18"/>
        </w:rPr>
        <w:br/>
      </w:r>
      <w:r w:rsidR="00307FB4" w:rsidRPr="000A7427">
        <w:rPr>
          <w:bCs/>
          <w:sz w:val="22"/>
          <w:szCs w:val="18"/>
        </w:rPr>
        <w:t>des télécommunications</w:t>
      </w:r>
    </w:p>
    <w:p w14:paraId="15D7C9F5" w14:textId="2FFD32FA" w:rsidR="001B3D1F" w:rsidRPr="000A7427" w:rsidRDefault="001B3D1F" w:rsidP="00777912">
      <w:pPr>
        <w:spacing w:before="360"/>
        <w:rPr>
          <w:bCs/>
          <w:sz w:val="22"/>
          <w:szCs w:val="18"/>
        </w:rPr>
      </w:pPr>
      <w:r w:rsidRPr="000A7427">
        <w:rPr>
          <w:b/>
          <w:sz w:val="22"/>
          <w:szCs w:val="18"/>
        </w:rPr>
        <w:t>Annexes</w:t>
      </w:r>
      <w:r w:rsidRPr="000A7427">
        <w:rPr>
          <w:bCs/>
          <w:sz w:val="22"/>
          <w:szCs w:val="18"/>
        </w:rPr>
        <w:t>:</w:t>
      </w:r>
      <w:r w:rsidR="00437EA5" w:rsidRPr="000A7427">
        <w:rPr>
          <w:bCs/>
          <w:sz w:val="22"/>
          <w:szCs w:val="18"/>
        </w:rPr>
        <w:tab/>
      </w:r>
      <w:r w:rsidRPr="000A7427">
        <w:rPr>
          <w:bCs/>
          <w:sz w:val="22"/>
          <w:szCs w:val="18"/>
        </w:rPr>
        <w:t>2</w:t>
      </w:r>
    </w:p>
    <w:p w14:paraId="1F6229E8" w14:textId="77777777" w:rsidR="002937DB" w:rsidRPr="003B3DFE" w:rsidRDefault="002937DB" w:rsidP="00777912">
      <w:pPr>
        <w:tabs>
          <w:tab w:val="clear" w:pos="794"/>
          <w:tab w:val="clear" w:pos="1191"/>
          <w:tab w:val="clear" w:pos="1588"/>
          <w:tab w:val="clear" w:pos="1985"/>
        </w:tabs>
        <w:overflowPunct/>
        <w:autoSpaceDE/>
        <w:autoSpaceDN/>
        <w:adjustRightInd/>
        <w:spacing w:before="0"/>
        <w:textAlignment w:val="auto"/>
        <w:rPr>
          <w:bCs/>
        </w:rPr>
      </w:pPr>
      <w:r w:rsidRPr="003B3DFE">
        <w:rPr>
          <w:bCs/>
        </w:rPr>
        <w:br w:type="page"/>
      </w:r>
    </w:p>
    <w:p w14:paraId="3BFA3380" w14:textId="55881D2D" w:rsidR="003B73D4" w:rsidRPr="003B3DFE" w:rsidRDefault="003B73D4" w:rsidP="00777912">
      <w:pPr>
        <w:pStyle w:val="AnnexTitle"/>
      </w:pPr>
      <w:r w:rsidRPr="003B3DFE">
        <w:lastRenderedPageBreak/>
        <w:t>Annexe 1</w:t>
      </w:r>
    </w:p>
    <w:p w14:paraId="08968E98" w14:textId="64875B49" w:rsidR="003B73D4" w:rsidRPr="003B3DFE" w:rsidRDefault="003B73D4" w:rsidP="00777912">
      <w:pPr>
        <w:pStyle w:val="AnnexTitle"/>
      </w:pPr>
      <w:r w:rsidRPr="003B3DFE">
        <w:t>Résumé et localisation des textes déterminés des projets de nouvelles</w:t>
      </w:r>
      <w:r w:rsidR="00EB5733" w:rsidRPr="003B3DFE">
        <w:br/>
      </w:r>
      <w:r w:rsidRPr="003B3DFE">
        <w:t>Recommandations UIT-T X.1355 (X.ra-iot), X.1456 (X.sgdfs-us),</w:t>
      </w:r>
      <w:r w:rsidR="00EB5733" w:rsidRPr="003B3DFE">
        <w:br/>
      </w:r>
      <w:r w:rsidRPr="003B3DFE">
        <w:t>X.1648 (X.gecds), X.1284 (X.afotak) et X.1385 (X.evtol-sec)</w:t>
      </w:r>
    </w:p>
    <w:p w14:paraId="12E90F93" w14:textId="4D8DAC6A" w:rsidR="003B73D4" w:rsidRPr="003B3DFE" w:rsidRDefault="003B73D4" w:rsidP="00777912">
      <w:pPr>
        <w:pStyle w:val="Heading1"/>
      </w:pPr>
      <w:r w:rsidRPr="003B3DFE">
        <w:t>1</w:t>
      </w:r>
      <w:r w:rsidRPr="003B3DFE">
        <w:tab/>
        <w:t>Projet de nouvelle Recommandation UIT-T X.1355 (X.ra-iot) [SG17-</w:t>
      </w:r>
      <w:hyperlink r:id="rId13" w:history="1">
        <w:r w:rsidRPr="003B3DFE">
          <w:rPr>
            <w:rStyle w:val="Hyperlink"/>
          </w:rPr>
          <w:t>R75</w:t>
        </w:r>
      </w:hyperlink>
      <w:r w:rsidRPr="003B3DFE">
        <w:t>]</w:t>
      </w:r>
    </w:p>
    <w:p w14:paraId="12073047" w14:textId="77777777" w:rsidR="003B73D4" w:rsidRPr="003B3DFE" w:rsidRDefault="003B73D4" w:rsidP="00777912">
      <w:pPr>
        <w:pStyle w:val="headingb"/>
      </w:pPr>
      <w:r w:rsidRPr="003B3DFE">
        <w:t>Cadre d'analyse des risques de sécurité pour les dispositifs de l'Internet des objets (IoT)</w:t>
      </w:r>
    </w:p>
    <w:p w14:paraId="38D3DE46" w14:textId="77777777" w:rsidR="003B73D4" w:rsidRPr="003B3DFE" w:rsidRDefault="003B73D4" w:rsidP="00777912">
      <w:pPr>
        <w:pStyle w:val="headingb"/>
      </w:pPr>
      <w:r w:rsidRPr="003B3DFE">
        <w:t>Résumé</w:t>
      </w:r>
    </w:p>
    <w:p w14:paraId="3302EC09" w14:textId="0E126F02" w:rsidR="003B73D4" w:rsidRPr="003B3DFE" w:rsidRDefault="003B73D4" w:rsidP="00777912">
      <w:r w:rsidRPr="003B3DFE">
        <w:t>L'Internet des objets (IoT) englobe des applications diverses dans différents domaines, tels que la santé, les transports, les systèmes de contrôle industriel, les villes intelligentes et les maisons intelligentes. Il joue un rôle essentiel dans la fourniture de services évolués en assurant la connexion d'entités physiques et virtuelles. Cependant, les fonctions de collecte, de traitement et de transmission des données sensibles que les dispositifs IoT exécutent dans l'environnement IoT les rendent vulnérables aux cyberattaques. Les failles de sécurité des dispositifs IoT peuvent avoir de graves répercussions, telles que l'accès non autorisé à certaines informations, l'interruption de services essentiels ou des incidences financières, voire des dommages matériels. Par conséquent, il est impératif de veiller à la protection des données et des systèmes IoT en assurant leur sécurité.</w:t>
      </w:r>
    </w:p>
    <w:p w14:paraId="1225EF7C" w14:textId="74395E83" w:rsidR="003B73D4" w:rsidRPr="003B3DFE" w:rsidRDefault="003B73D4" w:rsidP="00777912">
      <w:r w:rsidRPr="003B3DFE">
        <w:t>L'adoption d'une méthode pour la gestion des risques est indispensable pour sécuriser les dispositifs IoT, au même titre que les pratiques en matière de sécurité informatique. Une stratégie solide de gestion des risques consiste à recenser les menaces potentielles, à évaluer la probabilité de leur occurrence et leurs incidences, et à en réduire systématiquement les effets. Cette méthode permet non seulement de hiérarchiser les risques et de respecter les réglementations, mais aussi de renforcer la confiance des parties prenantes et la résilience face aux nouvelles menaces. L'analyse des risques est la pierre angulaire de ce processus vital, qui constitue la première étape vers le renforcement de l'environnement IoT.</w:t>
      </w:r>
    </w:p>
    <w:p w14:paraId="54613632" w14:textId="5A6BA073" w:rsidR="003B73D4" w:rsidRPr="003B3DFE" w:rsidRDefault="003B73D4" w:rsidP="00777912">
      <w:r w:rsidRPr="003B3DFE">
        <w:t>La présente Recommandation définit un cadre complet d'analyse des risques en matière de sécurité concernant les dispositifs IoT. Le cadre comprend une définition de la cible de l'analyse, un inventaire des menaces potentielles et une évaluation de ces menaces afin d'élaborer des stratégies d'atténuation efficaces. Il fournit aux parties prenantes une approche systématique de l'évaluation et du traitement des risques de sécurité associés aux dispositifs IoT, quelles que soient leurs fonctionnalités (communication, actionnement, détection, traitement de données ou stockage de données). Le cadre peut s'appliquer à divers secteurs et à différents types de dispositifs</w:t>
      </w:r>
      <w:r w:rsidR="00437EA5" w:rsidRPr="003B3DFE">
        <w:t> </w:t>
      </w:r>
      <w:r w:rsidRPr="003B3DFE">
        <w:t>IoT, et facilite de ce fait la mise en œuvre de solutions IoT sécurisées moyennant une analyse rigoureuse des risques et la réduction des menaces potentielles.</w:t>
      </w:r>
    </w:p>
    <w:p w14:paraId="30690750" w14:textId="617663E2" w:rsidR="003B73D4" w:rsidRPr="003B3DFE" w:rsidRDefault="003B73D4" w:rsidP="00777912">
      <w:pPr>
        <w:pStyle w:val="Heading1"/>
      </w:pPr>
      <w:r w:rsidRPr="003B3DFE">
        <w:t>2</w:t>
      </w:r>
      <w:r w:rsidRPr="003B3DFE">
        <w:tab/>
        <w:t>Projet de nouvelle Recommandation UIT-T X.1456 (X.sgdfs-us) [SG17-</w:t>
      </w:r>
      <w:hyperlink r:id="rId14" w:history="1">
        <w:r w:rsidRPr="003B3DFE">
          <w:rPr>
            <w:rStyle w:val="Hyperlink"/>
          </w:rPr>
          <w:t>R76</w:t>
        </w:r>
      </w:hyperlink>
      <w:r w:rsidRPr="003B3DFE">
        <w:t>]</w:t>
      </w:r>
    </w:p>
    <w:p w14:paraId="484A5829" w14:textId="77777777" w:rsidR="003B73D4" w:rsidRPr="003B3DFE" w:rsidRDefault="003B73D4" w:rsidP="00777912">
      <w:pPr>
        <w:pStyle w:val="headingb"/>
      </w:pPr>
      <w:r w:rsidRPr="003B3DFE">
        <w:t>Lignes directrices relatives à la sécurité des applications de services financiers numériques (DFS) s'appuyant sur les données de service supplémentaire non structurées (USSD) et la boîte à outils du module d'identification de l'abonné (STK)</w:t>
      </w:r>
    </w:p>
    <w:p w14:paraId="6724FD66" w14:textId="77777777" w:rsidR="003B73D4" w:rsidRPr="003B3DFE" w:rsidRDefault="003B73D4" w:rsidP="00777912">
      <w:pPr>
        <w:pStyle w:val="headingb"/>
      </w:pPr>
      <w:r w:rsidRPr="003B3DFE">
        <w:t>Résumé</w:t>
      </w:r>
    </w:p>
    <w:p w14:paraId="658E3B97" w14:textId="77777777" w:rsidR="00437EA5" w:rsidRPr="003B3DFE" w:rsidRDefault="003B73D4" w:rsidP="00777912">
      <w:r w:rsidRPr="003B3DFE">
        <w:t xml:space="preserve">La présente Recommandation définit des lignes directrices relatives à la sécurité des applications de services financiers numériques (DFS) s'appuyant sur les canaux du type données de service supplémentaire non structurées (USSD) et boîte à outils du module d'identification de l'abonné </w:t>
      </w:r>
      <w:r w:rsidR="00437EA5" w:rsidRPr="003B3DFE">
        <w:br w:type="page"/>
      </w:r>
    </w:p>
    <w:p w14:paraId="111A3076" w14:textId="41E76804" w:rsidR="003B73D4" w:rsidRPr="003B3DFE" w:rsidRDefault="003B73D4" w:rsidP="00777912">
      <w:r w:rsidRPr="003B3DFE">
        <w:lastRenderedPageBreak/>
        <w:t>(STK) qui peuvent être mises en œuvre par les fournisseurs de DFS et les opérateurs de réseaux mobiles pour atténuer les risques de sécurité associés à ces canaux pour les applications DFS. La présente Recommandation traite des aspects suivants:</w:t>
      </w:r>
    </w:p>
    <w:p w14:paraId="34C1E2C1" w14:textId="77777777" w:rsidR="003B73D4" w:rsidRPr="003B3DFE" w:rsidRDefault="003B73D4" w:rsidP="00777912">
      <w:pPr>
        <w:pStyle w:val="enumlev1"/>
      </w:pPr>
      <w:r w:rsidRPr="003B3DFE">
        <w:t>•</w:t>
      </w:r>
      <w:r w:rsidRPr="003B3DFE">
        <w:tab/>
        <w:t>Vulnérabilités et menaces pour la sécurité des services DFS s'appuyant sur les canaux USSD et STK.</w:t>
      </w:r>
    </w:p>
    <w:p w14:paraId="0D24CF52" w14:textId="77777777" w:rsidR="003B73D4" w:rsidRPr="003B3DFE" w:rsidRDefault="003B73D4" w:rsidP="00777912">
      <w:pPr>
        <w:pStyle w:val="enumlev1"/>
      </w:pPr>
      <w:r w:rsidRPr="003B3DFE">
        <w:t>•</w:t>
      </w:r>
      <w:r w:rsidRPr="003B3DFE">
        <w:tab/>
        <w:t>Identification des domaines dans lesquels des mesures de sécurité peuvent être mises en place grâce à une meilleure compréhension des risques et vulnérabilités associés aux applications DFS.</w:t>
      </w:r>
    </w:p>
    <w:p w14:paraId="58324206" w14:textId="549FB5E8" w:rsidR="003B73D4" w:rsidRPr="003B3DFE" w:rsidRDefault="003B73D4" w:rsidP="00777912">
      <w:pPr>
        <w:pStyle w:val="enumlev1"/>
      </w:pPr>
      <w:r w:rsidRPr="003B3DFE">
        <w:t>•</w:t>
      </w:r>
      <w:r w:rsidRPr="003B3DFE">
        <w:tab/>
        <w:t>Pratiques de sécurité pour les opérateurs de réseaux mobiles et les fournisseurs de services</w:t>
      </w:r>
      <w:r w:rsidR="000574D3" w:rsidRPr="003B3DFE">
        <w:t> </w:t>
      </w:r>
      <w:r w:rsidRPr="003B3DFE">
        <w:t>DFS.</w:t>
      </w:r>
    </w:p>
    <w:p w14:paraId="1B1BB3BA" w14:textId="4246D9B8" w:rsidR="003B73D4" w:rsidRPr="003B3DFE" w:rsidRDefault="003B73D4" w:rsidP="00777912">
      <w:pPr>
        <w:pStyle w:val="Heading1"/>
      </w:pPr>
      <w:r w:rsidRPr="003B3DFE">
        <w:t>3</w:t>
      </w:r>
      <w:r w:rsidRPr="003B3DFE">
        <w:tab/>
        <w:t>Projet de nouvelle Recommandation UIT-T X.1648 (X.gecds) [SG17-</w:t>
      </w:r>
      <w:hyperlink r:id="rId15" w:history="1">
        <w:r w:rsidRPr="003B3DFE">
          <w:rPr>
            <w:rStyle w:val="Hyperlink"/>
          </w:rPr>
          <w:t>R77</w:t>
        </w:r>
      </w:hyperlink>
      <w:r w:rsidRPr="003B3DFE">
        <w:t>]</w:t>
      </w:r>
    </w:p>
    <w:p w14:paraId="10CAAE5B" w14:textId="6538891C" w:rsidR="003B73D4" w:rsidRPr="003B3DFE" w:rsidRDefault="003B73D4" w:rsidP="00777912">
      <w:pPr>
        <w:pStyle w:val="headingb"/>
      </w:pPr>
      <w:r w:rsidRPr="003B3DFE">
        <w:t>Lignes directrices sur la sécurité des données de l'informatique en périphérie</w:t>
      </w:r>
    </w:p>
    <w:p w14:paraId="4A8F8CFC" w14:textId="77777777" w:rsidR="003B73D4" w:rsidRPr="003B3DFE" w:rsidRDefault="003B73D4" w:rsidP="00777912">
      <w:pPr>
        <w:pStyle w:val="headingb"/>
      </w:pPr>
      <w:r w:rsidRPr="003B3DFE">
        <w:t>Résumé</w:t>
      </w:r>
    </w:p>
    <w:p w14:paraId="002074AB" w14:textId="77777777" w:rsidR="003B73D4" w:rsidRPr="003B3DFE" w:rsidRDefault="003B73D4" w:rsidP="00777912">
      <w:r w:rsidRPr="003B3DFE">
        <w:t>La présente Recommandation décrit la manière dont l'architecture de référence de l'informatique en périphérie influe sur la sécurité des données en périphérie, et présente une analyse des menaces et des problèmes relatifs à la sécurité dans ce cadre. En outre, elle comporte une proposition de lignes directrices sur la sécurité dans l'informatique en périphérie pour différents rôles liés aux applications qui en découlent.</w:t>
      </w:r>
    </w:p>
    <w:p w14:paraId="782884C8" w14:textId="11619149" w:rsidR="003B73D4" w:rsidRPr="003B3DFE" w:rsidRDefault="003B73D4" w:rsidP="00777912">
      <w:r w:rsidRPr="003B3DFE">
        <w:t>Le projet de texte déterminé de cette Recommandation contient des références normatives qui nécessitent un document de justification UIT-T A.5, qui est reproduit dans le Document</w:t>
      </w:r>
      <w:r w:rsidR="000574D3" w:rsidRPr="003B3DFE">
        <w:t> </w:t>
      </w:r>
      <w:r w:rsidRPr="003B3DFE">
        <w:t>SG17</w:t>
      </w:r>
      <w:r w:rsidRPr="003B3DFE">
        <w:noBreakHyphen/>
      </w:r>
      <w:hyperlink r:id="rId16" w:history="1">
        <w:r w:rsidRPr="003B3DFE">
          <w:rPr>
            <w:rStyle w:val="Hyperlink"/>
            <w:bCs/>
          </w:rPr>
          <w:t>TD2377-R1</w:t>
        </w:r>
      </w:hyperlink>
      <w:r w:rsidRPr="003B3DFE">
        <w:t>.</w:t>
      </w:r>
    </w:p>
    <w:p w14:paraId="457AE37E" w14:textId="20B4F3C7" w:rsidR="003B73D4" w:rsidRPr="003B3DFE" w:rsidRDefault="003B73D4" w:rsidP="00777912">
      <w:pPr>
        <w:pStyle w:val="Heading1"/>
      </w:pPr>
      <w:r w:rsidRPr="003B3DFE">
        <w:t>4</w:t>
      </w:r>
      <w:r w:rsidRPr="003B3DFE">
        <w:tab/>
        <w:t>Projet de nouvelle Recommandation UIT-T X.1284 (X.afotak) [SG17-</w:t>
      </w:r>
      <w:hyperlink r:id="rId17" w:history="1">
        <w:r w:rsidRPr="003B3DFE">
          <w:rPr>
            <w:rStyle w:val="Hyperlink"/>
          </w:rPr>
          <w:t>R78</w:t>
        </w:r>
      </w:hyperlink>
      <w:r w:rsidRPr="003B3DFE">
        <w:t>]</w:t>
      </w:r>
    </w:p>
    <w:p w14:paraId="16764426" w14:textId="77777777" w:rsidR="003B73D4" w:rsidRPr="003B3DFE" w:rsidRDefault="003B73D4" w:rsidP="00777912">
      <w:pPr>
        <w:pStyle w:val="headingb"/>
      </w:pPr>
      <w:r w:rsidRPr="003B3DFE">
        <w:t>Cadre d'authentification basé sur une clé d'authentification à usage unique utilisant la technologie des registres distribués</w:t>
      </w:r>
    </w:p>
    <w:p w14:paraId="52212472" w14:textId="63141A3C" w:rsidR="003B73D4" w:rsidRPr="003B3DFE" w:rsidRDefault="003B73D4" w:rsidP="00777912">
      <w:pPr>
        <w:pStyle w:val="headingb"/>
      </w:pPr>
      <w:r w:rsidRPr="003B3DFE">
        <w:t>Résumé</w:t>
      </w:r>
    </w:p>
    <w:p w14:paraId="5C7FFD8F" w14:textId="0BFE989A" w:rsidR="003B73D4" w:rsidRPr="003B3DFE" w:rsidRDefault="003B73D4" w:rsidP="00777912">
      <w:r w:rsidRPr="003B3DFE">
        <w:t>La présente Recommandation définit un cadre d'authentification basé sur une clé d'authentification à usage unique (AFOTAK) utilisant la technologie des registres distribués (DLT). La présente Recommandation:</w:t>
      </w:r>
    </w:p>
    <w:p w14:paraId="352F301D" w14:textId="77777777" w:rsidR="003B73D4" w:rsidRPr="003B3DFE" w:rsidRDefault="003B73D4" w:rsidP="00777912">
      <w:pPr>
        <w:pStyle w:val="enumlev1"/>
      </w:pPr>
      <w:r w:rsidRPr="003B3DFE">
        <w:t>•</w:t>
      </w:r>
      <w:r w:rsidRPr="003B3DFE">
        <w:tab/>
        <w:t>définit le cadre d'authentification basé sur une clé d'authentification à usage unique et décrit ses procédures d'authentification;</w:t>
      </w:r>
    </w:p>
    <w:p w14:paraId="6E55A837" w14:textId="17B945C2" w:rsidR="003B73D4" w:rsidRPr="003B3DFE" w:rsidRDefault="003B73D4" w:rsidP="00777912">
      <w:pPr>
        <w:pStyle w:val="enumlev1"/>
      </w:pPr>
      <w:r w:rsidRPr="003B3DFE">
        <w:t>•</w:t>
      </w:r>
      <w:r w:rsidRPr="003B3DFE">
        <w:tab/>
        <w:t>spécifie les exigences en matière de sécurité applicables au cadre d'authentification basé sur une clé d'authentification à usage unique;</w:t>
      </w:r>
    </w:p>
    <w:p w14:paraId="67234475" w14:textId="37631FDB" w:rsidR="003B73D4" w:rsidRPr="003B3DFE" w:rsidRDefault="003B73D4" w:rsidP="00777912">
      <w:pPr>
        <w:pStyle w:val="enumlev1"/>
      </w:pPr>
      <w:r w:rsidRPr="003B3DFE">
        <w:t>•</w:t>
      </w:r>
      <w:r w:rsidRPr="003B3DFE">
        <w:tab/>
        <w:t>décrit la manière dont la clé d'authentification à usage unique est générée et vérifiée;</w:t>
      </w:r>
    </w:p>
    <w:p w14:paraId="4F062DB8" w14:textId="7B5CEFA9" w:rsidR="003B73D4" w:rsidRPr="003B3DFE" w:rsidRDefault="003B73D4" w:rsidP="00777912">
      <w:pPr>
        <w:pStyle w:val="enumlev1"/>
      </w:pPr>
      <w:r w:rsidRPr="003B3DFE">
        <w:t>•</w:t>
      </w:r>
      <w:r w:rsidRPr="003B3DFE">
        <w:tab/>
        <w:t>recense les menaces en matière de sécurité; et</w:t>
      </w:r>
    </w:p>
    <w:p w14:paraId="3B14D74B" w14:textId="77777777" w:rsidR="003B73D4" w:rsidRPr="003B3DFE" w:rsidRDefault="003B73D4" w:rsidP="00777912">
      <w:pPr>
        <w:pStyle w:val="enumlev1"/>
      </w:pPr>
      <w:r w:rsidRPr="003B3DFE">
        <w:t>•</w:t>
      </w:r>
      <w:r w:rsidRPr="003B3DFE">
        <w:tab/>
        <w:t>spécifie les contrôles de sécurité.</w:t>
      </w:r>
    </w:p>
    <w:p w14:paraId="29941DDB" w14:textId="6BE9984E" w:rsidR="003B73D4" w:rsidRPr="003B3DFE" w:rsidRDefault="003B73D4" w:rsidP="00777912">
      <w:pPr>
        <w:pStyle w:val="Heading1"/>
      </w:pPr>
      <w:r w:rsidRPr="003B3DFE">
        <w:lastRenderedPageBreak/>
        <w:t>5</w:t>
      </w:r>
      <w:r w:rsidRPr="003B3DFE">
        <w:tab/>
        <w:t>Projet de nouvelle Recommandation UIT-T X.1385 (X.evtol-sec) [SG17-</w:t>
      </w:r>
      <w:hyperlink r:id="rId18" w:history="1">
        <w:r w:rsidRPr="003B3DFE">
          <w:rPr>
            <w:rStyle w:val="Hyperlink"/>
          </w:rPr>
          <w:t>R79</w:t>
        </w:r>
      </w:hyperlink>
      <w:r w:rsidRPr="003B3DFE">
        <w:t>]</w:t>
      </w:r>
    </w:p>
    <w:p w14:paraId="324A2A95" w14:textId="44F0F37A" w:rsidR="003B73D4" w:rsidRPr="003B3DFE" w:rsidRDefault="003B73D4" w:rsidP="00777912">
      <w:pPr>
        <w:pStyle w:val="headingb"/>
      </w:pPr>
      <w:r w:rsidRPr="003B3DFE">
        <w:t>Exigences et lignes directrices relatives à la sécurité des télécommunications dans un environnement de mobilité aérienne urbaine (UAM)</w:t>
      </w:r>
    </w:p>
    <w:p w14:paraId="62506FAB" w14:textId="77777777" w:rsidR="003B73D4" w:rsidRPr="003B3DFE" w:rsidRDefault="003B73D4" w:rsidP="00777912">
      <w:pPr>
        <w:pStyle w:val="headingb"/>
      </w:pPr>
      <w:r w:rsidRPr="003B3DFE">
        <w:t>Résumé</w:t>
      </w:r>
    </w:p>
    <w:p w14:paraId="42D8CF48" w14:textId="77777777" w:rsidR="003B73D4" w:rsidRPr="003B3DFE" w:rsidRDefault="003B73D4" w:rsidP="00777912">
      <w:r w:rsidRPr="003B3DFE">
        <w:t>La mobilité aérienne urbaine (UAM) ou mobilité aérienne évoluée (AAM) est un système de transport aérien de passagers ou de marchandises à la demande, qui fonctionne généralement à l'intérieur de zones urbaines ou qui assure des services vers/depuis ces dernières. Ce nouveau type de système de transport devrait permettre de résoudre divers problèmes, notamment les embouteillages les plus importants, la pollution de l'environnement et la densité de population des grandes villes. Pour assurer un service de mobilité aérienne à la fois sûr et précis dans une zone urbaine, divers systèmes de communication devraient être utilisés. Ainsi, avec ces systèmes, il est fort probable que certains canaux de communication puissent être la cible de l'auteur d'une attaque qui accéderait aux systèmes internes de l'aéronef connecté et qu'il puisse causer de lourdes pertes.</w:t>
      </w:r>
    </w:p>
    <w:p w14:paraId="1294E708" w14:textId="77777777" w:rsidR="003B73D4" w:rsidRPr="003B3DFE" w:rsidRDefault="003B73D4" w:rsidP="00777912">
      <w:r w:rsidRPr="003B3DFE">
        <w:t>La présente Recommandation décrit les menaces et les exigences de sécurité ainsi que des lignes directrices de mise en œuvre relatives aux télécommunications dans un environnement UAM. Les fabricants de systèmes UAM/AAM et les secteurs connexes peuvent s'en servir en guise d'exigences et de lignes directrices en matière de sécurité.</w:t>
      </w:r>
    </w:p>
    <w:p w14:paraId="756FEAA1" w14:textId="6142A854" w:rsidR="003B73D4" w:rsidRPr="003B3DFE" w:rsidRDefault="003B73D4" w:rsidP="00777912">
      <w:pPr>
        <w:rPr>
          <w:bCs/>
        </w:rPr>
      </w:pPr>
      <w:r w:rsidRPr="003B3DFE">
        <w:rPr>
          <w:bCs/>
        </w:rPr>
        <w:br w:type="page"/>
      </w:r>
    </w:p>
    <w:p w14:paraId="618922B0" w14:textId="77777777" w:rsidR="003B73D4" w:rsidRPr="003B3DFE" w:rsidRDefault="003B73D4" w:rsidP="00777912">
      <w:pPr>
        <w:pStyle w:val="AnnexTitle"/>
        <w:rPr>
          <w:caps/>
        </w:rPr>
      </w:pPr>
      <w:r w:rsidRPr="003B3DFE">
        <w:lastRenderedPageBreak/>
        <w:t>Annexe 2</w:t>
      </w:r>
    </w:p>
    <w:p w14:paraId="13EE7EC7" w14:textId="57EBD008" w:rsidR="00517A03" w:rsidRPr="003B3DFE" w:rsidRDefault="003B73D4" w:rsidP="00777912">
      <w:pPr>
        <w:pStyle w:val="AnnexTitle"/>
      </w:pPr>
      <w:r w:rsidRPr="003B3DFE">
        <w:t>Objet: Réponse des États Membres à la Circulaire TSB 003: Consultation au sujet des textes déterminés des projets de nouvelles Recommandations UIT T X.1355 (X.ra-iot), X.1456 (X.sgdfs</w:t>
      </w:r>
      <w:r w:rsidRPr="003B3DFE">
        <w:noBreakHyphen/>
        <w:t>us), X.1648 (X.gecds), X.1284 (X.afotak) et X.1385 (X.evtol-sec)</w:t>
      </w:r>
    </w:p>
    <w:tbl>
      <w:tblPr>
        <w:tblW w:w="9781" w:type="dxa"/>
        <w:tblLayout w:type="fixed"/>
        <w:tblLook w:val="04A0" w:firstRow="1" w:lastRow="0" w:firstColumn="1" w:lastColumn="0" w:noHBand="0" w:noVBand="1"/>
      </w:tblPr>
      <w:tblGrid>
        <w:gridCol w:w="1418"/>
        <w:gridCol w:w="4111"/>
        <w:gridCol w:w="1275"/>
        <w:gridCol w:w="2977"/>
      </w:tblGrid>
      <w:tr w:rsidR="000574D3" w:rsidRPr="003B3DFE" w14:paraId="1949AEF4" w14:textId="77777777" w:rsidTr="007B532B">
        <w:tc>
          <w:tcPr>
            <w:tcW w:w="1418" w:type="dxa"/>
            <w:shd w:val="clear" w:color="auto" w:fill="auto"/>
          </w:tcPr>
          <w:p w14:paraId="26170ECA" w14:textId="224C6901" w:rsidR="000574D3" w:rsidRPr="003B3DFE" w:rsidRDefault="007B532B" w:rsidP="00777912">
            <w:pPr>
              <w:jc w:val="right"/>
              <w:rPr>
                <w:rFonts w:cstheme="minorHAnsi"/>
                <w:b/>
                <w:bCs/>
              </w:rPr>
            </w:pPr>
            <w:r w:rsidRPr="003B3DFE">
              <w:rPr>
                <w:rFonts w:cstheme="minorHAnsi"/>
                <w:b/>
                <w:bCs/>
              </w:rPr>
              <w:t>Au:</w:t>
            </w:r>
          </w:p>
        </w:tc>
        <w:tc>
          <w:tcPr>
            <w:tcW w:w="4111" w:type="dxa"/>
            <w:tcBorders>
              <w:right w:val="single" w:sz="8" w:space="0" w:color="auto"/>
            </w:tcBorders>
            <w:shd w:val="clear" w:color="auto" w:fill="auto"/>
          </w:tcPr>
          <w:p w14:paraId="5D9F16F3" w14:textId="5A77B573" w:rsidR="000574D3" w:rsidRPr="003B3DFE" w:rsidRDefault="000574D3" w:rsidP="00777912">
            <w:pPr>
              <w:rPr>
                <w:rFonts w:cstheme="minorHAnsi"/>
              </w:rPr>
            </w:pPr>
            <w:r w:rsidRPr="003B3DFE">
              <w:rPr>
                <w:rFonts w:cstheme="minorHAnsi"/>
              </w:rPr>
              <w:t>Directeur du</w:t>
            </w:r>
            <w:r w:rsidR="007B532B" w:rsidRPr="003B3DFE">
              <w:rPr>
                <w:rFonts w:cstheme="minorHAnsi"/>
              </w:rPr>
              <w:t xml:space="preserve"> </w:t>
            </w:r>
            <w:r w:rsidRPr="003B3DFE">
              <w:rPr>
                <w:rFonts w:cstheme="minorHAnsi"/>
              </w:rPr>
              <w:t>Bureau de la normalisation des télécommunications,</w:t>
            </w:r>
          </w:p>
          <w:p w14:paraId="3B4051A1" w14:textId="77777777" w:rsidR="000574D3" w:rsidRPr="003B3DFE" w:rsidRDefault="000574D3" w:rsidP="00777912">
            <w:pPr>
              <w:spacing w:before="0"/>
              <w:rPr>
                <w:rFonts w:cstheme="minorHAnsi"/>
              </w:rPr>
            </w:pPr>
            <w:r w:rsidRPr="003B3DFE">
              <w:rPr>
                <w:rFonts w:cstheme="minorHAnsi"/>
              </w:rPr>
              <w:t>Union internationale des télécommunications</w:t>
            </w:r>
          </w:p>
          <w:p w14:paraId="2D884FCD" w14:textId="77777777" w:rsidR="000574D3" w:rsidRPr="003B3DFE" w:rsidRDefault="000574D3" w:rsidP="00777912">
            <w:pPr>
              <w:spacing w:before="0"/>
              <w:rPr>
                <w:rFonts w:cstheme="minorHAnsi"/>
              </w:rPr>
            </w:pPr>
            <w:r w:rsidRPr="003B3DFE">
              <w:rPr>
                <w:rFonts w:cstheme="minorHAnsi"/>
              </w:rPr>
              <w:t>Place des Nations</w:t>
            </w:r>
          </w:p>
          <w:p w14:paraId="616A3BCB" w14:textId="77777777" w:rsidR="000574D3" w:rsidRPr="003B3DFE" w:rsidRDefault="000574D3" w:rsidP="00777912">
            <w:pPr>
              <w:spacing w:before="0"/>
              <w:rPr>
                <w:rFonts w:cstheme="minorHAnsi"/>
              </w:rPr>
            </w:pPr>
            <w:r w:rsidRPr="003B3DFE">
              <w:rPr>
                <w:rFonts w:cstheme="minorHAnsi"/>
              </w:rPr>
              <w:t>CH-1211 Genève 20, Suisse</w:t>
            </w:r>
          </w:p>
        </w:tc>
        <w:tc>
          <w:tcPr>
            <w:tcW w:w="1275" w:type="dxa"/>
            <w:tcBorders>
              <w:left w:val="single" w:sz="8" w:space="0" w:color="auto"/>
            </w:tcBorders>
            <w:shd w:val="clear" w:color="auto" w:fill="auto"/>
          </w:tcPr>
          <w:p w14:paraId="4384D029" w14:textId="77777777" w:rsidR="000574D3" w:rsidRPr="003B3DFE" w:rsidRDefault="000574D3" w:rsidP="00777912">
            <w:pPr>
              <w:jc w:val="right"/>
              <w:rPr>
                <w:rFonts w:cstheme="minorHAnsi"/>
                <w:b/>
                <w:bCs/>
              </w:rPr>
            </w:pPr>
            <w:r w:rsidRPr="003B3DFE">
              <w:rPr>
                <w:rFonts w:cstheme="minorHAnsi"/>
                <w:b/>
                <w:bCs/>
              </w:rPr>
              <w:t>De:</w:t>
            </w:r>
          </w:p>
        </w:tc>
        <w:tc>
          <w:tcPr>
            <w:tcW w:w="2977" w:type="dxa"/>
            <w:shd w:val="clear" w:color="auto" w:fill="auto"/>
          </w:tcPr>
          <w:p w14:paraId="59328092" w14:textId="77777777" w:rsidR="000574D3" w:rsidRPr="003B3DFE" w:rsidRDefault="000574D3" w:rsidP="00777912">
            <w:pPr>
              <w:rPr>
                <w:rFonts w:cstheme="minorHAnsi"/>
                <w:highlight w:val="green"/>
              </w:rPr>
            </w:pPr>
            <w:r w:rsidRPr="003B3DFE">
              <w:rPr>
                <w:rFonts w:cstheme="minorHAnsi"/>
                <w:highlight w:val="green"/>
              </w:rPr>
              <w:t>[Nom]</w:t>
            </w:r>
          </w:p>
          <w:p w14:paraId="017B4C6A" w14:textId="77777777" w:rsidR="000574D3" w:rsidRPr="003B3DFE" w:rsidRDefault="000574D3" w:rsidP="00777912">
            <w:pPr>
              <w:spacing w:before="0"/>
              <w:rPr>
                <w:rFonts w:cstheme="minorHAnsi"/>
                <w:highlight w:val="green"/>
              </w:rPr>
            </w:pPr>
            <w:r w:rsidRPr="003B3DFE">
              <w:rPr>
                <w:rFonts w:cstheme="minorHAnsi"/>
                <w:highlight w:val="green"/>
              </w:rPr>
              <w:t>[Rôle/titre officiel]</w:t>
            </w:r>
          </w:p>
          <w:p w14:paraId="722F3D25" w14:textId="77777777" w:rsidR="000574D3" w:rsidRPr="003B3DFE" w:rsidRDefault="000574D3" w:rsidP="00777912">
            <w:pPr>
              <w:spacing w:before="0"/>
              <w:rPr>
                <w:rFonts w:cstheme="minorHAnsi"/>
              </w:rPr>
            </w:pPr>
            <w:r w:rsidRPr="003B3DFE">
              <w:rPr>
                <w:rFonts w:cstheme="minorHAnsi"/>
                <w:highlight w:val="green"/>
              </w:rPr>
              <w:t>[Adresse]</w:t>
            </w:r>
          </w:p>
        </w:tc>
      </w:tr>
      <w:tr w:rsidR="000574D3" w:rsidRPr="003B3DFE" w14:paraId="051712A5" w14:textId="77777777" w:rsidTr="007B532B">
        <w:tc>
          <w:tcPr>
            <w:tcW w:w="1418" w:type="dxa"/>
            <w:shd w:val="clear" w:color="auto" w:fill="auto"/>
          </w:tcPr>
          <w:p w14:paraId="3AC9850E" w14:textId="77777777" w:rsidR="000574D3" w:rsidRPr="003B3DFE" w:rsidRDefault="000574D3" w:rsidP="00777912">
            <w:pPr>
              <w:spacing w:before="0"/>
              <w:ind w:right="-103"/>
              <w:jc w:val="right"/>
              <w:rPr>
                <w:rFonts w:cstheme="minorHAnsi"/>
              </w:rPr>
            </w:pPr>
            <w:r w:rsidRPr="003B3DFE">
              <w:rPr>
                <w:rFonts w:cstheme="minorHAnsi"/>
                <w:b/>
                <w:bCs/>
              </w:rPr>
              <w:t>Télécopie:</w:t>
            </w:r>
          </w:p>
          <w:p w14:paraId="60024FB0" w14:textId="77777777" w:rsidR="000574D3" w:rsidRPr="003B3DFE" w:rsidRDefault="000574D3" w:rsidP="00777912">
            <w:pPr>
              <w:spacing w:before="0"/>
              <w:jc w:val="right"/>
              <w:rPr>
                <w:rFonts w:cstheme="minorHAnsi"/>
              </w:rPr>
            </w:pPr>
            <w:r w:rsidRPr="003B3DFE">
              <w:rPr>
                <w:rFonts w:cstheme="minorHAnsi"/>
                <w:b/>
                <w:bCs/>
              </w:rPr>
              <w:t>Courriel:</w:t>
            </w:r>
          </w:p>
        </w:tc>
        <w:tc>
          <w:tcPr>
            <w:tcW w:w="4111" w:type="dxa"/>
            <w:tcBorders>
              <w:right w:val="single" w:sz="8" w:space="0" w:color="auto"/>
            </w:tcBorders>
            <w:shd w:val="clear" w:color="auto" w:fill="auto"/>
          </w:tcPr>
          <w:p w14:paraId="53B7F877" w14:textId="77777777" w:rsidR="000574D3" w:rsidRPr="003B3DFE" w:rsidRDefault="000574D3" w:rsidP="00777912">
            <w:pPr>
              <w:spacing w:before="0"/>
              <w:rPr>
                <w:rFonts w:cstheme="minorHAnsi"/>
              </w:rPr>
            </w:pPr>
            <w:r w:rsidRPr="003B3DFE">
              <w:rPr>
                <w:rFonts w:cstheme="minorHAnsi"/>
              </w:rPr>
              <w:t>+41-22-730-5853</w:t>
            </w:r>
          </w:p>
          <w:p w14:paraId="53C3CBCA" w14:textId="4D1835B1" w:rsidR="000574D3" w:rsidRPr="003B3DFE" w:rsidRDefault="00836DBF" w:rsidP="00777912">
            <w:pPr>
              <w:spacing w:before="0"/>
              <w:rPr>
                <w:rFonts w:cstheme="minorHAnsi"/>
              </w:rPr>
            </w:pPr>
            <w:hyperlink r:id="rId19" w:history="1">
              <w:r w:rsidRPr="003B3DFE">
                <w:rPr>
                  <w:rStyle w:val="Hyperlink"/>
                  <w:rFonts w:cstheme="minorHAnsi"/>
                </w:rPr>
                <w:t>tsbdir@itu.int</w:t>
              </w:r>
            </w:hyperlink>
          </w:p>
        </w:tc>
        <w:tc>
          <w:tcPr>
            <w:tcW w:w="1275" w:type="dxa"/>
            <w:tcBorders>
              <w:left w:val="single" w:sz="8" w:space="0" w:color="auto"/>
            </w:tcBorders>
            <w:shd w:val="clear" w:color="auto" w:fill="auto"/>
          </w:tcPr>
          <w:p w14:paraId="196DE711" w14:textId="77777777" w:rsidR="000574D3" w:rsidRPr="003B3DFE" w:rsidRDefault="000574D3" w:rsidP="00777912">
            <w:pPr>
              <w:spacing w:before="0"/>
              <w:jc w:val="right"/>
              <w:rPr>
                <w:rFonts w:cstheme="minorHAnsi"/>
              </w:rPr>
            </w:pPr>
            <w:r w:rsidRPr="003B3DFE">
              <w:rPr>
                <w:rFonts w:cstheme="minorHAnsi"/>
                <w:b/>
                <w:bCs/>
              </w:rPr>
              <w:t>Télécopie:</w:t>
            </w:r>
          </w:p>
          <w:p w14:paraId="2846331F" w14:textId="77777777" w:rsidR="000574D3" w:rsidRPr="003B3DFE" w:rsidRDefault="000574D3" w:rsidP="00777912">
            <w:pPr>
              <w:spacing w:before="0"/>
              <w:jc w:val="right"/>
              <w:rPr>
                <w:rFonts w:cstheme="minorHAnsi"/>
              </w:rPr>
            </w:pPr>
            <w:r w:rsidRPr="003B3DFE">
              <w:rPr>
                <w:rFonts w:cstheme="minorHAnsi"/>
                <w:b/>
                <w:bCs/>
              </w:rPr>
              <w:t>Courriel:</w:t>
            </w:r>
          </w:p>
        </w:tc>
        <w:tc>
          <w:tcPr>
            <w:tcW w:w="2977" w:type="dxa"/>
            <w:shd w:val="clear" w:color="auto" w:fill="auto"/>
          </w:tcPr>
          <w:p w14:paraId="2823EBBA" w14:textId="77777777" w:rsidR="000574D3" w:rsidRPr="003B3DFE" w:rsidRDefault="000574D3" w:rsidP="00777912">
            <w:pPr>
              <w:spacing w:before="0"/>
              <w:rPr>
                <w:rFonts w:cstheme="minorHAnsi"/>
              </w:rPr>
            </w:pPr>
          </w:p>
        </w:tc>
      </w:tr>
      <w:tr w:rsidR="000574D3" w:rsidRPr="003B3DFE" w14:paraId="03496A4A" w14:textId="77777777" w:rsidTr="007B532B">
        <w:tc>
          <w:tcPr>
            <w:tcW w:w="1418" w:type="dxa"/>
            <w:shd w:val="clear" w:color="auto" w:fill="auto"/>
          </w:tcPr>
          <w:p w14:paraId="6132EFC6" w14:textId="77777777" w:rsidR="000574D3" w:rsidRPr="003B3DFE" w:rsidRDefault="000574D3" w:rsidP="00777912">
            <w:pPr>
              <w:spacing w:before="0"/>
              <w:jc w:val="right"/>
              <w:rPr>
                <w:rFonts w:cstheme="minorHAnsi"/>
              </w:rPr>
            </w:pPr>
          </w:p>
        </w:tc>
        <w:tc>
          <w:tcPr>
            <w:tcW w:w="4111" w:type="dxa"/>
            <w:tcBorders>
              <w:right w:val="single" w:sz="8" w:space="0" w:color="auto"/>
            </w:tcBorders>
            <w:shd w:val="clear" w:color="auto" w:fill="auto"/>
          </w:tcPr>
          <w:p w14:paraId="7A2562BB" w14:textId="77777777" w:rsidR="000574D3" w:rsidRPr="003B3DFE" w:rsidRDefault="000574D3" w:rsidP="00777912">
            <w:pPr>
              <w:spacing w:before="0"/>
              <w:rPr>
                <w:rFonts w:cstheme="minorHAnsi"/>
              </w:rPr>
            </w:pPr>
          </w:p>
        </w:tc>
        <w:tc>
          <w:tcPr>
            <w:tcW w:w="1275" w:type="dxa"/>
            <w:tcBorders>
              <w:left w:val="single" w:sz="8" w:space="0" w:color="auto"/>
            </w:tcBorders>
            <w:shd w:val="clear" w:color="auto" w:fill="auto"/>
          </w:tcPr>
          <w:p w14:paraId="07499E0B" w14:textId="77777777" w:rsidR="000574D3" w:rsidRPr="003B3DFE" w:rsidRDefault="000574D3" w:rsidP="00777912">
            <w:pPr>
              <w:spacing w:before="0"/>
              <w:jc w:val="right"/>
              <w:rPr>
                <w:rFonts w:cstheme="minorHAnsi"/>
              </w:rPr>
            </w:pPr>
            <w:r w:rsidRPr="003B3DFE">
              <w:rPr>
                <w:rFonts w:cstheme="minorHAnsi"/>
                <w:b/>
                <w:bCs/>
              </w:rPr>
              <w:t>Date:</w:t>
            </w:r>
          </w:p>
        </w:tc>
        <w:tc>
          <w:tcPr>
            <w:tcW w:w="2977" w:type="dxa"/>
            <w:shd w:val="clear" w:color="auto" w:fill="auto"/>
          </w:tcPr>
          <w:p w14:paraId="2E40B416" w14:textId="29064709" w:rsidR="000574D3" w:rsidRPr="003B3DFE" w:rsidRDefault="000574D3" w:rsidP="00777912">
            <w:pPr>
              <w:spacing w:before="0"/>
              <w:rPr>
                <w:rFonts w:cstheme="minorHAnsi"/>
              </w:rPr>
            </w:pPr>
            <w:r w:rsidRPr="003B3DFE">
              <w:rPr>
                <w:rFonts w:cstheme="minorHAnsi"/>
                <w:highlight w:val="green"/>
              </w:rPr>
              <w:t>[Lieu]</w:t>
            </w:r>
            <w:r w:rsidR="007B532B" w:rsidRPr="003B3DFE">
              <w:rPr>
                <w:rFonts w:cstheme="minorHAnsi"/>
                <w:highlight w:val="green"/>
              </w:rPr>
              <w:t>,</w:t>
            </w:r>
            <w:r w:rsidRPr="003B3DFE">
              <w:rPr>
                <w:rFonts w:cstheme="minorHAnsi"/>
                <w:highlight w:val="green"/>
              </w:rPr>
              <w:t xml:space="preserve"> [Date]</w:t>
            </w:r>
          </w:p>
        </w:tc>
      </w:tr>
    </w:tbl>
    <w:p w14:paraId="327F5880" w14:textId="77777777" w:rsidR="000574D3" w:rsidRPr="003B3DFE" w:rsidRDefault="000574D3" w:rsidP="00777912">
      <w:pPr>
        <w:pStyle w:val="Normalaftertitle"/>
      </w:pPr>
      <w:r w:rsidRPr="003B3DFE">
        <w:t>Monsieur le Directeur,</w:t>
      </w:r>
    </w:p>
    <w:p w14:paraId="5A72E225" w14:textId="77777777" w:rsidR="000574D3" w:rsidRPr="003B3DFE" w:rsidRDefault="000574D3" w:rsidP="00777912">
      <w:pPr>
        <w:spacing w:after="120"/>
      </w:pPr>
      <w:r w:rsidRPr="003B3DFE">
        <w:t>Dans le cadre de la consultation des États Membres au sujet des projets de textes déterminés dont il est question dans la Circulaire TSB 003, je souhaite vous faire connaître par la présente le point de vue de mon Administration, qui figure dans le tableau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7806"/>
      </w:tblGrid>
      <w:tr w:rsidR="000574D3" w:rsidRPr="003B3DFE" w14:paraId="5BB3F004" w14:textId="77777777" w:rsidTr="00A106F9">
        <w:trPr>
          <w:cantSplit/>
          <w:tblHeader/>
        </w:trPr>
        <w:tc>
          <w:tcPr>
            <w:tcW w:w="1913" w:type="dxa"/>
            <w:shd w:val="clear" w:color="auto" w:fill="auto"/>
            <w:vAlign w:val="center"/>
          </w:tcPr>
          <w:p w14:paraId="045A8667" w14:textId="77777777" w:rsidR="000574D3" w:rsidRPr="003B3DFE" w:rsidRDefault="000574D3" w:rsidP="00777912">
            <w:pPr>
              <w:pStyle w:val="TableHead"/>
              <w:keepNext w:val="0"/>
              <w:widowControl w:val="0"/>
            </w:pPr>
          </w:p>
        </w:tc>
        <w:tc>
          <w:tcPr>
            <w:tcW w:w="7806" w:type="dxa"/>
            <w:shd w:val="clear" w:color="auto" w:fill="auto"/>
            <w:vAlign w:val="center"/>
          </w:tcPr>
          <w:p w14:paraId="1FE2D28B" w14:textId="77777777" w:rsidR="000574D3" w:rsidRPr="003B3DFE" w:rsidRDefault="000574D3" w:rsidP="00777912">
            <w:pPr>
              <w:pStyle w:val="TableHead"/>
              <w:keepNext w:val="0"/>
              <w:widowControl w:val="0"/>
            </w:pPr>
            <w:r w:rsidRPr="003B3DFE">
              <w:t>Cochez l'une des deux cases</w:t>
            </w:r>
          </w:p>
        </w:tc>
      </w:tr>
      <w:tr w:rsidR="000574D3" w:rsidRPr="003B3DFE" w14:paraId="29750202" w14:textId="77777777" w:rsidTr="00A106F9">
        <w:trPr>
          <w:cantSplit/>
          <w:trHeight w:val="748"/>
        </w:trPr>
        <w:tc>
          <w:tcPr>
            <w:tcW w:w="1913" w:type="dxa"/>
            <w:vMerge w:val="restart"/>
            <w:shd w:val="clear" w:color="auto" w:fill="auto"/>
            <w:vAlign w:val="center"/>
          </w:tcPr>
          <w:p w14:paraId="210BBB45" w14:textId="2EC554D3" w:rsidR="000574D3" w:rsidRPr="003B3DFE" w:rsidRDefault="000574D3" w:rsidP="00777912">
            <w:pPr>
              <w:pStyle w:val="TableHead"/>
              <w:keepNext w:val="0"/>
              <w:widowControl w:val="0"/>
              <w:rPr>
                <w:rFonts w:cstheme="minorHAnsi"/>
                <w:bCs/>
              </w:rPr>
            </w:pPr>
            <w:r w:rsidRPr="003B3DFE">
              <w:rPr>
                <w:rFonts w:cstheme="minorHAnsi"/>
                <w:bCs/>
              </w:rPr>
              <w:t>Projet de nouvelle Recommandation UIT-T X.1355</w:t>
            </w:r>
            <w:r w:rsidR="007B532B" w:rsidRPr="003B3DFE">
              <w:rPr>
                <w:rFonts w:cstheme="minorHAnsi"/>
                <w:bCs/>
              </w:rPr>
              <w:br/>
            </w:r>
            <w:r w:rsidRPr="003B3DFE">
              <w:rPr>
                <w:rFonts w:cstheme="minorHAnsi"/>
                <w:bCs/>
              </w:rPr>
              <w:t>(X.ra</w:t>
            </w:r>
            <w:r w:rsidR="00437EA5" w:rsidRPr="003B3DFE">
              <w:rPr>
                <w:rFonts w:cstheme="minorHAnsi"/>
                <w:bCs/>
              </w:rPr>
              <w:noBreakHyphen/>
            </w:r>
            <w:r w:rsidRPr="003B3DFE">
              <w:rPr>
                <w:rFonts w:cstheme="minorHAnsi"/>
                <w:bCs/>
              </w:rPr>
              <w:t>iot)</w:t>
            </w:r>
          </w:p>
        </w:tc>
        <w:tc>
          <w:tcPr>
            <w:tcW w:w="7806" w:type="dxa"/>
            <w:shd w:val="clear" w:color="auto" w:fill="auto"/>
            <w:vAlign w:val="center"/>
          </w:tcPr>
          <w:p w14:paraId="5A1C1C88" w14:textId="77777777" w:rsidR="000574D3" w:rsidRPr="003B3DFE" w:rsidRDefault="000574D3" w:rsidP="00777912">
            <w:pPr>
              <w:pStyle w:val="TableText"/>
              <w:widowControl w:val="0"/>
              <w:tabs>
                <w:tab w:val="clear" w:pos="284"/>
                <w:tab w:val="clear" w:pos="567"/>
              </w:tabs>
              <w:ind w:left="434" w:hanging="434"/>
            </w:pPr>
            <w:r w:rsidRPr="003B3DFE">
              <w:fldChar w:fldCharType="begin">
                <w:ffData>
                  <w:name w:val="Check1"/>
                  <w:enabled/>
                  <w:calcOnExit w:val="0"/>
                  <w:checkBox>
                    <w:sizeAuto/>
                    <w:default w:val="0"/>
                  </w:checkBox>
                </w:ffData>
              </w:fldChar>
            </w:r>
            <w:r w:rsidRPr="003B3DFE">
              <w:instrText xml:space="preserve"> FORMCHECKBOX </w:instrText>
            </w:r>
            <w:r w:rsidRPr="003B3DFE">
              <w:fldChar w:fldCharType="separate"/>
            </w:r>
            <w:r w:rsidRPr="003B3DFE">
              <w:fldChar w:fldCharType="end"/>
            </w:r>
            <w:r w:rsidRPr="003B3DFE">
              <w:tab/>
            </w:r>
            <w:r w:rsidRPr="003B3DFE">
              <w:rPr>
                <w:b/>
              </w:rPr>
              <w:t>autorise</w:t>
            </w:r>
            <w:r w:rsidRPr="003B3DFE">
              <w:t xml:space="preserve"> la Commission d'études 17 à procéder à l'examen de ce document en vue de son approbation (dans ce cas, sélectionnez l'une des deux options ⃝):</w:t>
            </w:r>
          </w:p>
          <w:p w14:paraId="037F7EC7" w14:textId="77777777" w:rsidR="000574D3" w:rsidRPr="003B3DFE" w:rsidRDefault="000574D3" w:rsidP="00777912">
            <w:pPr>
              <w:pStyle w:val="TableText"/>
              <w:widowControl w:val="0"/>
              <w:tabs>
                <w:tab w:val="clear" w:pos="284"/>
                <w:tab w:val="clear" w:pos="567"/>
              </w:tabs>
              <w:ind w:left="884" w:right="-117" w:hanging="459"/>
            </w:pPr>
            <w:r w:rsidRPr="003B3DFE">
              <w:t>⃝</w:t>
            </w:r>
            <w:r w:rsidRPr="003B3DFE">
              <w:tab/>
              <w:t>Pas de commentaire ou de proposition de modification</w:t>
            </w:r>
          </w:p>
          <w:p w14:paraId="4D2F44F3" w14:textId="77777777" w:rsidR="000574D3" w:rsidRPr="003B3DFE" w:rsidRDefault="000574D3" w:rsidP="00777912">
            <w:pPr>
              <w:pStyle w:val="TableText"/>
              <w:widowControl w:val="0"/>
              <w:tabs>
                <w:tab w:val="clear" w:pos="284"/>
                <w:tab w:val="clear" w:pos="567"/>
              </w:tabs>
              <w:ind w:left="884" w:right="-117" w:hanging="459"/>
            </w:pPr>
            <w:r w:rsidRPr="003B3DFE">
              <w:t>⃝</w:t>
            </w:r>
            <w:r w:rsidRPr="003B3DFE">
              <w:tab/>
              <w:t>Des commentaires ou propositions de modification sont joints à la présente</w:t>
            </w:r>
          </w:p>
        </w:tc>
      </w:tr>
      <w:tr w:rsidR="000574D3" w:rsidRPr="003B3DFE" w14:paraId="2360DEF4" w14:textId="77777777" w:rsidTr="00A106F9">
        <w:trPr>
          <w:cantSplit/>
          <w:trHeight w:val="747"/>
        </w:trPr>
        <w:tc>
          <w:tcPr>
            <w:tcW w:w="1913" w:type="dxa"/>
            <w:vMerge/>
            <w:shd w:val="clear" w:color="auto" w:fill="auto"/>
            <w:vAlign w:val="center"/>
          </w:tcPr>
          <w:p w14:paraId="08DAD781" w14:textId="77777777" w:rsidR="000574D3" w:rsidRPr="003B3DFE" w:rsidRDefault="000574D3" w:rsidP="00777912">
            <w:pPr>
              <w:pStyle w:val="TableHead"/>
              <w:keepNext w:val="0"/>
              <w:widowControl w:val="0"/>
              <w:rPr>
                <w:rFonts w:cstheme="minorHAnsi"/>
                <w:bCs/>
              </w:rPr>
            </w:pPr>
          </w:p>
        </w:tc>
        <w:tc>
          <w:tcPr>
            <w:tcW w:w="7806" w:type="dxa"/>
            <w:shd w:val="clear" w:color="auto" w:fill="auto"/>
            <w:vAlign w:val="center"/>
          </w:tcPr>
          <w:p w14:paraId="4E8A1BFF" w14:textId="77777777" w:rsidR="000574D3" w:rsidRPr="003B3DFE" w:rsidRDefault="000574D3" w:rsidP="00777912">
            <w:pPr>
              <w:pStyle w:val="TableText"/>
              <w:widowControl w:val="0"/>
              <w:tabs>
                <w:tab w:val="clear" w:pos="284"/>
                <w:tab w:val="clear" w:pos="567"/>
              </w:tabs>
              <w:ind w:left="434" w:hanging="434"/>
              <w:rPr>
                <w:sz w:val="20"/>
              </w:rPr>
            </w:pPr>
            <w:r w:rsidRPr="003B3DFE">
              <w:fldChar w:fldCharType="begin">
                <w:ffData>
                  <w:name w:val="Check1"/>
                  <w:enabled/>
                  <w:calcOnExit w:val="0"/>
                  <w:checkBox>
                    <w:sizeAuto/>
                    <w:default w:val="0"/>
                  </w:checkBox>
                </w:ffData>
              </w:fldChar>
            </w:r>
            <w:r w:rsidRPr="003B3DFE">
              <w:instrText xml:space="preserve"> FORMCHECKBOX </w:instrText>
            </w:r>
            <w:r w:rsidRPr="003B3DFE">
              <w:fldChar w:fldCharType="separate"/>
            </w:r>
            <w:r w:rsidRPr="003B3DFE">
              <w:fldChar w:fldCharType="end"/>
            </w:r>
            <w:r w:rsidRPr="003B3DFE">
              <w:tab/>
            </w:r>
            <w:r w:rsidRPr="003B3DFE">
              <w:rPr>
                <w:b/>
              </w:rPr>
              <w:t>n'autorise pas</w:t>
            </w:r>
            <w:r w:rsidRPr="003B3DFE">
              <w:rPr>
                <w:bCs/>
              </w:rPr>
              <w:t xml:space="preserve"> </w:t>
            </w:r>
            <w:r w:rsidRPr="003B3DFE">
              <w:t>la Commission d'études 17 à procéder à l'examen de ce document en vue de son approbation (les motifs de cette décision et une description des éventuelles modifications qui permettraient la poursuite des travaux sont joints à la présente)</w:t>
            </w:r>
          </w:p>
        </w:tc>
      </w:tr>
      <w:tr w:rsidR="000574D3" w:rsidRPr="003B3DFE" w14:paraId="26489C9B" w14:textId="77777777" w:rsidTr="00A106F9">
        <w:trPr>
          <w:cantSplit/>
          <w:trHeight w:val="747"/>
        </w:trPr>
        <w:tc>
          <w:tcPr>
            <w:tcW w:w="1913" w:type="dxa"/>
            <w:vMerge w:val="restart"/>
            <w:shd w:val="clear" w:color="auto" w:fill="auto"/>
            <w:vAlign w:val="center"/>
          </w:tcPr>
          <w:p w14:paraId="5655FDE5" w14:textId="24304BCE" w:rsidR="000574D3" w:rsidRPr="003B3DFE" w:rsidRDefault="000574D3" w:rsidP="00777912">
            <w:pPr>
              <w:pStyle w:val="TableHead"/>
              <w:keepNext w:val="0"/>
              <w:widowControl w:val="0"/>
              <w:rPr>
                <w:rFonts w:cstheme="minorHAnsi"/>
                <w:bCs/>
              </w:rPr>
            </w:pPr>
            <w:r w:rsidRPr="003B3DFE">
              <w:rPr>
                <w:rFonts w:cstheme="minorHAnsi"/>
                <w:bCs/>
              </w:rPr>
              <w:t>Projet de nouvelle Recommandation UIT-T X.1456</w:t>
            </w:r>
            <w:r w:rsidR="007B532B" w:rsidRPr="003B3DFE">
              <w:rPr>
                <w:rFonts w:cstheme="minorHAnsi"/>
                <w:bCs/>
              </w:rPr>
              <w:br/>
            </w:r>
            <w:r w:rsidRPr="003B3DFE">
              <w:rPr>
                <w:rFonts w:cstheme="minorHAnsi"/>
                <w:bCs/>
              </w:rPr>
              <w:t>(X.sgdfs-us)</w:t>
            </w:r>
          </w:p>
        </w:tc>
        <w:tc>
          <w:tcPr>
            <w:tcW w:w="7806" w:type="dxa"/>
            <w:shd w:val="clear" w:color="auto" w:fill="auto"/>
            <w:vAlign w:val="center"/>
          </w:tcPr>
          <w:p w14:paraId="3BFA306E" w14:textId="77777777" w:rsidR="000574D3" w:rsidRPr="003B3DFE" w:rsidRDefault="000574D3" w:rsidP="00777912">
            <w:pPr>
              <w:pStyle w:val="TableText"/>
              <w:widowControl w:val="0"/>
              <w:tabs>
                <w:tab w:val="clear" w:pos="284"/>
                <w:tab w:val="clear" w:pos="567"/>
              </w:tabs>
              <w:ind w:left="434" w:hanging="434"/>
            </w:pPr>
            <w:r w:rsidRPr="003B3DFE">
              <w:fldChar w:fldCharType="begin">
                <w:ffData>
                  <w:name w:val="Check1"/>
                  <w:enabled/>
                  <w:calcOnExit w:val="0"/>
                  <w:checkBox>
                    <w:sizeAuto/>
                    <w:default w:val="0"/>
                  </w:checkBox>
                </w:ffData>
              </w:fldChar>
            </w:r>
            <w:r w:rsidRPr="003B3DFE">
              <w:instrText xml:space="preserve"> FORMCHECKBOX </w:instrText>
            </w:r>
            <w:r w:rsidRPr="003B3DFE">
              <w:fldChar w:fldCharType="separate"/>
            </w:r>
            <w:r w:rsidRPr="003B3DFE">
              <w:fldChar w:fldCharType="end"/>
            </w:r>
            <w:r w:rsidRPr="003B3DFE">
              <w:tab/>
            </w:r>
            <w:r w:rsidRPr="003B3DFE">
              <w:rPr>
                <w:b/>
                <w:bCs/>
              </w:rPr>
              <w:t>autorise</w:t>
            </w:r>
            <w:r w:rsidRPr="003B3DFE">
              <w:rPr>
                <w:bCs/>
              </w:rPr>
              <w:t xml:space="preserve"> </w:t>
            </w:r>
            <w:r w:rsidRPr="003B3DFE">
              <w:t>la Commission d'études 17 à procéder à l'examen de ce document en vue de son approbation (dans ce cas, sélectionnez l'une des deux options ⃝):</w:t>
            </w:r>
          </w:p>
          <w:p w14:paraId="0820B791" w14:textId="77777777" w:rsidR="000574D3" w:rsidRPr="003B3DFE" w:rsidRDefault="000574D3" w:rsidP="00777912">
            <w:pPr>
              <w:pStyle w:val="TableText"/>
              <w:widowControl w:val="0"/>
              <w:tabs>
                <w:tab w:val="clear" w:pos="284"/>
                <w:tab w:val="clear" w:pos="567"/>
              </w:tabs>
              <w:ind w:left="884" w:right="-117" w:hanging="459"/>
            </w:pPr>
            <w:r w:rsidRPr="003B3DFE">
              <w:t>⃝</w:t>
            </w:r>
            <w:r w:rsidRPr="003B3DFE">
              <w:tab/>
              <w:t>Pas de commentaire ou de proposition de modification</w:t>
            </w:r>
          </w:p>
          <w:p w14:paraId="6A2EF3B7" w14:textId="77777777" w:rsidR="000574D3" w:rsidRPr="003B3DFE" w:rsidRDefault="000574D3" w:rsidP="00777912">
            <w:pPr>
              <w:pStyle w:val="TableText"/>
              <w:widowControl w:val="0"/>
              <w:tabs>
                <w:tab w:val="clear" w:pos="284"/>
                <w:tab w:val="clear" w:pos="567"/>
              </w:tabs>
              <w:ind w:left="884" w:right="-117" w:hanging="459"/>
              <w:rPr>
                <w:szCs w:val="22"/>
              </w:rPr>
            </w:pPr>
            <w:r w:rsidRPr="003B3DFE">
              <w:t>⃝</w:t>
            </w:r>
            <w:r w:rsidRPr="003B3DFE">
              <w:tab/>
              <w:t>Des commentaires ou propositions de modification sont joints à la présente</w:t>
            </w:r>
          </w:p>
        </w:tc>
      </w:tr>
      <w:tr w:rsidR="000574D3" w:rsidRPr="003B3DFE" w14:paraId="3765F791" w14:textId="77777777" w:rsidTr="00A106F9">
        <w:trPr>
          <w:cantSplit/>
          <w:trHeight w:val="747"/>
        </w:trPr>
        <w:tc>
          <w:tcPr>
            <w:tcW w:w="1913" w:type="dxa"/>
            <w:vMerge/>
            <w:shd w:val="clear" w:color="auto" w:fill="auto"/>
            <w:vAlign w:val="center"/>
          </w:tcPr>
          <w:p w14:paraId="4AACBA14" w14:textId="77777777" w:rsidR="000574D3" w:rsidRPr="003B3DFE" w:rsidRDefault="000574D3" w:rsidP="00777912">
            <w:pPr>
              <w:pStyle w:val="TableHead"/>
              <w:keepNext w:val="0"/>
              <w:widowControl w:val="0"/>
              <w:rPr>
                <w:rFonts w:cstheme="minorHAnsi"/>
                <w:bCs/>
              </w:rPr>
            </w:pPr>
          </w:p>
        </w:tc>
        <w:tc>
          <w:tcPr>
            <w:tcW w:w="7806" w:type="dxa"/>
            <w:shd w:val="clear" w:color="auto" w:fill="auto"/>
            <w:vAlign w:val="center"/>
          </w:tcPr>
          <w:p w14:paraId="5F6B6DF3" w14:textId="77777777" w:rsidR="000574D3" w:rsidRPr="003B3DFE" w:rsidRDefault="000574D3" w:rsidP="00777912">
            <w:pPr>
              <w:pStyle w:val="TableText"/>
              <w:widowControl w:val="0"/>
              <w:tabs>
                <w:tab w:val="clear" w:pos="284"/>
                <w:tab w:val="clear" w:pos="567"/>
              </w:tabs>
              <w:ind w:left="434" w:hanging="434"/>
              <w:rPr>
                <w:szCs w:val="22"/>
              </w:rPr>
            </w:pPr>
            <w:r w:rsidRPr="003B3DFE">
              <w:fldChar w:fldCharType="begin">
                <w:ffData>
                  <w:name w:val="Check1"/>
                  <w:enabled/>
                  <w:calcOnExit w:val="0"/>
                  <w:checkBox>
                    <w:sizeAuto/>
                    <w:default w:val="0"/>
                  </w:checkBox>
                </w:ffData>
              </w:fldChar>
            </w:r>
            <w:r w:rsidRPr="003B3DFE">
              <w:instrText xml:space="preserve"> FORMCHECKBOX </w:instrText>
            </w:r>
            <w:r w:rsidRPr="003B3DFE">
              <w:fldChar w:fldCharType="separate"/>
            </w:r>
            <w:r w:rsidRPr="003B3DFE">
              <w:fldChar w:fldCharType="end"/>
            </w:r>
            <w:r w:rsidRPr="003B3DFE">
              <w:tab/>
            </w:r>
            <w:r w:rsidRPr="003B3DFE">
              <w:rPr>
                <w:b/>
              </w:rPr>
              <w:t>n'autorise pas</w:t>
            </w:r>
            <w:r w:rsidRPr="003B3DFE">
              <w:rPr>
                <w:bCs/>
              </w:rPr>
              <w:t xml:space="preserve"> </w:t>
            </w:r>
            <w:r w:rsidRPr="003B3DFE">
              <w:t>la Commission d'études 17 à procéder à l'examen de ce document en vue de son approbation (les motifs de cette décision et une description des éventuelles modifications qui permettraient la poursuite des travaux sont joints à la présente)</w:t>
            </w:r>
          </w:p>
        </w:tc>
      </w:tr>
      <w:tr w:rsidR="000574D3" w:rsidRPr="003B3DFE" w14:paraId="3271F3C1" w14:textId="77777777" w:rsidTr="00A106F9">
        <w:trPr>
          <w:cantSplit/>
          <w:trHeight w:val="747"/>
        </w:trPr>
        <w:tc>
          <w:tcPr>
            <w:tcW w:w="1913" w:type="dxa"/>
            <w:vMerge w:val="restart"/>
            <w:shd w:val="clear" w:color="auto" w:fill="auto"/>
            <w:vAlign w:val="center"/>
          </w:tcPr>
          <w:p w14:paraId="5DD74BEB" w14:textId="7CAE2482" w:rsidR="000574D3" w:rsidRPr="003B3DFE" w:rsidRDefault="000574D3" w:rsidP="00777912">
            <w:pPr>
              <w:pStyle w:val="TableHead"/>
              <w:keepNext w:val="0"/>
              <w:widowControl w:val="0"/>
              <w:rPr>
                <w:rFonts w:cstheme="minorHAnsi"/>
                <w:bCs/>
              </w:rPr>
            </w:pPr>
            <w:r w:rsidRPr="003B3DFE">
              <w:rPr>
                <w:rFonts w:cstheme="minorHAnsi"/>
                <w:bCs/>
              </w:rPr>
              <w:t>Projet de nouvelle Recommandation UIT-T X.1648</w:t>
            </w:r>
            <w:r w:rsidR="007B532B" w:rsidRPr="003B3DFE">
              <w:rPr>
                <w:rFonts w:cstheme="minorHAnsi"/>
                <w:bCs/>
              </w:rPr>
              <w:br/>
            </w:r>
            <w:r w:rsidRPr="003B3DFE">
              <w:rPr>
                <w:rFonts w:cstheme="minorHAnsi"/>
                <w:bCs/>
              </w:rPr>
              <w:t>(X.gecds)</w:t>
            </w:r>
          </w:p>
        </w:tc>
        <w:tc>
          <w:tcPr>
            <w:tcW w:w="7806" w:type="dxa"/>
            <w:shd w:val="clear" w:color="auto" w:fill="auto"/>
            <w:vAlign w:val="center"/>
          </w:tcPr>
          <w:p w14:paraId="278852D6" w14:textId="77777777" w:rsidR="000574D3" w:rsidRPr="003B3DFE" w:rsidRDefault="000574D3" w:rsidP="00777912">
            <w:pPr>
              <w:pStyle w:val="TableText"/>
              <w:widowControl w:val="0"/>
              <w:tabs>
                <w:tab w:val="clear" w:pos="284"/>
                <w:tab w:val="clear" w:pos="567"/>
              </w:tabs>
              <w:ind w:left="434" w:hanging="434"/>
              <w:rPr>
                <w:rFonts w:cstheme="minorHAnsi"/>
              </w:rPr>
            </w:pPr>
            <w:r w:rsidRPr="003B3DFE">
              <w:rPr>
                <w:rFonts w:cstheme="minorHAnsi"/>
              </w:rPr>
              <w:fldChar w:fldCharType="begin">
                <w:ffData>
                  <w:name w:val="Check1"/>
                  <w:enabled/>
                  <w:calcOnExit w:val="0"/>
                  <w:checkBox>
                    <w:sizeAuto/>
                    <w:default w:val="0"/>
                  </w:checkBox>
                </w:ffData>
              </w:fldChar>
            </w:r>
            <w:r w:rsidRPr="003B3DFE">
              <w:rPr>
                <w:rFonts w:cstheme="minorHAnsi"/>
              </w:rPr>
              <w:instrText xml:space="preserve"> FORMCHECKBOX </w:instrText>
            </w:r>
            <w:r w:rsidRPr="003B3DFE">
              <w:rPr>
                <w:rFonts w:cstheme="minorHAnsi"/>
              </w:rPr>
            </w:r>
            <w:r w:rsidRPr="003B3DFE">
              <w:rPr>
                <w:rFonts w:cstheme="minorHAnsi"/>
              </w:rPr>
              <w:fldChar w:fldCharType="separate"/>
            </w:r>
            <w:r w:rsidRPr="003B3DFE">
              <w:rPr>
                <w:rFonts w:cstheme="minorHAnsi"/>
              </w:rPr>
              <w:fldChar w:fldCharType="end"/>
            </w:r>
            <w:r w:rsidRPr="003B3DFE">
              <w:rPr>
                <w:rFonts w:cstheme="minorHAnsi"/>
              </w:rPr>
              <w:tab/>
            </w:r>
            <w:r w:rsidRPr="003B3DFE">
              <w:rPr>
                <w:rFonts w:cstheme="minorHAnsi"/>
                <w:b/>
              </w:rPr>
              <w:t>autorise</w:t>
            </w:r>
            <w:r w:rsidRPr="003B3DFE">
              <w:rPr>
                <w:rFonts w:cstheme="minorHAnsi"/>
                <w:bCs/>
              </w:rPr>
              <w:t xml:space="preserve"> </w:t>
            </w:r>
            <w:r w:rsidRPr="003B3DFE">
              <w:rPr>
                <w:rFonts w:cstheme="minorHAnsi"/>
              </w:rPr>
              <w:t xml:space="preserve">la Commission d'études 17 à procéder à l'examen de ce document en vue de </w:t>
            </w:r>
            <w:r w:rsidRPr="003B3DFE">
              <w:t>son</w:t>
            </w:r>
            <w:r w:rsidRPr="003B3DFE">
              <w:rPr>
                <w:rFonts w:cstheme="minorHAnsi"/>
              </w:rPr>
              <w:t xml:space="preserve"> approbation (dans ce cas, sélectionnez l'une des deux options ⃝):</w:t>
            </w:r>
          </w:p>
          <w:p w14:paraId="33DE94C4" w14:textId="77777777" w:rsidR="000574D3" w:rsidRPr="003B3DFE" w:rsidRDefault="000574D3" w:rsidP="00777912">
            <w:pPr>
              <w:pStyle w:val="TableText"/>
              <w:widowControl w:val="0"/>
              <w:tabs>
                <w:tab w:val="clear" w:pos="284"/>
                <w:tab w:val="clear" w:pos="567"/>
              </w:tabs>
              <w:ind w:left="884" w:right="-117" w:hanging="459"/>
              <w:rPr>
                <w:rFonts w:cstheme="minorHAnsi"/>
              </w:rPr>
            </w:pPr>
            <w:r w:rsidRPr="003B3DFE">
              <w:rPr>
                <w:rFonts w:cstheme="minorHAnsi"/>
              </w:rPr>
              <w:t>⃝</w:t>
            </w:r>
            <w:r w:rsidRPr="003B3DFE">
              <w:rPr>
                <w:rFonts w:cstheme="minorHAnsi"/>
              </w:rPr>
              <w:tab/>
              <w:t>Pas de commentaire ou de proposition de modification</w:t>
            </w:r>
          </w:p>
          <w:p w14:paraId="7CFDDF71" w14:textId="77777777" w:rsidR="000574D3" w:rsidRPr="003B3DFE" w:rsidRDefault="000574D3" w:rsidP="00777912">
            <w:pPr>
              <w:pStyle w:val="TableText"/>
              <w:widowControl w:val="0"/>
              <w:tabs>
                <w:tab w:val="clear" w:pos="284"/>
                <w:tab w:val="clear" w:pos="567"/>
              </w:tabs>
              <w:ind w:left="884" w:right="-117" w:hanging="459"/>
              <w:rPr>
                <w:rFonts w:cstheme="minorHAnsi"/>
                <w:szCs w:val="22"/>
              </w:rPr>
            </w:pPr>
            <w:r w:rsidRPr="003B3DFE">
              <w:rPr>
                <w:rFonts w:cstheme="minorHAnsi"/>
              </w:rPr>
              <w:t>⃝</w:t>
            </w:r>
            <w:r w:rsidRPr="003B3DFE">
              <w:rPr>
                <w:rFonts w:cstheme="minorHAnsi"/>
              </w:rPr>
              <w:tab/>
              <w:t>Des commentaires ou propositions de modification sont joints à la présente</w:t>
            </w:r>
          </w:p>
        </w:tc>
      </w:tr>
      <w:tr w:rsidR="000574D3" w:rsidRPr="003B3DFE" w14:paraId="3F796CD1" w14:textId="77777777" w:rsidTr="00A106F9">
        <w:trPr>
          <w:cantSplit/>
          <w:trHeight w:val="747"/>
        </w:trPr>
        <w:tc>
          <w:tcPr>
            <w:tcW w:w="1913" w:type="dxa"/>
            <w:vMerge/>
            <w:shd w:val="clear" w:color="auto" w:fill="auto"/>
            <w:vAlign w:val="center"/>
          </w:tcPr>
          <w:p w14:paraId="58A0F6C6" w14:textId="77777777" w:rsidR="000574D3" w:rsidRPr="003B3DFE" w:rsidRDefault="000574D3" w:rsidP="00777912">
            <w:pPr>
              <w:pStyle w:val="TableHead"/>
              <w:keepNext w:val="0"/>
              <w:widowControl w:val="0"/>
              <w:rPr>
                <w:rFonts w:cstheme="minorHAnsi"/>
                <w:bCs/>
              </w:rPr>
            </w:pPr>
          </w:p>
        </w:tc>
        <w:tc>
          <w:tcPr>
            <w:tcW w:w="7806" w:type="dxa"/>
            <w:shd w:val="clear" w:color="auto" w:fill="auto"/>
            <w:vAlign w:val="center"/>
          </w:tcPr>
          <w:p w14:paraId="3227E498" w14:textId="77777777" w:rsidR="000574D3" w:rsidRPr="003B3DFE" w:rsidRDefault="000574D3" w:rsidP="00777912">
            <w:pPr>
              <w:pStyle w:val="TableText"/>
              <w:widowControl w:val="0"/>
              <w:tabs>
                <w:tab w:val="clear" w:pos="284"/>
                <w:tab w:val="clear" w:pos="567"/>
              </w:tabs>
              <w:ind w:left="434" w:hanging="434"/>
              <w:rPr>
                <w:rFonts w:cstheme="minorHAnsi"/>
                <w:szCs w:val="22"/>
              </w:rPr>
            </w:pPr>
            <w:r w:rsidRPr="003B3DFE">
              <w:rPr>
                <w:rFonts w:cstheme="minorHAnsi"/>
              </w:rPr>
              <w:fldChar w:fldCharType="begin">
                <w:ffData>
                  <w:name w:val="Check1"/>
                  <w:enabled/>
                  <w:calcOnExit w:val="0"/>
                  <w:checkBox>
                    <w:sizeAuto/>
                    <w:default w:val="0"/>
                  </w:checkBox>
                </w:ffData>
              </w:fldChar>
            </w:r>
            <w:r w:rsidRPr="003B3DFE">
              <w:rPr>
                <w:rFonts w:cstheme="minorHAnsi"/>
              </w:rPr>
              <w:instrText xml:space="preserve"> FORMCHECKBOX </w:instrText>
            </w:r>
            <w:r w:rsidRPr="003B3DFE">
              <w:rPr>
                <w:rFonts w:cstheme="minorHAnsi"/>
              </w:rPr>
            </w:r>
            <w:r w:rsidRPr="003B3DFE">
              <w:rPr>
                <w:rFonts w:cstheme="minorHAnsi"/>
              </w:rPr>
              <w:fldChar w:fldCharType="separate"/>
            </w:r>
            <w:r w:rsidRPr="003B3DFE">
              <w:rPr>
                <w:rFonts w:cstheme="minorHAnsi"/>
              </w:rPr>
              <w:fldChar w:fldCharType="end"/>
            </w:r>
            <w:r w:rsidRPr="003B3DFE">
              <w:rPr>
                <w:rFonts w:cstheme="minorHAnsi"/>
              </w:rPr>
              <w:tab/>
            </w:r>
            <w:r w:rsidRPr="003B3DFE">
              <w:rPr>
                <w:rFonts w:cstheme="minorHAnsi"/>
                <w:b/>
              </w:rPr>
              <w:t>n'autorise pas</w:t>
            </w:r>
            <w:r w:rsidRPr="003B3DFE">
              <w:rPr>
                <w:rFonts w:cstheme="minorHAnsi"/>
                <w:bCs/>
              </w:rPr>
              <w:t xml:space="preserve"> </w:t>
            </w:r>
            <w:r w:rsidRPr="003B3DFE">
              <w:rPr>
                <w:rFonts w:cstheme="minorHAnsi"/>
              </w:rPr>
              <w:t xml:space="preserve">la Commission d'études 17 à procéder à l'examen de ce </w:t>
            </w:r>
            <w:r w:rsidRPr="003B3DFE">
              <w:t>document</w:t>
            </w:r>
            <w:r w:rsidRPr="003B3DFE">
              <w:rPr>
                <w:rFonts w:cstheme="minorHAnsi"/>
              </w:rPr>
              <w:t xml:space="preserve"> en vue de son approbation (les motifs de cette décision et une description des éventuelles modifications qui permettraient la poursuite des travaux sont joints à la présente)</w:t>
            </w:r>
          </w:p>
        </w:tc>
      </w:tr>
      <w:tr w:rsidR="000574D3" w:rsidRPr="003B3DFE" w14:paraId="16059830" w14:textId="77777777" w:rsidTr="00A106F9">
        <w:trPr>
          <w:cantSplit/>
          <w:trHeight w:val="357"/>
        </w:trPr>
        <w:tc>
          <w:tcPr>
            <w:tcW w:w="1913" w:type="dxa"/>
            <w:vMerge w:val="restart"/>
            <w:shd w:val="clear" w:color="auto" w:fill="auto"/>
            <w:vAlign w:val="center"/>
          </w:tcPr>
          <w:p w14:paraId="30506059" w14:textId="1A2C78B1" w:rsidR="000574D3" w:rsidRPr="003B3DFE" w:rsidRDefault="000574D3" w:rsidP="00777912">
            <w:pPr>
              <w:pStyle w:val="TableHead"/>
              <w:keepNext w:val="0"/>
              <w:widowControl w:val="0"/>
              <w:rPr>
                <w:rFonts w:cstheme="minorHAnsi"/>
                <w:bCs/>
              </w:rPr>
            </w:pPr>
            <w:r w:rsidRPr="003B3DFE">
              <w:rPr>
                <w:rFonts w:cstheme="minorHAnsi"/>
                <w:bCs/>
              </w:rPr>
              <w:lastRenderedPageBreak/>
              <w:t>Projet de nouvelle Recommandation UIT-T X.1284</w:t>
            </w:r>
            <w:r w:rsidR="007B532B" w:rsidRPr="003B3DFE">
              <w:rPr>
                <w:rFonts w:cstheme="minorHAnsi"/>
                <w:bCs/>
              </w:rPr>
              <w:br/>
            </w:r>
            <w:r w:rsidRPr="003B3DFE">
              <w:rPr>
                <w:rFonts w:cstheme="minorHAnsi"/>
                <w:bCs/>
              </w:rPr>
              <w:t>(X.afotak)</w:t>
            </w:r>
          </w:p>
        </w:tc>
        <w:tc>
          <w:tcPr>
            <w:tcW w:w="7806" w:type="dxa"/>
            <w:shd w:val="clear" w:color="auto" w:fill="auto"/>
            <w:vAlign w:val="center"/>
          </w:tcPr>
          <w:p w14:paraId="168D08AE" w14:textId="77777777" w:rsidR="000574D3" w:rsidRPr="003B3DFE" w:rsidRDefault="000574D3" w:rsidP="00777912">
            <w:pPr>
              <w:pStyle w:val="TableText"/>
              <w:widowControl w:val="0"/>
              <w:tabs>
                <w:tab w:val="clear" w:pos="284"/>
                <w:tab w:val="clear" w:pos="567"/>
              </w:tabs>
              <w:ind w:left="434" w:hanging="434"/>
            </w:pPr>
            <w:r w:rsidRPr="003B3DFE">
              <w:fldChar w:fldCharType="begin">
                <w:ffData>
                  <w:name w:val="Check1"/>
                  <w:enabled/>
                  <w:calcOnExit w:val="0"/>
                  <w:checkBox>
                    <w:sizeAuto/>
                    <w:default w:val="0"/>
                  </w:checkBox>
                </w:ffData>
              </w:fldChar>
            </w:r>
            <w:r w:rsidRPr="003B3DFE">
              <w:instrText xml:space="preserve"> FORMCHECKBOX </w:instrText>
            </w:r>
            <w:r w:rsidRPr="003B3DFE">
              <w:fldChar w:fldCharType="separate"/>
            </w:r>
            <w:r w:rsidRPr="003B3DFE">
              <w:fldChar w:fldCharType="end"/>
            </w:r>
            <w:r w:rsidRPr="003B3DFE">
              <w:tab/>
            </w:r>
            <w:r w:rsidRPr="003B3DFE">
              <w:rPr>
                <w:b/>
                <w:bCs/>
              </w:rPr>
              <w:t xml:space="preserve">autorise </w:t>
            </w:r>
            <w:r w:rsidRPr="003B3DFE">
              <w:t>la Commission d'études 17 à procéder à l'examen de ce document en vue de son approbation (dans ce cas, sélectionnez l'une des deux options ⃝):</w:t>
            </w:r>
          </w:p>
          <w:p w14:paraId="3B92C697" w14:textId="77777777" w:rsidR="000574D3" w:rsidRPr="003B3DFE" w:rsidRDefault="000574D3" w:rsidP="00777912">
            <w:pPr>
              <w:pStyle w:val="TableText"/>
              <w:widowControl w:val="0"/>
              <w:tabs>
                <w:tab w:val="clear" w:pos="284"/>
                <w:tab w:val="clear" w:pos="567"/>
              </w:tabs>
              <w:ind w:left="884" w:right="-117" w:hanging="459"/>
              <w:rPr>
                <w:rFonts w:cstheme="minorHAnsi"/>
              </w:rPr>
            </w:pPr>
            <w:r w:rsidRPr="003B3DFE">
              <w:t>⃝</w:t>
            </w:r>
            <w:r w:rsidRPr="003B3DFE">
              <w:rPr>
                <w:rFonts w:cstheme="minorHAnsi"/>
              </w:rPr>
              <w:tab/>
              <w:t>Pas de commentaire ou de proposition de modification</w:t>
            </w:r>
          </w:p>
          <w:p w14:paraId="08D95E5C" w14:textId="77777777" w:rsidR="000574D3" w:rsidRPr="003B3DFE" w:rsidRDefault="000574D3" w:rsidP="00777912">
            <w:pPr>
              <w:pStyle w:val="TableText"/>
              <w:widowControl w:val="0"/>
              <w:tabs>
                <w:tab w:val="clear" w:pos="284"/>
                <w:tab w:val="clear" w:pos="567"/>
              </w:tabs>
              <w:ind w:left="884" w:right="-117" w:hanging="459"/>
            </w:pPr>
            <w:r w:rsidRPr="003B3DFE">
              <w:rPr>
                <w:rFonts w:cstheme="minorHAnsi"/>
              </w:rPr>
              <w:t>⃝</w:t>
            </w:r>
            <w:r w:rsidRPr="003B3DFE">
              <w:rPr>
                <w:rFonts w:cstheme="minorHAnsi"/>
              </w:rPr>
              <w:tab/>
              <w:t>Des commentaires</w:t>
            </w:r>
            <w:r w:rsidRPr="003B3DFE">
              <w:t xml:space="preserve"> ou propositions de modification sont joints à la présente</w:t>
            </w:r>
          </w:p>
        </w:tc>
      </w:tr>
      <w:tr w:rsidR="000574D3" w:rsidRPr="003B3DFE" w14:paraId="5F7E4D3F" w14:textId="77777777" w:rsidTr="00A106F9">
        <w:trPr>
          <w:cantSplit/>
          <w:trHeight w:val="380"/>
        </w:trPr>
        <w:tc>
          <w:tcPr>
            <w:tcW w:w="1913" w:type="dxa"/>
            <w:vMerge/>
            <w:shd w:val="clear" w:color="auto" w:fill="auto"/>
          </w:tcPr>
          <w:p w14:paraId="6FAC15B8" w14:textId="77777777" w:rsidR="000574D3" w:rsidRPr="003B3DFE" w:rsidRDefault="000574D3" w:rsidP="00777912">
            <w:pPr>
              <w:pStyle w:val="TableHead"/>
              <w:keepNext w:val="0"/>
              <w:widowControl w:val="0"/>
              <w:rPr>
                <w:rFonts w:cstheme="minorHAnsi"/>
                <w:bCs/>
              </w:rPr>
            </w:pPr>
          </w:p>
        </w:tc>
        <w:tc>
          <w:tcPr>
            <w:tcW w:w="7806" w:type="dxa"/>
            <w:shd w:val="clear" w:color="auto" w:fill="auto"/>
            <w:vAlign w:val="center"/>
          </w:tcPr>
          <w:p w14:paraId="37CA1B19" w14:textId="77777777" w:rsidR="000574D3" w:rsidRPr="003B3DFE" w:rsidRDefault="000574D3" w:rsidP="00777912">
            <w:pPr>
              <w:pStyle w:val="TableText"/>
              <w:widowControl w:val="0"/>
              <w:tabs>
                <w:tab w:val="clear" w:pos="284"/>
                <w:tab w:val="clear" w:pos="567"/>
              </w:tabs>
              <w:ind w:left="434" w:hanging="434"/>
            </w:pPr>
            <w:r w:rsidRPr="003B3DFE">
              <w:fldChar w:fldCharType="begin">
                <w:ffData>
                  <w:name w:val="Check1"/>
                  <w:enabled/>
                  <w:calcOnExit w:val="0"/>
                  <w:checkBox>
                    <w:sizeAuto/>
                    <w:default w:val="0"/>
                  </w:checkBox>
                </w:ffData>
              </w:fldChar>
            </w:r>
            <w:r w:rsidRPr="003B3DFE">
              <w:instrText xml:space="preserve"> FORMCHECKBOX </w:instrText>
            </w:r>
            <w:r w:rsidRPr="003B3DFE">
              <w:fldChar w:fldCharType="separate"/>
            </w:r>
            <w:r w:rsidRPr="003B3DFE">
              <w:fldChar w:fldCharType="end"/>
            </w:r>
            <w:r w:rsidRPr="003B3DFE">
              <w:tab/>
            </w:r>
            <w:r w:rsidRPr="003B3DFE">
              <w:rPr>
                <w:b/>
                <w:bCs/>
              </w:rPr>
              <w:t>n'autorise pas</w:t>
            </w:r>
            <w:r w:rsidRPr="003B3DFE">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0574D3" w:rsidRPr="003B3DFE" w14:paraId="79E66FCB" w14:textId="77777777" w:rsidTr="00A106F9">
        <w:trPr>
          <w:cantSplit/>
          <w:trHeight w:val="368"/>
        </w:trPr>
        <w:tc>
          <w:tcPr>
            <w:tcW w:w="1913" w:type="dxa"/>
            <w:vMerge w:val="restart"/>
            <w:shd w:val="clear" w:color="auto" w:fill="auto"/>
            <w:vAlign w:val="center"/>
          </w:tcPr>
          <w:p w14:paraId="0B664873" w14:textId="3750CF36" w:rsidR="000574D3" w:rsidRPr="003B3DFE" w:rsidRDefault="000574D3" w:rsidP="00777912">
            <w:pPr>
              <w:pStyle w:val="TableHead"/>
              <w:keepNext w:val="0"/>
              <w:widowControl w:val="0"/>
              <w:rPr>
                <w:rFonts w:cstheme="minorHAnsi"/>
                <w:bCs/>
              </w:rPr>
            </w:pPr>
            <w:r w:rsidRPr="003B3DFE">
              <w:rPr>
                <w:rFonts w:cstheme="minorHAnsi"/>
                <w:bCs/>
              </w:rPr>
              <w:t>Projet de nouvelle Recommandation UIT-T X.1385</w:t>
            </w:r>
            <w:r w:rsidR="007B532B" w:rsidRPr="003B3DFE">
              <w:rPr>
                <w:rFonts w:cstheme="minorHAnsi"/>
                <w:bCs/>
              </w:rPr>
              <w:br/>
            </w:r>
            <w:r w:rsidRPr="003B3DFE">
              <w:rPr>
                <w:rFonts w:cstheme="minorHAnsi"/>
                <w:bCs/>
              </w:rPr>
              <w:t>(X.evtol-sec)</w:t>
            </w:r>
          </w:p>
        </w:tc>
        <w:tc>
          <w:tcPr>
            <w:tcW w:w="7806" w:type="dxa"/>
            <w:shd w:val="clear" w:color="auto" w:fill="auto"/>
            <w:vAlign w:val="center"/>
          </w:tcPr>
          <w:p w14:paraId="6DF62018" w14:textId="77777777" w:rsidR="000574D3" w:rsidRPr="003B3DFE" w:rsidRDefault="000574D3" w:rsidP="00777912">
            <w:pPr>
              <w:pStyle w:val="TableText"/>
              <w:widowControl w:val="0"/>
              <w:tabs>
                <w:tab w:val="clear" w:pos="284"/>
                <w:tab w:val="clear" w:pos="567"/>
              </w:tabs>
              <w:ind w:left="434" w:hanging="434"/>
            </w:pPr>
            <w:r w:rsidRPr="003B3DFE">
              <w:fldChar w:fldCharType="begin">
                <w:ffData>
                  <w:name w:val="Check1"/>
                  <w:enabled/>
                  <w:calcOnExit w:val="0"/>
                  <w:checkBox>
                    <w:sizeAuto/>
                    <w:default w:val="0"/>
                  </w:checkBox>
                </w:ffData>
              </w:fldChar>
            </w:r>
            <w:r w:rsidRPr="003B3DFE">
              <w:instrText xml:space="preserve"> FORMCHECKBOX </w:instrText>
            </w:r>
            <w:r w:rsidRPr="003B3DFE">
              <w:fldChar w:fldCharType="separate"/>
            </w:r>
            <w:r w:rsidRPr="003B3DFE">
              <w:fldChar w:fldCharType="end"/>
            </w:r>
            <w:r w:rsidRPr="003B3DFE">
              <w:tab/>
            </w:r>
            <w:r w:rsidRPr="003B3DFE">
              <w:rPr>
                <w:b/>
                <w:bCs/>
              </w:rPr>
              <w:t>autorise</w:t>
            </w:r>
            <w:r w:rsidRPr="003B3DFE">
              <w:t xml:space="preserve"> la Commission d'études 17 à procéder à l'examen de ce document en vue de son approbation (dans ce cas, sélectionnez l'une des deux options ⃝):</w:t>
            </w:r>
          </w:p>
          <w:p w14:paraId="163A1B07" w14:textId="77777777" w:rsidR="000574D3" w:rsidRPr="003B3DFE" w:rsidRDefault="000574D3" w:rsidP="00777912">
            <w:pPr>
              <w:pStyle w:val="TableText"/>
              <w:widowControl w:val="0"/>
              <w:tabs>
                <w:tab w:val="clear" w:pos="284"/>
                <w:tab w:val="clear" w:pos="567"/>
              </w:tabs>
              <w:ind w:left="884" w:right="-117" w:hanging="459"/>
              <w:rPr>
                <w:rFonts w:cstheme="minorHAnsi"/>
              </w:rPr>
            </w:pPr>
            <w:r w:rsidRPr="003B3DFE">
              <w:t>⃝</w:t>
            </w:r>
            <w:r w:rsidRPr="003B3DFE">
              <w:tab/>
            </w:r>
            <w:r w:rsidRPr="003B3DFE">
              <w:rPr>
                <w:rFonts w:cstheme="minorHAnsi"/>
              </w:rPr>
              <w:t>Pas de commentaire ou de proposition de modification</w:t>
            </w:r>
          </w:p>
          <w:p w14:paraId="4E2B9B02" w14:textId="273378CE" w:rsidR="000574D3" w:rsidRPr="003B3DFE" w:rsidRDefault="000574D3" w:rsidP="00777912">
            <w:pPr>
              <w:pStyle w:val="TableText"/>
              <w:widowControl w:val="0"/>
              <w:tabs>
                <w:tab w:val="clear" w:pos="284"/>
                <w:tab w:val="clear" w:pos="567"/>
              </w:tabs>
              <w:ind w:left="884" w:right="-117" w:hanging="459"/>
            </w:pPr>
            <w:r w:rsidRPr="003B3DFE">
              <w:rPr>
                <w:rFonts w:cstheme="minorHAnsi"/>
              </w:rPr>
              <w:t>⃝</w:t>
            </w:r>
            <w:r w:rsidRPr="003B3DFE">
              <w:rPr>
                <w:rFonts w:cstheme="minorHAnsi"/>
              </w:rPr>
              <w:tab/>
              <w:t>Des</w:t>
            </w:r>
            <w:r w:rsidRPr="003B3DFE">
              <w:t xml:space="preserve"> commentaires ou propositions de modification sont joints à la présente</w:t>
            </w:r>
          </w:p>
        </w:tc>
      </w:tr>
      <w:tr w:rsidR="000574D3" w:rsidRPr="003B3DFE" w14:paraId="78188FB0" w14:textId="77777777" w:rsidTr="00A106F9">
        <w:trPr>
          <w:cantSplit/>
          <w:trHeight w:val="380"/>
        </w:trPr>
        <w:tc>
          <w:tcPr>
            <w:tcW w:w="1913" w:type="dxa"/>
            <w:vMerge/>
            <w:shd w:val="clear" w:color="auto" w:fill="auto"/>
          </w:tcPr>
          <w:p w14:paraId="185BB74F" w14:textId="77777777" w:rsidR="000574D3" w:rsidRPr="003B3DFE" w:rsidRDefault="000574D3" w:rsidP="00777912">
            <w:pPr>
              <w:pStyle w:val="TableHead"/>
              <w:keepNext w:val="0"/>
              <w:widowControl w:val="0"/>
              <w:rPr>
                <w:rFonts w:cstheme="minorHAnsi"/>
                <w:bCs/>
              </w:rPr>
            </w:pPr>
          </w:p>
        </w:tc>
        <w:tc>
          <w:tcPr>
            <w:tcW w:w="7806" w:type="dxa"/>
            <w:shd w:val="clear" w:color="auto" w:fill="auto"/>
            <w:vAlign w:val="center"/>
          </w:tcPr>
          <w:p w14:paraId="11940F38" w14:textId="77777777" w:rsidR="000574D3" w:rsidRPr="003B3DFE" w:rsidRDefault="000574D3" w:rsidP="00777912">
            <w:pPr>
              <w:pStyle w:val="TableText"/>
              <w:widowControl w:val="0"/>
              <w:tabs>
                <w:tab w:val="clear" w:pos="284"/>
                <w:tab w:val="clear" w:pos="567"/>
              </w:tabs>
              <w:ind w:left="434" w:hanging="434"/>
            </w:pPr>
            <w:r w:rsidRPr="003B3DFE">
              <w:fldChar w:fldCharType="begin">
                <w:ffData>
                  <w:name w:val="Check1"/>
                  <w:enabled/>
                  <w:calcOnExit w:val="0"/>
                  <w:checkBox>
                    <w:sizeAuto/>
                    <w:default w:val="0"/>
                  </w:checkBox>
                </w:ffData>
              </w:fldChar>
            </w:r>
            <w:r w:rsidRPr="003B3DFE">
              <w:instrText xml:space="preserve"> FORMCHECKBOX </w:instrText>
            </w:r>
            <w:r w:rsidRPr="003B3DFE">
              <w:fldChar w:fldCharType="separate"/>
            </w:r>
            <w:r w:rsidRPr="003B3DFE">
              <w:fldChar w:fldCharType="end"/>
            </w:r>
            <w:r w:rsidRPr="003B3DFE">
              <w:tab/>
            </w:r>
            <w:r w:rsidRPr="003B3DFE">
              <w:rPr>
                <w:b/>
                <w:bCs/>
              </w:rPr>
              <w:t>n'autorise pas</w:t>
            </w:r>
            <w:r w:rsidRPr="003B3DFE">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bl>
    <w:p w14:paraId="6C2578B9" w14:textId="77777777" w:rsidR="000574D3" w:rsidRPr="003B3DFE" w:rsidRDefault="000574D3" w:rsidP="00777912">
      <w:pPr>
        <w:spacing w:before="240"/>
      </w:pPr>
      <w:r w:rsidRPr="003B3DFE">
        <w:t>Veuillez agréer, Monsieur le Directeur, l'expression de ma considération distinguée.</w:t>
      </w:r>
    </w:p>
    <w:p w14:paraId="74953EC0" w14:textId="77777777" w:rsidR="000574D3" w:rsidRPr="003B3DFE" w:rsidRDefault="000574D3" w:rsidP="00777912">
      <w:pPr>
        <w:spacing w:before="840"/>
        <w:rPr>
          <w:highlight w:val="green"/>
        </w:rPr>
      </w:pPr>
      <w:r w:rsidRPr="003B3DFE">
        <w:rPr>
          <w:highlight w:val="green"/>
        </w:rPr>
        <w:t>[Nom]</w:t>
      </w:r>
    </w:p>
    <w:p w14:paraId="1C953B2C" w14:textId="77777777" w:rsidR="000574D3" w:rsidRPr="003B3DFE" w:rsidRDefault="000574D3" w:rsidP="00777912">
      <w:pPr>
        <w:spacing w:before="0"/>
      </w:pPr>
      <w:r w:rsidRPr="003B3DFE">
        <w:rPr>
          <w:highlight w:val="green"/>
        </w:rPr>
        <w:t>[Rôle/titre officiel]</w:t>
      </w:r>
    </w:p>
    <w:p w14:paraId="5C246863" w14:textId="2A661A9E" w:rsidR="000574D3" w:rsidRPr="003B3DFE" w:rsidRDefault="000574D3" w:rsidP="00777912">
      <w:pPr>
        <w:spacing w:before="0"/>
      </w:pPr>
      <w:r w:rsidRPr="003B3DFE">
        <w:t xml:space="preserve">Administration de </w:t>
      </w:r>
      <w:r w:rsidRPr="003B3DFE">
        <w:rPr>
          <w:highlight w:val="green"/>
        </w:rPr>
        <w:t>[État Membre]</w:t>
      </w:r>
    </w:p>
    <w:sectPr w:rsidR="000574D3" w:rsidRPr="003B3DFE" w:rsidSect="00A15179">
      <w:headerReference w:type="default" r:id="rId20"/>
      <w:footerReference w:type="first" r:id="rId21"/>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A5269" w14:textId="77777777" w:rsidR="0072384B" w:rsidRDefault="0072384B">
      <w:r>
        <w:separator/>
      </w:r>
    </w:p>
  </w:endnote>
  <w:endnote w:type="continuationSeparator" w:id="0">
    <w:p w14:paraId="48376F3D" w14:textId="77777777" w:rsidR="0072384B" w:rsidRDefault="0072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894C4" w14:textId="1968FFB9"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8D772" w14:textId="77777777" w:rsidR="0072384B" w:rsidRDefault="0072384B">
      <w:r>
        <w:t>____________________</w:t>
      </w:r>
    </w:p>
  </w:footnote>
  <w:footnote w:type="continuationSeparator" w:id="0">
    <w:p w14:paraId="105CF422" w14:textId="77777777" w:rsidR="0072384B" w:rsidRDefault="0072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8376E" w14:textId="2D8BFCE9" w:rsidR="00697BC1" w:rsidRPr="00697BC1" w:rsidRDefault="00CB7623"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1B3D1F">
      <w:rPr>
        <w:noProof/>
        <w:sz w:val="18"/>
        <w:szCs w:val="16"/>
      </w:rPr>
      <w:t>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574D3"/>
    <w:rsid w:val="000758B3"/>
    <w:rsid w:val="00085F5A"/>
    <w:rsid w:val="000A7427"/>
    <w:rsid w:val="000B0D96"/>
    <w:rsid w:val="000B59D8"/>
    <w:rsid w:val="000C1F6B"/>
    <w:rsid w:val="000C25CC"/>
    <w:rsid w:val="000C56BE"/>
    <w:rsid w:val="001026FD"/>
    <w:rsid w:val="001077FD"/>
    <w:rsid w:val="00115DD7"/>
    <w:rsid w:val="0014797F"/>
    <w:rsid w:val="00167472"/>
    <w:rsid w:val="00167F92"/>
    <w:rsid w:val="00173738"/>
    <w:rsid w:val="001B3D1F"/>
    <w:rsid w:val="001B79A3"/>
    <w:rsid w:val="002152A3"/>
    <w:rsid w:val="0023667A"/>
    <w:rsid w:val="002626E5"/>
    <w:rsid w:val="002937DB"/>
    <w:rsid w:val="002E395D"/>
    <w:rsid w:val="00307FB4"/>
    <w:rsid w:val="003131F0"/>
    <w:rsid w:val="00333A80"/>
    <w:rsid w:val="00341117"/>
    <w:rsid w:val="00364E95"/>
    <w:rsid w:val="00372875"/>
    <w:rsid w:val="003742F8"/>
    <w:rsid w:val="003B1E80"/>
    <w:rsid w:val="003B3DFE"/>
    <w:rsid w:val="003B66E8"/>
    <w:rsid w:val="003B73D4"/>
    <w:rsid w:val="003E66AD"/>
    <w:rsid w:val="004033F1"/>
    <w:rsid w:val="00414B0C"/>
    <w:rsid w:val="00423C21"/>
    <w:rsid w:val="004257AC"/>
    <w:rsid w:val="0043711B"/>
    <w:rsid w:val="00437EA5"/>
    <w:rsid w:val="004419E9"/>
    <w:rsid w:val="00445B68"/>
    <w:rsid w:val="0048088B"/>
    <w:rsid w:val="004874B0"/>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1DF8"/>
    <w:rsid w:val="00697BC1"/>
    <w:rsid w:val="006A6FFE"/>
    <w:rsid w:val="006C5A91"/>
    <w:rsid w:val="006F52F7"/>
    <w:rsid w:val="00716BBC"/>
    <w:rsid w:val="0072384B"/>
    <w:rsid w:val="007321BC"/>
    <w:rsid w:val="00760063"/>
    <w:rsid w:val="00772FB3"/>
    <w:rsid w:val="00775E4B"/>
    <w:rsid w:val="00777912"/>
    <w:rsid w:val="0079553B"/>
    <w:rsid w:val="00795679"/>
    <w:rsid w:val="007A40FE"/>
    <w:rsid w:val="007B532B"/>
    <w:rsid w:val="00810105"/>
    <w:rsid w:val="008157E0"/>
    <w:rsid w:val="00836DBF"/>
    <w:rsid w:val="00850477"/>
    <w:rsid w:val="00854E1D"/>
    <w:rsid w:val="00887FA6"/>
    <w:rsid w:val="008C4397"/>
    <w:rsid w:val="008C465A"/>
    <w:rsid w:val="008F2C9B"/>
    <w:rsid w:val="00923CD6"/>
    <w:rsid w:val="00935AA8"/>
    <w:rsid w:val="00971C9A"/>
    <w:rsid w:val="009D51FA"/>
    <w:rsid w:val="009F1E23"/>
    <w:rsid w:val="00A106F9"/>
    <w:rsid w:val="00A15179"/>
    <w:rsid w:val="00A2569C"/>
    <w:rsid w:val="00A51537"/>
    <w:rsid w:val="00A5280F"/>
    <w:rsid w:val="00A5645A"/>
    <w:rsid w:val="00A60FC1"/>
    <w:rsid w:val="00A8739A"/>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B7623"/>
    <w:rsid w:val="00CD042E"/>
    <w:rsid w:val="00CF2560"/>
    <w:rsid w:val="00CF5B46"/>
    <w:rsid w:val="00D46B68"/>
    <w:rsid w:val="00D542A5"/>
    <w:rsid w:val="00DC3D47"/>
    <w:rsid w:val="00DD77DA"/>
    <w:rsid w:val="00E06C61"/>
    <w:rsid w:val="00E13DB3"/>
    <w:rsid w:val="00E2408B"/>
    <w:rsid w:val="00E62CEA"/>
    <w:rsid w:val="00E72AE1"/>
    <w:rsid w:val="00EB5733"/>
    <w:rsid w:val="00ED6A7A"/>
    <w:rsid w:val="00EE4C36"/>
    <w:rsid w:val="00EF6A23"/>
    <w:rsid w:val="00F26263"/>
    <w:rsid w:val="00F346CE"/>
    <w:rsid w:val="00F34F98"/>
    <w:rsid w:val="00F40540"/>
    <w:rsid w:val="00F67402"/>
    <w:rsid w:val="00F766A2"/>
    <w:rsid w:val="00F9451D"/>
    <w:rsid w:val="00FF5BE7"/>
    <w:rsid w:val="00FF619E"/>
    <w:rsid w:val="00FF7442"/>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99C4C"/>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Annex0">
    <w:name w:val="Annex_"/>
    <w:basedOn w:val="Normal"/>
    <w:rsid w:val="003B73D4"/>
    <w:rPr>
      <w:bCs/>
    </w:rPr>
  </w:style>
  <w:style w:type="paragraph" w:customStyle="1" w:styleId="Reasons">
    <w:name w:val="Reasons"/>
    <w:basedOn w:val="Normal"/>
    <w:qFormat/>
    <w:rsid w:val="000574D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2-SG17-R-0075/en" TargetMode="External"/><Relationship Id="rId18" Type="http://schemas.openxmlformats.org/officeDocument/2006/relationships/hyperlink" Target="https://www.itu.int/md/T22-SG17-R-0079/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tu.int/md/T22-SG17-R-0078/en" TargetMode="External"/><Relationship Id="rId2" Type="http://schemas.openxmlformats.org/officeDocument/2006/relationships/numbering" Target="numbering.xml"/><Relationship Id="rId16" Type="http://schemas.openxmlformats.org/officeDocument/2006/relationships/hyperlink" Target="https://www.itu.int/md/T22-SG17-240902-TD-PLEN-2377/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ITU-T/ipr/Pages/default.aspx" TargetMode="External"/><Relationship Id="rId5" Type="http://schemas.openxmlformats.org/officeDocument/2006/relationships/webSettings" Target="webSettings.xml"/><Relationship Id="rId15" Type="http://schemas.openxmlformats.org/officeDocument/2006/relationships/hyperlink" Target="https://www.itu.int/md/T22-SG17-R-0077/en" TargetMode="External"/><Relationship Id="rId23" Type="http://schemas.openxmlformats.org/officeDocument/2006/relationships/theme" Target="theme/theme1.xml"/><Relationship Id="rId10" Type="http://schemas.openxmlformats.org/officeDocument/2006/relationships/hyperlink" Target="https://www.itu.int/md/T25-SG17-COL-0001/en" TargetMode="External"/><Relationship Id="rId19" Type="http://schemas.openxmlformats.org/officeDocument/2006/relationships/hyperlink" Target="mailto:tsbdir@itu.int"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d/T22-SG17-R-0076/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64</TotalTime>
  <Pages>7</Pages>
  <Words>2115</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15041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20</cp:revision>
  <cp:lastPrinted>2024-12-02T10:40:00Z</cp:lastPrinted>
  <dcterms:created xsi:type="dcterms:W3CDTF">2024-11-25T06:58:00Z</dcterms:created>
  <dcterms:modified xsi:type="dcterms:W3CDTF">2024-12-02T10:40:00Z</dcterms:modified>
</cp:coreProperties>
</file>