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140BAC" w14:paraId="78A04766" w14:textId="77777777" w:rsidTr="00D517B2">
        <w:trPr>
          <w:cantSplit/>
          <w:trHeight w:val="1134"/>
        </w:trPr>
        <w:tc>
          <w:tcPr>
            <w:tcW w:w="798" w:type="pct"/>
          </w:tcPr>
          <w:p w14:paraId="52805A33" w14:textId="77777777" w:rsidR="00D517B2" w:rsidRPr="00140BAC" w:rsidRDefault="00D517B2" w:rsidP="00D517B2">
            <w:pPr>
              <w:spacing w:before="0" w:line="240" w:lineRule="auto"/>
              <w:rPr>
                <w:b/>
                <w:bCs/>
                <w:rtl/>
                <w:lang w:bidi="ar-EG"/>
              </w:rPr>
            </w:pPr>
            <w:r w:rsidRPr="00140BAC">
              <w:rPr>
                <w:noProof/>
              </w:rPr>
              <w:drawing>
                <wp:inline distT="0" distB="0" distL="0" distR="0" wp14:anchorId="28BC406C" wp14:editId="59002A6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1113C35" w14:textId="77777777" w:rsidR="00D517B2" w:rsidRPr="00140BAC" w:rsidRDefault="00D517B2" w:rsidP="00D517B2">
            <w:pPr>
              <w:spacing w:before="200"/>
              <w:rPr>
                <w:b/>
                <w:bCs/>
                <w:sz w:val="36"/>
                <w:szCs w:val="36"/>
                <w:rtl/>
              </w:rPr>
            </w:pPr>
            <w:r w:rsidRPr="00140BAC">
              <w:rPr>
                <w:rFonts w:hint="cs"/>
                <w:b/>
                <w:bCs/>
                <w:sz w:val="36"/>
                <w:szCs w:val="36"/>
                <w:rtl/>
              </w:rPr>
              <w:t>الاتحـاد الدولـي للاتصـالات</w:t>
            </w:r>
          </w:p>
          <w:p w14:paraId="2D3F8363" w14:textId="77777777" w:rsidR="00D517B2" w:rsidRPr="00140BAC" w:rsidRDefault="00D517B2" w:rsidP="00D517B2">
            <w:pPr>
              <w:spacing w:before="60"/>
              <w:rPr>
                <w:b/>
                <w:bCs/>
                <w:sz w:val="28"/>
                <w:szCs w:val="28"/>
                <w:rtl/>
                <w:lang w:bidi="ar-EG"/>
              </w:rPr>
            </w:pPr>
            <w:r w:rsidRPr="00140BAC">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140BAC" w14:paraId="39FE8D9D" w14:textId="77777777" w:rsidTr="00873469">
        <w:trPr>
          <w:cantSplit/>
          <w:trHeight w:val="142"/>
          <w:jc w:val="center"/>
        </w:trPr>
        <w:tc>
          <w:tcPr>
            <w:tcW w:w="796" w:type="pct"/>
          </w:tcPr>
          <w:p w14:paraId="37E01D79" w14:textId="77777777" w:rsidR="00D517B2" w:rsidRPr="00140BAC" w:rsidRDefault="00D517B2" w:rsidP="00BB0F08">
            <w:pPr>
              <w:spacing w:line="300" w:lineRule="exact"/>
              <w:jc w:val="left"/>
              <w:rPr>
                <w:position w:val="2"/>
              </w:rPr>
            </w:pPr>
          </w:p>
        </w:tc>
        <w:tc>
          <w:tcPr>
            <w:tcW w:w="1998" w:type="pct"/>
          </w:tcPr>
          <w:p w14:paraId="2BD789E5" w14:textId="77777777" w:rsidR="00D517B2" w:rsidRPr="00140BAC" w:rsidRDefault="00D517B2" w:rsidP="00BB0F08">
            <w:pPr>
              <w:spacing w:line="300" w:lineRule="exact"/>
              <w:jc w:val="left"/>
              <w:rPr>
                <w:position w:val="2"/>
              </w:rPr>
            </w:pPr>
          </w:p>
        </w:tc>
        <w:tc>
          <w:tcPr>
            <w:tcW w:w="2206" w:type="pct"/>
          </w:tcPr>
          <w:p w14:paraId="06D1CEFE" w14:textId="77777777" w:rsidR="00D517B2" w:rsidRPr="00140BAC" w:rsidRDefault="00D517B2" w:rsidP="00BB0F08">
            <w:pPr>
              <w:spacing w:line="300" w:lineRule="exact"/>
              <w:jc w:val="left"/>
              <w:rPr>
                <w:position w:val="2"/>
                <w:lang w:bidi="ar-EG"/>
              </w:rPr>
            </w:pPr>
          </w:p>
        </w:tc>
      </w:tr>
      <w:tr w:rsidR="00D517B2" w:rsidRPr="00140BAC" w14:paraId="4F46AA8A" w14:textId="77777777" w:rsidTr="00D517B2">
        <w:trPr>
          <w:cantSplit/>
          <w:trHeight w:val="148"/>
          <w:jc w:val="center"/>
        </w:trPr>
        <w:tc>
          <w:tcPr>
            <w:tcW w:w="796" w:type="pct"/>
          </w:tcPr>
          <w:p w14:paraId="758B815F" w14:textId="77777777" w:rsidR="00D517B2" w:rsidRPr="00140BAC" w:rsidRDefault="00D517B2" w:rsidP="00D517B2">
            <w:pPr>
              <w:spacing w:before="80" w:after="60" w:line="300" w:lineRule="exact"/>
              <w:jc w:val="left"/>
              <w:rPr>
                <w:position w:val="2"/>
              </w:rPr>
            </w:pPr>
          </w:p>
        </w:tc>
        <w:tc>
          <w:tcPr>
            <w:tcW w:w="1998" w:type="pct"/>
          </w:tcPr>
          <w:p w14:paraId="03EF0257" w14:textId="77777777" w:rsidR="00D517B2" w:rsidRPr="00140BAC" w:rsidRDefault="00D517B2" w:rsidP="00D517B2">
            <w:pPr>
              <w:spacing w:before="80" w:after="60" w:line="300" w:lineRule="exact"/>
              <w:jc w:val="left"/>
              <w:rPr>
                <w:position w:val="2"/>
                <w:lang w:bidi="ar-EG"/>
              </w:rPr>
            </w:pPr>
          </w:p>
        </w:tc>
        <w:tc>
          <w:tcPr>
            <w:tcW w:w="2206" w:type="pct"/>
          </w:tcPr>
          <w:p w14:paraId="03397B95" w14:textId="6A7ED611" w:rsidR="00D517B2" w:rsidRPr="00140BAC" w:rsidRDefault="00F0518F" w:rsidP="00F0518F">
            <w:pPr>
              <w:spacing w:before="80" w:after="60" w:line="300" w:lineRule="exact"/>
              <w:jc w:val="left"/>
              <w:rPr>
                <w:position w:val="2"/>
                <w:rtl/>
                <w:lang w:bidi="ar-EG"/>
              </w:rPr>
            </w:pPr>
            <w:r w:rsidRPr="00F0518F">
              <w:rPr>
                <w:position w:val="2"/>
                <w:rtl/>
              </w:rPr>
              <w:t>جنيف، 14 نوفمبر 2024</w:t>
            </w:r>
          </w:p>
        </w:tc>
      </w:tr>
      <w:tr w:rsidR="009D5C27" w:rsidRPr="00140BAC" w14:paraId="7BEF4DDF" w14:textId="77777777" w:rsidTr="00E84438">
        <w:trPr>
          <w:cantSplit/>
          <w:trHeight w:val="831"/>
          <w:jc w:val="center"/>
        </w:trPr>
        <w:tc>
          <w:tcPr>
            <w:tcW w:w="796" w:type="pct"/>
          </w:tcPr>
          <w:p w14:paraId="65095ECD" w14:textId="77777777" w:rsidR="009D5C27" w:rsidRPr="00140BAC" w:rsidRDefault="009D5C27" w:rsidP="00D517B2">
            <w:pPr>
              <w:spacing w:before="80" w:after="60" w:line="300" w:lineRule="exact"/>
              <w:jc w:val="left"/>
              <w:rPr>
                <w:b/>
                <w:bCs/>
                <w:position w:val="2"/>
              </w:rPr>
            </w:pPr>
            <w:r w:rsidRPr="00140BAC">
              <w:rPr>
                <w:rFonts w:hint="cs"/>
                <w:b/>
                <w:bCs/>
                <w:position w:val="2"/>
                <w:rtl/>
              </w:rPr>
              <w:t>المرجع:</w:t>
            </w:r>
          </w:p>
        </w:tc>
        <w:tc>
          <w:tcPr>
            <w:tcW w:w="1998" w:type="pct"/>
          </w:tcPr>
          <w:p w14:paraId="6D5A2EAC" w14:textId="77777777" w:rsidR="009D5C27" w:rsidRPr="00402C4A" w:rsidRDefault="009D5C27" w:rsidP="00140BAC">
            <w:pPr>
              <w:spacing w:before="80" w:after="60" w:line="300" w:lineRule="exact"/>
              <w:jc w:val="left"/>
              <w:rPr>
                <w:b/>
                <w:bCs/>
                <w:position w:val="2"/>
                <w:rtl/>
                <w:lang w:bidi="ar-EG"/>
              </w:rPr>
            </w:pPr>
            <w:r w:rsidRPr="00140BAC">
              <w:rPr>
                <w:b/>
                <w:bCs/>
                <w:position w:val="2"/>
                <w:lang w:val="en-GB"/>
              </w:rPr>
              <w:t>TSB Circular 003</w:t>
            </w:r>
          </w:p>
          <w:p w14:paraId="3386DA2E" w14:textId="37BD5D38" w:rsidR="009D5C27" w:rsidRPr="00140BAC" w:rsidRDefault="009D5C27" w:rsidP="00140BAC">
            <w:pPr>
              <w:spacing w:before="80" w:after="60" w:line="300" w:lineRule="exact"/>
              <w:jc w:val="left"/>
              <w:rPr>
                <w:bCs/>
                <w:position w:val="2"/>
              </w:rPr>
            </w:pPr>
            <w:r w:rsidRPr="00140BAC">
              <w:rPr>
                <w:bCs/>
                <w:position w:val="2"/>
                <w:lang w:val="en-GB"/>
              </w:rPr>
              <w:t>SG17/XY</w:t>
            </w:r>
          </w:p>
        </w:tc>
        <w:tc>
          <w:tcPr>
            <w:tcW w:w="2206" w:type="pct"/>
            <w:vMerge w:val="restart"/>
          </w:tcPr>
          <w:p w14:paraId="576CEC47" w14:textId="77777777" w:rsidR="009D5C27" w:rsidRPr="00140BAC" w:rsidRDefault="009D5C27" w:rsidP="00D517B2">
            <w:pPr>
              <w:tabs>
                <w:tab w:val="clear" w:pos="794"/>
                <w:tab w:val="left" w:pos="284"/>
              </w:tabs>
              <w:spacing w:before="80" w:after="60" w:line="300" w:lineRule="exact"/>
              <w:ind w:left="284" w:hanging="284"/>
              <w:jc w:val="left"/>
              <w:rPr>
                <w:b/>
                <w:bCs/>
                <w:position w:val="2"/>
                <w:rtl/>
                <w:lang w:bidi="ar-EG"/>
              </w:rPr>
            </w:pPr>
            <w:r w:rsidRPr="00140BAC">
              <w:rPr>
                <w:rFonts w:hint="cs"/>
                <w:b/>
                <w:bCs/>
                <w:position w:val="2"/>
                <w:rtl/>
              </w:rPr>
              <w:t>إلى:</w:t>
            </w:r>
          </w:p>
          <w:p w14:paraId="3906235E" w14:textId="77777777" w:rsidR="009D5C27" w:rsidRPr="00140BAC" w:rsidRDefault="009D5C27" w:rsidP="00140BAC">
            <w:pPr>
              <w:tabs>
                <w:tab w:val="clear" w:pos="794"/>
                <w:tab w:val="left" w:pos="284"/>
              </w:tabs>
              <w:spacing w:before="80" w:after="60" w:line="300" w:lineRule="exact"/>
              <w:ind w:left="284" w:hanging="284"/>
              <w:jc w:val="left"/>
              <w:rPr>
                <w:position w:val="2"/>
              </w:rPr>
            </w:pPr>
            <w:r w:rsidRPr="00140BAC">
              <w:rPr>
                <w:rFonts w:hint="cs"/>
                <w:position w:val="2"/>
                <w:rtl/>
              </w:rPr>
              <w:t>-</w:t>
            </w:r>
            <w:r w:rsidRPr="00140BAC">
              <w:rPr>
                <w:position w:val="2"/>
                <w:rtl/>
              </w:rPr>
              <w:tab/>
            </w:r>
            <w:r w:rsidRPr="00140BAC">
              <w:rPr>
                <w:rFonts w:hint="cs"/>
                <w:position w:val="2"/>
                <w:rtl/>
              </w:rPr>
              <w:t>إدارات الدول الأعضاء في الاتحاد</w:t>
            </w:r>
          </w:p>
          <w:p w14:paraId="3B879FA5" w14:textId="77777777" w:rsidR="009D5C27" w:rsidRPr="00140BAC" w:rsidRDefault="009D5C27" w:rsidP="00CE1C08">
            <w:pPr>
              <w:tabs>
                <w:tab w:val="clear" w:pos="794"/>
                <w:tab w:val="left" w:pos="284"/>
              </w:tabs>
              <w:spacing w:before="80" w:after="60" w:line="300" w:lineRule="exact"/>
              <w:ind w:left="284" w:hanging="284"/>
              <w:jc w:val="left"/>
              <w:rPr>
                <w:b/>
                <w:bCs/>
                <w:position w:val="2"/>
                <w:rtl/>
              </w:rPr>
            </w:pPr>
            <w:r w:rsidRPr="00140BAC">
              <w:rPr>
                <w:rFonts w:hint="cs"/>
                <w:b/>
                <w:bCs/>
                <w:position w:val="2"/>
                <w:rtl/>
              </w:rPr>
              <w:t>نسخة إلى:</w:t>
            </w:r>
          </w:p>
          <w:p w14:paraId="5D045641" w14:textId="77777777" w:rsidR="009D5C27" w:rsidRPr="00140BAC" w:rsidRDefault="009D5C27" w:rsidP="00140BAC">
            <w:pPr>
              <w:tabs>
                <w:tab w:val="left" w:pos="284"/>
                <w:tab w:val="left" w:pos="4111"/>
              </w:tabs>
              <w:spacing w:before="20" w:line="340" w:lineRule="exact"/>
              <w:ind w:left="284" w:hanging="284"/>
              <w:rPr>
                <w:position w:val="2"/>
                <w:rtl/>
                <w:lang w:bidi="ar-EG"/>
              </w:rPr>
            </w:pPr>
            <w:r w:rsidRPr="00140BAC">
              <w:rPr>
                <w:rFonts w:hint="cs"/>
                <w:position w:val="2"/>
                <w:rtl/>
              </w:rPr>
              <w:t>-</w:t>
            </w:r>
            <w:r w:rsidRPr="00140BAC">
              <w:rPr>
                <w:position w:val="2"/>
                <w:rtl/>
              </w:rPr>
              <w:tab/>
            </w:r>
            <w:r w:rsidRPr="00140BAC">
              <w:rPr>
                <w:rFonts w:hint="cs"/>
                <w:position w:val="2"/>
                <w:rtl/>
                <w:lang w:bidi="ar-EG"/>
              </w:rPr>
              <w:t>أعضاء قطاع تقييس الاتصالات بالاتحاد؛</w:t>
            </w:r>
          </w:p>
          <w:p w14:paraId="0A6DE93D" w14:textId="77777777" w:rsidR="009D5C27" w:rsidRPr="00140BAC" w:rsidRDefault="009D5C27" w:rsidP="00140BAC">
            <w:pPr>
              <w:tabs>
                <w:tab w:val="left" w:pos="284"/>
                <w:tab w:val="left" w:pos="4111"/>
              </w:tabs>
              <w:spacing w:before="20" w:line="340" w:lineRule="exact"/>
              <w:ind w:left="284" w:hanging="284"/>
              <w:rPr>
                <w:position w:val="2"/>
                <w:rtl/>
                <w:lang w:bidi="ar-EG"/>
              </w:rPr>
            </w:pPr>
            <w:r w:rsidRPr="00140BAC">
              <w:rPr>
                <w:rFonts w:hint="cs"/>
                <w:position w:val="2"/>
                <w:rtl/>
              </w:rPr>
              <w:t>-</w:t>
            </w:r>
            <w:r w:rsidRPr="00140BAC">
              <w:rPr>
                <w:position w:val="2"/>
                <w:rtl/>
              </w:rPr>
              <w:tab/>
            </w:r>
            <w:r w:rsidRPr="00140BAC">
              <w:rPr>
                <w:rFonts w:hint="cs"/>
                <w:position w:val="2"/>
                <w:rtl/>
              </w:rPr>
              <w:t xml:space="preserve">المنتسبين إلى قطاع تقييس الاتصالات </w:t>
            </w:r>
            <w:r w:rsidRPr="00140BAC">
              <w:rPr>
                <w:position w:val="2"/>
                <w:rtl/>
              </w:rPr>
              <w:t>المشاركين في أعمال لجنة الدراسات 17</w:t>
            </w:r>
            <w:r w:rsidRPr="00140BAC">
              <w:rPr>
                <w:rFonts w:hint="cs"/>
                <w:position w:val="2"/>
                <w:rtl/>
              </w:rPr>
              <w:t>؛</w:t>
            </w:r>
          </w:p>
          <w:p w14:paraId="359972AC" w14:textId="77777777" w:rsidR="009D5C27" w:rsidRPr="00140BAC" w:rsidRDefault="009D5C27" w:rsidP="00140BAC">
            <w:pPr>
              <w:tabs>
                <w:tab w:val="left" w:pos="284"/>
                <w:tab w:val="left" w:pos="4111"/>
              </w:tabs>
              <w:spacing w:before="0" w:line="340" w:lineRule="exact"/>
              <w:ind w:left="284" w:hanging="284"/>
              <w:rPr>
                <w:position w:val="2"/>
                <w:rtl/>
              </w:rPr>
            </w:pPr>
            <w:r w:rsidRPr="00140BAC">
              <w:rPr>
                <w:rFonts w:hint="cs"/>
                <w:position w:val="2"/>
                <w:rtl/>
              </w:rPr>
              <w:t>-</w:t>
            </w:r>
            <w:r w:rsidRPr="00140BAC">
              <w:rPr>
                <w:position w:val="2"/>
                <w:rtl/>
              </w:rPr>
              <w:tab/>
            </w:r>
            <w:r w:rsidRPr="00140BAC">
              <w:rPr>
                <w:rFonts w:hint="cs"/>
                <w:position w:val="2"/>
                <w:rtl/>
              </w:rPr>
              <w:t>الهيئات الأكاديمية المنضمة إلى</w:t>
            </w:r>
            <w:r w:rsidRPr="00140BAC">
              <w:rPr>
                <w:rFonts w:hint="cs"/>
                <w:position w:val="2"/>
                <w:rtl/>
                <w:lang w:bidi="ar-EG"/>
              </w:rPr>
              <w:t xml:space="preserve"> الاتحاد؛</w:t>
            </w:r>
          </w:p>
          <w:p w14:paraId="5AD0FC16" w14:textId="14BBEC3C" w:rsidR="009D5C27" w:rsidRPr="00140BAC" w:rsidRDefault="009D5C27" w:rsidP="00140BAC">
            <w:pPr>
              <w:tabs>
                <w:tab w:val="left" w:pos="284"/>
                <w:tab w:val="left" w:pos="4111"/>
              </w:tabs>
              <w:spacing w:before="0" w:line="340" w:lineRule="exact"/>
              <w:ind w:left="284" w:hanging="284"/>
              <w:rPr>
                <w:rFonts w:eastAsia="Times New Roman"/>
                <w:position w:val="2"/>
                <w:rtl/>
                <w:lang w:eastAsia="en-US"/>
              </w:rPr>
            </w:pPr>
            <w:r>
              <w:rPr>
                <w:rFonts w:hint="cs"/>
                <w:position w:val="2"/>
                <w:rtl/>
              </w:rPr>
              <w:t>-</w:t>
            </w:r>
            <w:r>
              <w:rPr>
                <w:position w:val="2"/>
                <w:rtl/>
              </w:rPr>
              <w:tab/>
            </w:r>
            <w:r w:rsidRPr="00140BAC">
              <w:rPr>
                <w:position w:val="2"/>
                <w:rtl/>
              </w:rPr>
              <w:t>رئيس لجنة الدراسات 17 لقطاع تقييس الاتصالات ونوابه</w:t>
            </w:r>
            <w:r w:rsidRPr="00140BAC">
              <w:rPr>
                <w:rFonts w:eastAsia="Times New Roman" w:hint="cs"/>
                <w:position w:val="2"/>
                <w:rtl/>
                <w:lang w:eastAsia="en-US"/>
              </w:rPr>
              <w:t>؛</w:t>
            </w:r>
          </w:p>
          <w:p w14:paraId="1E63BC66" w14:textId="77777777" w:rsidR="009D5C27" w:rsidRPr="00140BAC" w:rsidRDefault="009D5C27" w:rsidP="00CE1C08">
            <w:pPr>
              <w:tabs>
                <w:tab w:val="left" w:pos="284"/>
                <w:tab w:val="left" w:pos="4111"/>
              </w:tabs>
              <w:spacing w:before="0" w:line="340" w:lineRule="exact"/>
              <w:ind w:left="284" w:hanging="284"/>
              <w:rPr>
                <w:rFonts w:eastAsia="Times New Roman"/>
                <w:position w:val="2"/>
                <w:rtl/>
                <w:lang w:eastAsia="en-US"/>
              </w:rPr>
            </w:pPr>
            <w:r w:rsidRPr="00140BAC">
              <w:rPr>
                <w:rFonts w:eastAsia="Times New Roman" w:hint="cs"/>
                <w:position w:val="2"/>
                <w:rtl/>
                <w:lang w:eastAsia="en-US"/>
              </w:rPr>
              <w:t>-</w:t>
            </w:r>
            <w:r w:rsidRPr="00140BAC">
              <w:rPr>
                <w:rFonts w:eastAsia="Times New Roman"/>
                <w:position w:val="2"/>
                <w:rtl/>
                <w:lang w:eastAsia="en-US"/>
              </w:rPr>
              <w:tab/>
              <w:t>مدير مكتب تنمية الاتصالات</w:t>
            </w:r>
            <w:r w:rsidRPr="00140BAC">
              <w:rPr>
                <w:rFonts w:eastAsia="Times New Roman" w:hint="cs"/>
                <w:position w:val="2"/>
                <w:rtl/>
                <w:lang w:eastAsia="en-US"/>
              </w:rPr>
              <w:t>؛</w:t>
            </w:r>
          </w:p>
          <w:p w14:paraId="6B5D78C7" w14:textId="733F57D0" w:rsidR="009D5C27" w:rsidRPr="00140BAC" w:rsidRDefault="009D5C27" w:rsidP="00F042DE">
            <w:pPr>
              <w:tabs>
                <w:tab w:val="left" w:pos="284"/>
                <w:tab w:val="left" w:pos="4111"/>
              </w:tabs>
              <w:spacing w:before="0" w:line="340" w:lineRule="exact"/>
              <w:ind w:left="284" w:hanging="284"/>
              <w:rPr>
                <w:position w:val="2"/>
              </w:rPr>
            </w:pPr>
            <w:r w:rsidRPr="00140BAC">
              <w:rPr>
                <w:rFonts w:eastAsia="Times New Roman" w:hint="cs"/>
                <w:position w:val="2"/>
                <w:rtl/>
                <w:lang w:eastAsia="en-US"/>
              </w:rPr>
              <w:t>-</w:t>
            </w:r>
            <w:r w:rsidRPr="00140BAC">
              <w:rPr>
                <w:rFonts w:eastAsia="Times New Roman"/>
                <w:position w:val="2"/>
                <w:rtl/>
                <w:lang w:eastAsia="en-US"/>
              </w:rPr>
              <w:tab/>
              <w:t>مدير مكتب الاتصالات الراديوية</w:t>
            </w:r>
          </w:p>
        </w:tc>
      </w:tr>
      <w:tr w:rsidR="009D5C27" w:rsidRPr="00140BAC" w14:paraId="2794B485" w14:textId="77777777" w:rsidTr="00D517B2">
        <w:trPr>
          <w:cantSplit/>
          <w:trHeight w:val="340"/>
          <w:jc w:val="center"/>
        </w:trPr>
        <w:tc>
          <w:tcPr>
            <w:tcW w:w="796" w:type="pct"/>
          </w:tcPr>
          <w:p w14:paraId="268B4D4A" w14:textId="77777777" w:rsidR="009D5C27" w:rsidRPr="00140BAC" w:rsidRDefault="009D5C27" w:rsidP="00D517B2">
            <w:pPr>
              <w:spacing w:before="80" w:after="60" w:line="300" w:lineRule="exact"/>
              <w:jc w:val="left"/>
              <w:rPr>
                <w:b/>
                <w:bCs/>
                <w:position w:val="2"/>
              </w:rPr>
            </w:pPr>
            <w:r w:rsidRPr="00140BAC">
              <w:rPr>
                <w:rFonts w:hint="cs"/>
                <w:b/>
                <w:bCs/>
                <w:position w:val="2"/>
                <w:rtl/>
                <w:lang w:bidi="ar-EG"/>
              </w:rPr>
              <w:t>ال</w:t>
            </w:r>
            <w:r w:rsidRPr="00140BAC">
              <w:rPr>
                <w:rFonts w:hint="cs"/>
                <w:b/>
                <w:bCs/>
                <w:position w:val="2"/>
                <w:rtl/>
                <w:lang w:bidi="ar-SY"/>
              </w:rPr>
              <w:t>هاتف</w:t>
            </w:r>
            <w:r w:rsidRPr="00140BAC">
              <w:rPr>
                <w:rFonts w:hint="cs"/>
                <w:b/>
                <w:bCs/>
                <w:position w:val="2"/>
                <w:rtl/>
              </w:rPr>
              <w:t>:</w:t>
            </w:r>
          </w:p>
        </w:tc>
        <w:tc>
          <w:tcPr>
            <w:tcW w:w="1998" w:type="pct"/>
          </w:tcPr>
          <w:p w14:paraId="4920CB4D" w14:textId="7BBC5999" w:rsidR="009D5C27" w:rsidRPr="00140BAC" w:rsidRDefault="009D5C27" w:rsidP="00D517B2">
            <w:pPr>
              <w:spacing w:before="80" w:after="60" w:line="300" w:lineRule="exact"/>
              <w:jc w:val="left"/>
              <w:rPr>
                <w:b/>
                <w:position w:val="2"/>
              </w:rPr>
            </w:pPr>
            <w:r w:rsidRPr="00140BAC">
              <w:rPr>
                <w:position w:val="2"/>
              </w:rPr>
              <w:t>+41 22 730 6206</w:t>
            </w:r>
          </w:p>
        </w:tc>
        <w:tc>
          <w:tcPr>
            <w:tcW w:w="2206" w:type="pct"/>
            <w:vMerge/>
          </w:tcPr>
          <w:p w14:paraId="0A242464" w14:textId="4B814378" w:rsidR="009D5C27" w:rsidRPr="00140BAC" w:rsidRDefault="009D5C27" w:rsidP="00F042DE">
            <w:pPr>
              <w:tabs>
                <w:tab w:val="left" w:pos="284"/>
                <w:tab w:val="left" w:pos="4111"/>
              </w:tabs>
              <w:spacing w:before="0" w:line="340" w:lineRule="exact"/>
              <w:ind w:left="284" w:hanging="284"/>
              <w:rPr>
                <w:position w:val="2"/>
                <w:rtl/>
              </w:rPr>
            </w:pPr>
          </w:p>
        </w:tc>
      </w:tr>
      <w:tr w:rsidR="009D5C27" w:rsidRPr="00140BAC" w14:paraId="34246C9A" w14:textId="77777777" w:rsidTr="009D5C27">
        <w:trPr>
          <w:cantSplit/>
          <w:trHeight w:val="204"/>
          <w:jc w:val="center"/>
        </w:trPr>
        <w:tc>
          <w:tcPr>
            <w:tcW w:w="796" w:type="pct"/>
          </w:tcPr>
          <w:p w14:paraId="0EDE21E5" w14:textId="77777777" w:rsidR="009D5C27" w:rsidRPr="00140BAC" w:rsidRDefault="009D5C27" w:rsidP="00D517B2">
            <w:pPr>
              <w:spacing w:before="80" w:after="60" w:line="300" w:lineRule="exact"/>
              <w:jc w:val="left"/>
              <w:rPr>
                <w:b/>
                <w:bCs/>
                <w:position w:val="2"/>
                <w:rtl/>
                <w:lang w:bidi="ar-EG"/>
              </w:rPr>
            </w:pPr>
            <w:r w:rsidRPr="00140BAC">
              <w:rPr>
                <w:rFonts w:hint="cs"/>
                <w:b/>
                <w:bCs/>
                <w:position w:val="2"/>
                <w:rtl/>
              </w:rPr>
              <w:t>الفاكس:</w:t>
            </w:r>
          </w:p>
        </w:tc>
        <w:tc>
          <w:tcPr>
            <w:tcW w:w="1998" w:type="pct"/>
          </w:tcPr>
          <w:p w14:paraId="7AC6FDEB" w14:textId="77777777" w:rsidR="009D5C27" w:rsidRPr="00140BAC" w:rsidRDefault="009D5C27" w:rsidP="00D517B2">
            <w:pPr>
              <w:spacing w:before="80" w:after="60" w:line="300" w:lineRule="exact"/>
              <w:jc w:val="left"/>
              <w:rPr>
                <w:position w:val="2"/>
              </w:rPr>
            </w:pPr>
            <w:r w:rsidRPr="00140BAC">
              <w:rPr>
                <w:position w:val="2"/>
              </w:rPr>
              <w:t>+41 22 730 5853</w:t>
            </w:r>
          </w:p>
        </w:tc>
        <w:tc>
          <w:tcPr>
            <w:tcW w:w="2206" w:type="pct"/>
            <w:vMerge/>
          </w:tcPr>
          <w:p w14:paraId="3F081542" w14:textId="734BB0A2" w:rsidR="009D5C27" w:rsidRPr="00140BAC" w:rsidRDefault="009D5C27" w:rsidP="00F042DE">
            <w:pPr>
              <w:tabs>
                <w:tab w:val="left" w:pos="284"/>
                <w:tab w:val="left" w:pos="4111"/>
              </w:tabs>
              <w:spacing w:before="0" w:line="340" w:lineRule="exact"/>
              <w:ind w:left="284" w:hanging="284"/>
              <w:rPr>
                <w:position w:val="2"/>
                <w:rtl/>
              </w:rPr>
            </w:pPr>
          </w:p>
        </w:tc>
      </w:tr>
      <w:tr w:rsidR="009D5C27" w:rsidRPr="00140BAC" w14:paraId="231320E4" w14:textId="77777777" w:rsidTr="00332338">
        <w:trPr>
          <w:cantSplit/>
          <w:trHeight w:val="880"/>
          <w:jc w:val="center"/>
        </w:trPr>
        <w:tc>
          <w:tcPr>
            <w:tcW w:w="796" w:type="pct"/>
          </w:tcPr>
          <w:p w14:paraId="6270237B" w14:textId="639D34EC" w:rsidR="009D5C27" w:rsidRPr="00140BAC" w:rsidRDefault="009D5C27" w:rsidP="009D5C27">
            <w:pPr>
              <w:spacing w:before="80" w:after="60" w:line="300" w:lineRule="exact"/>
              <w:jc w:val="left"/>
              <w:rPr>
                <w:b/>
                <w:bCs/>
                <w:position w:val="2"/>
                <w:rtl/>
              </w:rPr>
            </w:pPr>
            <w:r w:rsidRPr="00140BAC">
              <w:rPr>
                <w:rFonts w:hint="cs"/>
                <w:b/>
                <w:bCs/>
                <w:position w:val="2"/>
                <w:rtl/>
              </w:rPr>
              <w:t>البريد الإلكتروني:</w:t>
            </w:r>
          </w:p>
        </w:tc>
        <w:tc>
          <w:tcPr>
            <w:tcW w:w="1998" w:type="pct"/>
          </w:tcPr>
          <w:p w14:paraId="030E0525" w14:textId="2104205F" w:rsidR="009D5C27" w:rsidRPr="00140BAC" w:rsidRDefault="009D5C27" w:rsidP="009D5C27">
            <w:pPr>
              <w:spacing w:before="80" w:after="60" w:line="300" w:lineRule="exact"/>
              <w:jc w:val="left"/>
              <w:rPr>
                <w:position w:val="2"/>
                <w:rtl/>
                <w:lang w:bidi="ar-EG"/>
              </w:rPr>
            </w:pPr>
            <w:hyperlink r:id="rId9" w:history="1">
              <w:r w:rsidRPr="00140BAC">
                <w:rPr>
                  <w:rStyle w:val="Hyperlink"/>
                  <w:position w:val="2"/>
                  <w:lang w:val="en-GB"/>
                </w:rPr>
                <w:t>tsbsg17@itu.int</w:t>
              </w:r>
            </w:hyperlink>
          </w:p>
        </w:tc>
        <w:tc>
          <w:tcPr>
            <w:tcW w:w="2206" w:type="pct"/>
            <w:vMerge/>
          </w:tcPr>
          <w:p w14:paraId="4BE81FA7" w14:textId="77777777" w:rsidR="009D5C27" w:rsidRPr="00140BAC" w:rsidRDefault="009D5C27" w:rsidP="009D5C27">
            <w:pPr>
              <w:tabs>
                <w:tab w:val="left" w:pos="284"/>
                <w:tab w:val="left" w:pos="4111"/>
              </w:tabs>
              <w:spacing w:before="0" w:line="340" w:lineRule="exact"/>
              <w:ind w:left="284" w:hanging="284"/>
              <w:rPr>
                <w:position w:val="2"/>
                <w:rtl/>
              </w:rPr>
            </w:pPr>
          </w:p>
        </w:tc>
      </w:tr>
      <w:tr w:rsidR="00CE1C08" w:rsidRPr="00140BAC" w14:paraId="492E95A4" w14:textId="77777777" w:rsidTr="00D517B2">
        <w:trPr>
          <w:cantSplit/>
          <w:jc w:val="center"/>
        </w:trPr>
        <w:tc>
          <w:tcPr>
            <w:tcW w:w="796" w:type="pct"/>
          </w:tcPr>
          <w:p w14:paraId="68059576" w14:textId="77777777" w:rsidR="00CE1C08" w:rsidRPr="00140BAC" w:rsidRDefault="00CE1C08" w:rsidP="00CE1C08">
            <w:pPr>
              <w:spacing w:before="80" w:after="60" w:line="300" w:lineRule="exact"/>
              <w:jc w:val="left"/>
              <w:rPr>
                <w:b/>
                <w:bCs/>
                <w:position w:val="2"/>
                <w:rtl/>
                <w:lang w:bidi="ar-EG"/>
              </w:rPr>
            </w:pPr>
          </w:p>
        </w:tc>
        <w:tc>
          <w:tcPr>
            <w:tcW w:w="1998" w:type="pct"/>
          </w:tcPr>
          <w:p w14:paraId="3943C08F" w14:textId="77777777" w:rsidR="00CE1C08" w:rsidRPr="00140BAC" w:rsidRDefault="00CE1C08" w:rsidP="00CE1C08">
            <w:pPr>
              <w:spacing w:before="80" w:after="60" w:line="300" w:lineRule="exact"/>
              <w:jc w:val="left"/>
              <w:rPr>
                <w:position w:val="2"/>
              </w:rPr>
            </w:pPr>
          </w:p>
        </w:tc>
        <w:tc>
          <w:tcPr>
            <w:tcW w:w="2206" w:type="pct"/>
          </w:tcPr>
          <w:p w14:paraId="773F0EFA" w14:textId="77777777" w:rsidR="00CE1C08" w:rsidRPr="00140BAC" w:rsidRDefault="00CE1C08" w:rsidP="00CE1C08">
            <w:pPr>
              <w:spacing w:before="80" w:after="60" w:line="300" w:lineRule="exact"/>
              <w:jc w:val="left"/>
              <w:rPr>
                <w:position w:val="2"/>
                <w:rtl/>
              </w:rPr>
            </w:pPr>
          </w:p>
        </w:tc>
      </w:tr>
      <w:tr w:rsidR="00CE1C08" w:rsidRPr="00140BAC" w14:paraId="7E0987D0" w14:textId="77777777" w:rsidTr="00D517B2">
        <w:trPr>
          <w:cantSplit/>
          <w:jc w:val="center"/>
        </w:trPr>
        <w:tc>
          <w:tcPr>
            <w:tcW w:w="796" w:type="pct"/>
          </w:tcPr>
          <w:p w14:paraId="1B2F8222" w14:textId="77777777" w:rsidR="00CE1C08" w:rsidRPr="00140BAC" w:rsidRDefault="00CE1C08" w:rsidP="00CE1C08">
            <w:pPr>
              <w:spacing w:before="80" w:after="60" w:line="300" w:lineRule="exact"/>
              <w:jc w:val="left"/>
              <w:rPr>
                <w:b/>
                <w:bCs/>
                <w:position w:val="2"/>
                <w:rtl/>
                <w:lang w:bidi="ar-SY"/>
              </w:rPr>
            </w:pPr>
            <w:r w:rsidRPr="00140BAC">
              <w:rPr>
                <w:rFonts w:hint="cs"/>
                <w:b/>
                <w:bCs/>
                <w:position w:val="2"/>
                <w:rtl/>
              </w:rPr>
              <w:t>الموضوع:</w:t>
            </w:r>
          </w:p>
        </w:tc>
        <w:tc>
          <w:tcPr>
            <w:tcW w:w="4204" w:type="pct"/>
            <w:gridSpan w:val="2"/>
          </w:tcPr>
          <w:p w14:paraId="08A005C2" w14:textId="69F4E708" w:rsidR="00CE1C08" w:rsidRPr="00140BAC" w:rsidRDefault="00140BAC" w:rsidP="00C17470">
            <w:pPr>
              <w:spacing w:before="80" w:after="60" w:line="300" w:lineRule="exact"/>
              <w:rPr>
                <w:position w:val="2"/>
                <w:rtl/>
              </w:rPr>
            </w:pPr>
            <w:bookmarkStart w:id="0" w:name="_Hlk115258431"/>
            <w:r w:rsidRPr="00140BAC">
              <w:rPr>
                <w:b/>
                <w:bCs/>
                <w:position w:val="2"/>
                <w:rtl/>
              </w:rPr>
              <w:t>مشاورة الدول الأعضاء بشأن مشاريع التوصيات الجديدة المحددة ITU-T X.1355 (X.ra-iot)</w:t>
            </w:r>
            <w:r w:rsidR="00C17470">
              <w:rPr>
                <w:b/>
                <w:bCs/>
                <w:position w:val="2"/>
                <w:rtl/>
              </w:rPr>
              <w:t xml:space="preserve"> </w:t>
            </w:r>
            <w:r w:rsidR="000F3073">
              <w:rPr>
                <w:b/>
                <w:bCs/>
                <w:position w:val="2"/>
                <w:rtl/>
              </w:rPr>
              <w:br/>
            </w:r>
            <w:r w:rsidRPr="00140BAC">
              <w:rPr>
                <w:b/>
                <w:bCs/>
                <w:position w:val="2"/>
                <w:rtl/>
              </w:rPr>
              <w:t>وITU-T X.1456 (X.sgdfs-us) وITU-T X.1648 (X.gecds) وITU-T X.1284 (X.afotak)</w:t>
            </w:r>
            <w:r w:rsidR="00C17470">
              <w:rPr>
                <w:b/>
                <w:bCs/>
                <w:position w:val="2"/>
                <w:rtl/>
              </w:rPr>
              <w:t xml:space="preserve"> </w:t>
            </w:r>
            <w:r w:rsidR="000F3073">
              <w:rPr>
                <w:b/>
                <w:bCs/>
                <w:position w:val="2"/>
                <w:rtl/>
              </w:rPr>
              <w:br/>
            </w:r>
            <w:r w:rsidRPr="00140BAC">
              <w:rPr>
                <w:b/>
                <w:bCs/>
                <w:position w:val="2"/>
                <w:rtl/>
              </w:rPr>
              <w:t xml:space="preserve">وITU-T X.1385 (X.evtol-sec) </w:t>
            </w:r>
            <w:r w:rsidRPr="00A06CDC">
              <w:rPr>
                <w:b/>
                <w:bCs/>
                <w:position w:val="2"/>
                <w:rtl/>
              </w:rPr>
              <w:t>التي تُقتر</w:t>
            </w:r>
            <w:r w:rsidRPr="00140BAC">
              <w:rPr>
                <w:b/>
                <w:bCs/>
                <w:position w:val="2"/>
                <w:rtl/>
              </w:rPr>
              <w:t>ح الموافقة عليها خلال اجتماع لجنة الدراسات 17 لقطاع تقييس الاتصالات، الذي سيُعقد في جنيف، 8-17 أبريل 2025</w:t>
            </w:r>
            <w:bookmarkEnd w:id="0"/>
          </w:p>
        </w:tc>
      </w:tr>
    </w:tbl>
    <w:p w14:paraId="4EAC3A70" w14:textId="77777777" w:rsidR="00D517B2" w:rsidRPr="00140BAC" w:rsidRDefault="00D517B2" w:rsidP="006635B2">
      <w:pPr>
        <w:spacing w:before="600"/>
        <w:rPr>
          <w:lang w:bidi="ar-SY"/>
        </w:rPr>
      </w:pPr>
      <w:r w:rsidRPr="00140BAC">
        <w:rPr>
          <w:rFonts w:hint="cs"/>
          <w:rtl/>
          <w:lang w:bidi="ar-SY"/>
        </w:rPr>
        <w:t>حضرات السادة والسيدات،</w:t>
      </w:r>
    </w:p>
    <w:p w14:paraId="404AA88A" w14:textId="77777777" w:rsidR="00D517B2" w:rsidRPr="00140BAC" w:rsidRDefault="00D517B2" w:rsidP="00D517B2">
      <w:pPr>
        <w:rPr>
          <w:rtl/>
          <w:lang w:bidi="ar-EG"/>
        </w:rPr>
      </w:pPr>
      <w:r w:rsidRPr="00140BAC">
        <w:rPr>
          <w:rFonts w:hint="cs"/>
          <w:rtl/>
        </w:rPr>
        <w:t>تحية طيبة وبعد،</w:t>
      </w:r>
    </w:p>
    <w:p w14:paraId="6A577751" w14:textId="6F4F1E53" w:rsidR="00140BAC" w:rsidRPr="00140BAC" w:rsidRDefault="00140BAC" w:rsidP="00807BBB">
      <w:pPr>
        <w:rPr>
          <w:lang w:val="ar-SA" w:bidi="ar-SY"/>
        </w:rPr>
      </w:pPr>
      <w:r w:rsidRPr="00140BAC">
        <w:rPr>
          <w:rtl/>
        </w:rPr>
        <w:t>1</w:t>
      </w:r>
      <w:r w:rsidRPr="00140BAC">
        <w:rPr>
          <w:rtl/>
        </w:rPr>
        <w:tab/>
        <w:t>تعتزم لجنة الدراسات 17 لقطاع تقييس الاتصالات (الأمن) تطبيق إجراء الموافقة التقليدية على النحو المبيّن في القسم 9 من القرار 1 (المراجَع في جنيف، 2022) للجمعية العالمية لتقييس الاتصالات (</w:t>
      </w:r>
      <w:r w:rsidRPr="00140BAC">
        <w:rPr>
          <w:lang w:val="en-GB" w:bidi="ar-SY"/>
        </w:rPr>
        <w:t>WTSA</w:t>
      </w:r>
      <w:r w:rsidRPr="00140BAC">
        <w:rPr>
          <w:rtl/>
        </w:rPr>
        <w:t xml:space="preserve">)، للموافقة على مشاريع التوصيات المذكورة أعلاه خلال اجتماعها المقبل الذي سيُعقد في </w:t>
      </w:r>
      <w:r w:rsidRPr="00140BAC">
        <w:rPr>
          <w:b/>
          <w:bCs/>
          <w:rtl/>
        </w:rPr>
        <w:t>جنيف في الفترة 8-17 أبريل 2025</w:t>
      </w:r>
      <w:r w:rsidRPr="00140BAC">
        <w:rPr>
          <w:rtl/>
        </w:rPr>
        <w:t xml:space="preserve">. ويمكن الاطلاع على جدول أعمال اجتماع لجنة الدراسات 17 لقطاع تقييس الاتصالات وجميع المعلومات ذات الصلة في الرسالة الجماعية </w:t>
      </w:r>
      <w:hyperlink r:id="rId10" w:history="1">
        <w:r w:rsidR="00807BBB" w:rsidRPr="00807BBB">
          <w:rPr>
            <w:rStyle w:val="Hyperlink"/>
            <w:lang w:val="en-GB" w:bidi="ar-SY"/>
          </w:rPr>
          <w:t>1/17</w:t>
        </w:r>
      </w:hyperlink>
      <w:r w:rsidRPr="00140BAC">
        <w:rPr>
          <w:rtl/>
        </w:rPr>
        <w:t>.</w:t>
      </w:r>
    </w:p>
    <w:p w14:paraId="38894BE6" w14:textId="77777777" w:rsidR="00140BAC" w:rsidRPr="00140BAC" w:rsidRDefault="00140BAC" w:rsidP="00140BAC">
      <w:pPr>
        <w:rPr>
          <w:lang w:val="ar-SA" w:bidi="ar-SY"/>
        </w:rPr>
      </w:pPr>
      <w:r w:rsidRPr="00140BAC">
        <w:rPr>
          <w:rtl/>
        </w:rPr>
        <w:t>2</w:t>
      </w:r>
      <w:r w:rsidRPr="00140BAC">
        <w:rPr>
          <w:rtl/>
        </w:rPr>
        <w:tab/>
        <w:t xml:space="preserve">ويمكن الاطلاع في </w:t>
      </w:r>
      <w:r w:rsidRPr="00140BAC">
        <w:rPr>
          <w:b/>
          <w:bCs/>
          <w:rtl/>
        </w:rPr>
        <w:t>الملحق 1</w:t>
      </w:r>
      <w:r w:rsidRPr="00140BAC">
        <w:rPr>
          <w:rtl/>
        </w:rPr>
        <w:t xml:space="preserve"> على عناوين وملخصات مشاريع توصيات قطاع تقييس الاتصالات المقترح الموافقة عليها والوثائق التي ترد فيها.</w:t>
      </w:r>
    </w:p>
    <w:p w14:paraId="0631787F" w14:textId="0D701646" w:rsidR="00140BAC" w:rsidRPr="00140BAC" w:rsidRDefault="00140BAC" w:rsidP="0024690B">
      <w:pPr>
        <w:pStyle w:val="Note"/>
        <w:rPr>
          <w:lang w:val="ar-SA" w:bidi="ar-SY"/>
        </w:rPr>
      </w:pPr>
      <w:r w:rsidRPr="00140BAC">
        <w:rPr>
          <w:b/>
          <w:bCs/>
          <w:rtl/>
        </w:rPr>
        <w:t xml:space="preserve">الملاحظة 1 </w:t>
      </w:r>
      <w:r w:rsidR="009D5C27">
        <w:rPr>
          <w:rFonts w:hint="cs"/>
          <w:b/>
          <w:bCs/>
          <w:rtl/>
          <w:lang w:bidi="ar-EG"/>
        </w:rPr>
        <w:t xml:space="preserve">من </w:t>
      </w:r>
      <w:r w:rsidRPr="00140BAC">
        <w:rPr>
          <w:b/>
          <w:bCs/>
          <w:rtl/>
        </w:rPr>
        <w:t>مكتب تقييس الاتصالات</w:t>
      </w:r>
      <w:r w:rsidRPr="00140BAC">
        <w:rPr>
          <w:rtl/>
        </w:rPr>
        <w:t xml:space="preserve"> – باستثناء مشروع التوصية الجديدة </w:t>
      </w:r>
      <w:r w:rsidRPr="00140BAC">
        <w:rPr>
          <w:b/>
          <w:bCs/>
          <w:rtl/>
        </w:rPr>
        <w:t>X.1648 (X.gecds)</w:t>
      </w:r>
      <w:r w:rsidRPr="00140BAC">
        <w:rPr>
          <w:rtl/>
        </w:rPr>
        <w:t>، لم يُقدّم أي تسويغ بموجب التوصية</w:t>
      </w:r>
      <w:r w:rsidR="009D5C27">
        <w:rPr>
          <w:rFonts w:hint="cs"/>
          <w:rtl/>
        </w:rPr>
        <w:t> </w:t>
      </w:r>
      <w:r w:rsidRPr="00140BAC">
        <w:rPr>
          <w:rtl/>
        </w:rPr>
        <w:t>ITU-T A.5 فيما يتعلق بالنصوص المحددة الأخرى.</w:t>
      </w:r>
    </w:p>
    <w:p w14:paraId="32E84D9F" w14:textId="788B33FF" w:rsidR="00140BAC" w:rsidRPr="00140BAC" w:rsidRDefault="00140BAC" w:rsidP="0024690B">
      <w:pPr>
        <w:pStyle w:val="Note"/>
        <w:rPr>
          <w:lang w:val="ar-SA" w:bidi="ar-SY"/>
        </w:rPr>
      </w:pPr>
      <w:r w:rsidRPr="00140BAC">
        <w:rPr>
          <w:b/>
          <w:bCs/>
          <w:rtl/>
        </w:rPr>
        <w:t xml:space="preserve">الملاحظة 2 </w:t>
      </w:r>
      <w:r w:rsidR="009D5C27">
        <w:rPr>
          <w:rFonts w:hint="cs"/>
          <w:b/>
          <w:bCs/>
          <w:rtl/>
          <w:lang w:bidi="ar-EG"/>
        </w:rPr>
        <w:t xml:space="preserve">من </w:t>
      </w:r>
      <w:r w:rsidRPr="00140BAC">
        <w:rPr>
          <w:b/>
          <w:bCs/>
          <w:rtl/>
        </w:rPr>
        <w:t>مكتب تقييس الاتصالات</w:t>
      </w:r>
      <w:r w:rsidRPr="00140BAC">
        <w:rPr>
          <w:rtl/>
        </w:rPr>
        <w:t xml:space="preserve"> – لم يتلق مكتب تقييس الاتصالات حتى تاريخ هذه الرسالة المعممة أي بيانات عن حقوق الملكية الفكرية فيما يتعلق بأي من هذه النصوص المحددة. وللاطلاع على معلومات محدّثة بهذا الشأن، يُرجى من الأعضاء الرجوع إلى قاعدة بيانات حقوق الملكية الفكرية المتاحة في العنوان التالي: </w:t>
      </w:r>
      <w:hyperlink r:id="rId11" w:history="1">
        <w:r w:rsidR="00BF0DBD" w:rsidRPr="00BF0DBD">
          <w:rPr>
            <w:rStyle w:val="Hyperlink"/>
            <w:lang w:val="en-GB" w:bidi="ar-SY"/>
          </w:rPr>
          <w:t>www.itu.int/ipr/</w:t>
        </w:r>
      </w:hyperlink>
      <w:r w:rsidRPr="00140BAC">
        <w:rPr>
          <w:rtl/>
        </w:rPr>
        <w:t>.</w:t>
      </w:r>
    </w:p>
    <w:p w14:paraId="14F68A0E" w14:textId="77777777" w:rsidR="00140BAC" w:rsidRPr="00140BAC" w:rsidRDefault="00140BAC" w:rsidP="00140BAC">
      <w:pPr>
        <w:rPr>
          <w:lang w:val="ar-SA" w:bidi="ar-SY"/>
        </w:rPr>
      </w:pPr>
      <w:r w:rsidRPr="00140BAC">
        <w:rPr>
          <w:rtl/>
        </w:rPr>
        <w:t>3</w:t>
      </w:r>
      <w:r w:rsidRPr="00140BAC">
        <w:rPr>
          <w:rtl/>
        </w:rPr>
        <w:tab/>
        <w:t xml:space="preserve">وتستهل هذه الرسالة المعممة عملية المشاورة الرسمية مع الدول الأعضاء في الاتحاد لتحديد ما إذا كان يمكن النظر في هذه النصوص بغرض الموافقة عليها خلال الاجتماع المقبل، وفقاً لأحكام الفقرة 4.9 من القرار 1. ويُرجى من الدول الأعضاء ملء الاستمارة الواردة في </w:t>
      </w:r>
      <w:r w:rsidRPr="00140BAC">
        <w:rPr>
          <w:b/>
          <w:bCs/>
          <w:rtl/>
        </w:rPr>
        <w:t>الملحق 2</w:t>
      </w:r>
      <w:r w:rsidRPr="00140BAC">
        <w:rPr>
          <w:rtl/>
        </w:rPr>
        <w:t xml:space="preserve"> وإعادتها في موعد أقصاه </w:t>
      </w:r>
      <w:r w:rsidRPr="00140BAC">
        <w:rPr>
          <w:b/>
          <w:bCs/>
          <w:rtl/>
        </w:rPr>
        <w:t>27 مارس 2025</w:t>
      </w:r>
      <w:r w:rsidRPr="00140BAC">
        <w:rPr>
          <w:rtl/>
        </w:rPr>
        <w:t xml:space="preserve">، </w:t>
      </w:r>
      <w:r w:rsidRPr="00140BAC">
        <w:rPr>
          <w:b/>
          <w:bCs/>
          <w:rtl/>
        </w:rPr>
        <w:t>الساعة 23:59</w:t>
      </w:r>
      <w:r w:rsidRPr="00140BAC">
        <w:rPr>
          <w:rtl/>
        </w:rPr>
        <w:t xml:space="preserve"> بالتوقيت العالمي المنسق.</w:t>
      </w:r>
    </w:p>
    <w:p w14:paraId="0B308569" w14:textId="511B04E4" w:rsidR="00D517B2" w:rsidRPr="00140BAC" w:rsidRDefault="00140BAC" w:rsidP="00140BAC">
      <w:pPr>
        <w:rPr>
          <w:rtl/>
          <w:lang w:bidi="ar-SY"/>
        </w:rPr>
      </w:pPr>
      <w:r w:rsidRPr="00140BAC">
        <w:rPr>
          <w:rtl/>
        </w:rPr>
        <w:lastRenderedPageBreak/>
        <w:t>4</w:t>
      </w:r>
      <w:r w:rsidRPr="00140BAC">
        <w:rPr>
          <w:rtl/>
        </w:rPr>
        <w:tab/>
        <w:t>وإذا كانت 70 في المائة أو أكثر من الردود الواردة من الدول الأعضاء تؤيد النظر في النصوص بغرض الموافقة عليها، فسوف تُكرَّس جلسة عامة لتطبيق إجراء الموافقة. 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 العمل.</w:t>
      </w:r>
    </w:p>
    <w:p w14:paraId="5F7AC75D" w14:textId="28AFDDED" w:rsidR="00E84438" w:rsidRPr="00D517B2" w:rsidRDefault="00BC476F" w:rsidP="00891703">
      <w:pPr>
        <w:spacing w:before="240"/>
        <w:jc w:val="left"/>
        <w:rPr>
          <w:rtl/>
          <w:lang w:bidi="ar-EG"/>
        </w:rPr>
      </w:pPr>
      <w:r>
        <w:rPr>
          <w:rFonts w:hint="cs"/>
          <w:noProof/>
          <w:rtl/>
          <w:lang w:val="ar-SY" w:bidi="ar-SY"/>
        </w:rPr>
        <w:drawing>
          <wp:anchor distT="0" distB="0" distL="114300" distR="114300" simplePos="0" relativeHeight="251658240" behindDoc="1" locked="0" layoutInCell="1" allowOverlap="1" wp14:anchorId="031F78DE" wp14:editId="69AE0B40">
            <wp:simplePos x="0" y="0"/>
            <wp:positionH relativeFrom="column">
              <wp:posOffset>5251450</wp:posOffset>
            </wp:positionH>
            <wp:positionV relativeFrom="paragraph">
              <wp:posOffset>304800</wp:posOffset>
            </wp:positionV>
            <wp:extent cx="857603" cy="593725"/>
            <wp:effectExtent l="0" t="0" r="0" b="0"/>
            <wp:wrapNone/>
            <wp:docPr id="266014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14107" name="Picture 266014107"/>
                    <pic:cNvPicPr/>
                  </pic:nvPicPr>
                  <pic:blipFill>
                    <a:blip r:embed="rId12">
                      <a:extLst>
                        <a:ext uri="{28A0092B-C50C-407E-A947-70E740481C1C}">
                          <a14:useLocalDpi xmlns:a14="http://schemas.microsoft.com/office/drawing/2010/main" val="0"/>
                        </a:ext>
                      </a:extLst>
                    </a:blip>
                    <a:stretch>
                      <a:fillRect/>
                    </a:stretch>
                  </pic:blipFill>
                  <pic:spPr>
                    <a:xfrm>
                      <a:off x="0" y="0"/>
                      <a:ext cx="857603" cy="593725"/>
                    </a:xfrm>
                    <a:prstGeom prst="rect">
                      <a:avLst/>
                    </a:prstGeom>
                  </pic:spPr>
                </pic:pic>
              </a:graphicData>
            </a:graphic>
            <wp14:sizeRelH relativeFrom="margin">
              <wp14:pctWidth>0</wp14:pctWidth>
            </wp14:sizeRelH>
            <wp14:sizeRelV relativeFrom="margin">
              <wp14:pctHeight>0</wp14:pctHeight>
            </wp14:sizeRelV>
          </wp:anchor>
        </w:drawing>
      </w:r>
      <w:r w:rsidR="00E84438" w:rsidRPr="00140BAC">
        <w:rPr>
          <w:rFonts w:hint="cs"/>
          <w:rtl/>
          <w:lang w:bidi="ar-EG"/>
        </w:rPr>
        <w:t>وتفضلوا بقبول فائق التقدير والاحترام.</w:t>
      </w:r>
    </w:p>
    <w:p w14:paraId="03CD66E1" w14:textId="4A2FD94B" w:rsidR="00E84438" w:rsidRDefault="00807031" w:rsidP="00DA53B3">
      <w:pPr>
        <w:spacing w:before="840"/>
        <w:jc w:val="left"/>
        <w:rPr>
          <w:rtl/>
          <w:lang w:bidi="ar-SY"/>
        </w:rPr>
      </w:pPr>
      <w:r>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52D4BFC0" w14:textId="5300EA9C" w:rsidR="00140BAC" w:rsidRPr="00D517B2" w:rsidRDefault="00140BAC" w:rsidP="00140BAC">
      <w:pPr>
        <w:spacing w:before="600"/>
        <w:jc w:val="left"/>
        <w:rPr>
          <w:rtl/>
        </w:rPr>
      </w:pPr>
      <w:r w:rsidRPr="00140BAC">
        <w:rPr>
          <w:b/>
          <w:bCs/>
          <w:rtl/>
        </w:rPr>
        <w:t>الملحقات</w:t>
      </w:r>
      <w:r w:rsidRPr="00140BAC">
        <w:rPr>
          <w:lang w:val="en-GB"/>
        </w:rPr>
        <w:t>:</w:t>
      </w:r>
      <w:r w:rsidRPr="00140BAC">
        <w:rPr>
          <w:rtl/>
        </w:rPr>
        <w:t xml:space="preserve"> 2</w:t>
      </w:r>
    </w:p>
    <w:p w14:paraId="79F068F4" w14:textId="77777777" w:rsidR="00596808" w:rsidRDefault="00596808" w:rsidP="00E84438">
      <w:pPr>
        <w:rPr>
          <w:rtl/>
          <w:lang w:bidi="ar-EG"/>
        </w:rPr>
      </w:pPr>
      <w:r>
        <w:rPr>
          <w:rtl/>
          <w:lang w:bidi="ar-EG"/>
        </w:rPr>
        <w:br w:type="page"/>
      </w:r>
    </w:p>
    <w:p w14:paraId="453F488F" w14:textId="77777777" w:rsidR="00140BAC" w:rsidRPr="00C87E0E" w:rsidRDefault="00140BAC" w:rsidP="00C87E0E">
      <w:pPr>
        <w:pStyle w:val="AnnexNo"/>
        <w:rPr>
          <w:b/>
          <w:bCs/>
          <w:lang w:val="ar-SA" w:bidi="ar-EG"/>
        </w:rPr>
      </w:pPr>
      <w:r w:rsidRPr="00C87E0E">
        <w:rPr>
          <w:b/>
          <w:bCs/>
          <w:rtl/>
        </w:rPr>
        <w:lastRenderedPageBreak/>
        <w:t>الملحق 1</w:t>
      </w:r>
    </w:p>
    <w:p w14:paraId="27CF6F7E" w14:textId="7D08E6D8" w:rsidR="00140BAC" w:rsidRPr="00140BAC" w:rsidRDefault="00140BAC" w:rsidP="00C87E0E">
      <w:pPr>
        <w:pStyle w:val="Annextitle"/>
        <w:rPr>
          <w:lang w:val="ar-SA" w:bidi="ar-EG"/>
        </w:rPr>
      </w:pPr>
      <w:r w:rsidRPr="00140BAC">
        <w:rPr>
          <w:rtl/>
        </w:rPr>
        <w:t>ملخصات مشاريع التوصيات الجديدة المحددة ITU-T X.1355 (X.ra-iot)</w:t>
      </w:r>
      <w:r w:rsidR="00584FEB">
        <w:br/>
      </w:r>
      <w:r w:rsidRPr="00140BAC">
        <w:rPr>
          <w:rtl/>
        </w:rPr>
        <w:t xml:space="preserve">وITU-T X.1456 (X.sgdfs-us) وITU-T X.1648 (X.gecds) وITU-T X.1284 (X.afotak) وITU-T X.1385 (X.evtol-sec) والوثائق التي ترد فيها </w:t>
      </w:r>
    </w:p>
    <w:p w14:paraId="5BF4EA92" w14:textId="598CE567" w:rsidR="00140BAC" w:rsidRPr="00140BAC" w:rsidRDefault="00140BAC" w:rsidP="00584FEB">
      <w:pPr>
        <w:pStyle w:val="Heading1"/>
        <w:rPr>
          <w:lang w:val="ar-SA" w:bidi="ar-EG"/>
        </w:rPr>
      </w:pPr>
      <w:r w:rsidRPr="00140BAC">
        <w:rPr>
          <w:lang w:val="ar-SA" w:bidi="ar-EG"/>
        </w:rPr>
        <w:t>1</w:t>
      </w:r>
      <w:r w:rsidRPr="00140BAC">
        <w:rPr>
          <w:lang w:val="ar-SA" w:bidi="ar-EG"/>
        </w:rPr>
        <w:tab/>
      </w:r>
      <w:r w:rsidRPr="00140BAC">
        <w:rPr>
          <w:rtl/>
        </w:rPr>
        <w:t xml:space="preserve">مشروع التوصية الجديدة ITU-T X.1355 (X.ra-iot) </w:t>
      </w:r>
      <w:r w:rsidRPr="00140BAC">
        <w:rPr>
          <w:lang w:val="en-GB" w:bidi="ar-EG"/>
        </w:rPr>
        <w:t>[SG17-</w:t>
      </w:r>
      <w:hyperlink r:id="rId13" w:history="1">
        <w:r w:rsidR="00584FEB" w:rsidRPr="00584FEB">
          <w:rPr>
            <w:rStyle w:val="Hyperlink"/>
            <w:lang w:val="en-GB" w:bidi="ar-EG"/>
          </w:rPr>
          <w:t>R75</w:t>
        </w:r>
      </w:hyperlink>
      <w:r w:rsidRPr="00140BAC">
        <w:rPr>
          <w:lang w:val="en-GB" w:bidi="ar-EG"/>
        </w:rPr>
        <w:t>]</w:t>
      </w:r>
    </w:p>
    <w:p w14:paraId="5DD7CCE9" w14:textId="77777777" w:rsidR="00140BAC" w:rsidRPr="00914477" w:rsidRDefault="00140BAC" w:rsidP="009D5C27">
      <w:pPr>
        <w:pStyle w:val="Headingb"/>
        <w:rPr>
          <w:lang w:val="ar-SA" w:bidi="ar-EG"/>
        </w:rPr>
      </w:pPr>
      <w:r w:rsidRPr="00914477">
        <w:rPr>
          <w:rtl/>
        </w:rPr>
        <w:t xml:space="preserve">إطار تحليل المخاطر الأمنية في أجهزة إنترنت الأشياء </w:t>
      </w:r>
      <w:r w:rsidRPr="00914477">
        <w:rPr>
          <w:lang w:val="en-GB" w:bidi="ar-EG"/>
        </w:rPr>
        <w:t>IoT</w:t>
      </w:r>
      <w:r w:rsidRPr="00914477">
        <w:rPr>
          <w:lang w:bidi="ar-EG"/>
        </w:rPr>
        <w:t>)</w:t>
      </w:r>
      <w:r w:rsidRPr="00914477">
        <w:rPr>
          <w:rtl/>
        </w:rPr>
        <w:t>)</w:t>
      </w:r>
    </w:p>
    <w:p w14:paraId="3ADCF9BC" w14:textId="77777777" w:rsidR="00140BAC" w:rsidRPr="00140BAC" w:rsidRDefault="00140BAC" w:rsidP="00E67FA4">
      <w:pPr>
        <w:pStyle w:val="Headingb"/>
        <w:rPr>
          <w:lang w:val="ar-SA" w:bidi="ar-EG"/>
        </w:rPr>
      </w:pPr>
      <w:r w:rsidRPr="00140BAC">
        <w:rPr>
          <w:rtl/>
        </w:rPr>
        <w:t>ملخص</w:t>
      </w:r>
    </w:p>
    <w:p w14:paraId="4A657B23" w14:textId="77777777" w:rsidR="00140BAC" w:rsidRPr="00140BAC" w:rsidRDefault="00140BAC" w:rsidP="00140BAC">
      <w:pPr>
        <w:rPr>
          <w:lang w:val="ar-SA" w:bidi="ar-EG"/>
        </w:rPr>
      </w:pPr>
      <w:r w:rsidRPr="00140BAC">
        <w:rPr>
          <w:rtl/>
        </w:rPr>
        <w:t xml:space="preserve">تشمل إنترنت الأشياء </w:t>
      </w:r>
      <w:r w:rsidRPr="00140BAC">
        <w:rPr>
          <w:lang w:val="en-GB" w:bidi="ar-EG"/>
        </w:rPr>
        <w:t>(IoT)</w:t>
      </w:r>
      <w:r w:rsidRPr="00140BAC">
        <w:rPr>
          <w:rtl/>
        </w:rPr>
        <w:t xml:space="preserve"> تطبيقات متنوعة في قطاعات من قبيل الرعاية الصحية والنقل وأنظمة التحكم الصناعية والمدن الذكية والمنازل الذكية. وتؤدي إنترنت الأشياء دوراً حيوياً في تمكين الخدمات المتقدمة من خلال توصيل الكيانات المادية والكيانات الافتراضية. ومع ذلك، فإن أجهزة إنترنت الأشياء معرضة للهجمات السيبرانية بسبب وظيفتها في جمع ومعالجة ونقل البيانات الحساسة داخل بيئة إنترنت الأشياء. ويمكن أن تؤدي الخروقات الأمنية في أجهزة إنترنت الأشياء إلى عواقب خطيرة، بما في ذلك النفاذ غير المخول إلى المعلومات، وتعطيل الخدمات الحيوية، ويمكن أن تكون لها تبعات مالية وأن تتسبب أيضاً في أضرار مادية. وبالتالي، فإن من الضروري حماية البيانات وصون أنظمة إنترنت الأشياء بضمان أمنها. </w:t>
      </w:r>
    </w:p>
    <w:p w14:paraId="3231BF63" w14:textId="77777777" w:rsidR="00140BAC" w:rsidRPr="00140BAC" w:rsidRDefault="00140BAC" w:rsidP="00140BAC">
      <w:pPr>
        <w:rPr>
          <w:lang w:val="ar-SA" w:bidi="ar-EG"/>
        </w:rPr>
      </w:pPr>
      <w:r w:rsidRPr="00140BAC">
        <w:rPr>
          <w:rtl/>
        </w:rPr>
        <w:t xml:space="preserve">ومن الضروري اعتماد نهج لإدارة المخاطر لتأمين أجهزة إنترنت الأشياء، على غرار الممارسات المتبعة في أمن تكنولوجيا المعلومات. وتستتبع استراتيجية قوية لإدارة المخاطر تحديد التهديدات المحتملة وتقييم احتمال حدوثها وتأثيرها والتخفيف منها بشكل منهجي. ولا تسهّل هذه الطريقة تحديد أولويات المخاطر والامتثال للوائح فحسب، بل تعزز أيضاً ثقة أصحاب المصلحة كما تعزز القدرة على الصمود أمام التهديدات الناشئة. ويُمثل تحليل المخاطر حجر الأساس في هذه العملية الحيوية، حيث يعمل كخطوة أولية نحو تحصين بيئة إنترنت الأشياء. </w:t>
      </w:r>
    </w:p>
    <w:p w14:paraId="3988125B" w14:textId="77777777" w:rsidR="00140BAC" w:rsidRPr="00140BAC" w:rsidRDefault="00140BAC" w:rsidP="00140BAC">
      <w:pPr>
        <w:rPr>
          <w:lang w:val="ar-SA" w:bidi="ar-EG"/>
        </w:rPr>
      </w:pPr>
      <w:r w:rsidRPr="00140BAC">
        <w:rPr>
          <w:rtl/>
        </w:rPr>
        <w:t>وتضع هذه التوصية إطاراً شاملاً لتحليل المخاطر الأمنية مصمماً خصيصاً لأجهزة إنترنت الأشياء. ويشمل الإطار تحديد هدف التحليل، وتحديد التهديدات المحتملة، وتقييم هذه التهديدات من أجل وضع استراتيجيات فعالة للتخفيف. ويوفر هذا الإطار نهجاً نظامياً لتمكين أصحاب المصلحة من تقييم ومعالجة المخاطر الأمنية المرتبطة بأجهزة إنترنت الأشياء، سواء كانوا يمتلكون قدرات الاتصال أو التفعيل أو الاستشعار أو معالجة البيانات أو تخزينها. وهذا الإطار قابل للتكيف عبر صناعات متنوعة وأنواع مختلفة من أجهزة إنترنت الأشياء، ويدعم بذلك تنفيذ حلول إنترنت الأشياء الآمنة من خلال تحليل دقيق للمخاطر والتخفيف من التهديدات المحتملة.</w:t>
      </w:r>
    </w:p>
    <w:p w14:paraId="3434FB49" w14:textId="6131AA91" w:rsidR="00140BAC" w:rsidRPr="00140BAC" w:rsidRDefault="00140BAC" w:rsidP="00EA273D">
      <w:pPr>
        <w:pStyle w:val="Heading1"/>
        <w:rPr>
          <w:lang w:val="ar-SA" w:bidi="ar-EG"/>
        </w:rPr>
      </w:pPr>
      <w:r w:rsidRPr="00140BAC">
        <w:rPr>
          <w:lang w:val="ar-SA" w:bidi="ar-EG"/>
        </w:rPr>
        <w:t>2</w:t>
      </w:r>
      <w:r w:rsidRPr="00140BAC">
        <w:rPr>
          <w:lang w:val="ar-SA" w:bidi="ar-EG"/>
        </w:rPr>
        <w:tab/>
      </w:r>
      <w:r w:rsidRPr="00140BAC">
        <w:rPr>
          <w:rtl/>
        </w:rPr>
        <w:t xml:space="preserve">مشروع التوصية الجديدة ITU-T X.1456 (X.sgdfs-us) </w:t>
      </w:r>
      <w:r w:rsidRPr="00140BAC">
        <w:rPr>
          <w:lang w:val="en-GB" w:bidi="ar-EG"/>
        </w:rPr>
        <w:t>[SG17-</w:t>
      </w:r>
      <w:hyperlink r:id="rId14" w:history="1">
        <w:r w:rsidR="00EA273D" w:rsidRPr="00EA273D">
          <w:rPr>
            <w:rStyle w:val="Hyperlink"/>
            <w:lang w:val="en-GB" w:bidi="ar-EG"/>
          </w:rPr>
          <w:t>R76</w:t>
        </w:r>
      </w:hyperlink>
      <w:r w:rsidRPr="00140BAC">
        <w:rPr>
          <w:lang w:val="en-GB" w:bidi="ar-EG"/>
        </w:rPr>
        <w:t>]</w:t>
      </w:r>
    </w:p>
    <w:p w14:paraId="6F98EB45" w14:textId="77777777" w:rsidR="00140BAC" w:rsidRPr="00140BAC" w:rsidRDefault="00140BAC" w:rsidP="009D5C27">
      <w:pPr>
        <w:pStyle w:val="Headingb"/>
        <w:ind w:left="0" w:firstLine="0"/>
        <w:rPr>
          <w:lang w:val="ar-SA" w:bidi="ar-EG"/>
        </w:rPr>
      </w:pPr>
      <w:r w:rsidRPr="00140BAC">
        <w:rPr>
          <w:rtl/>
        </w:rPr>
        <w:t>مبادئ توجيهية أمنية لتطبيقات الخدمات المالية الرقمية (</w:t>
      </w:r>
      <w:r w:rsidRPr="00140BAC">
        <w:rPr>
          <w:lang w:bidi="ar-EG"/>
        </w:rPr>
        <w:t>(</w:t>
      </w:r>
      <w:r w:rsidRPr="00140BAC">
        <w:rPr>
          <w:lang w:val="en-GB" w:bidi="ar-EG"/>
        </w:rPr>
        <w:t>DFS</w:t>
      </w:r>
      <w:r w:rsidRPr="00140BAC">
        <w:rPr>
          <w:rtl/>
        </w:rPr>
        <w:t xml:space="preserve"> استناداً إلى بيانات الخدمة التكميلية غير المهيكلة (</w:t>
      </w:r>
      <w:r w:rsidRPr="00140BAC">
        <w:rPr>
          <w:lang w:val="en-GB" w:bidi="ar-EG"/>
        </w:rPr>
        <w:t>USSD</w:t>
      </w:r>
      <w:r w:rsidRPr="00140BAC">
        <w:rPr>
          <w:rtl/>
        </w:rPr>
        <w:t>) ومجموعة أدوات وحدة تعرُّف هوية المشترك (</w:t>
      </w:r>
      <w:r w:rsidRPr="00140BAC">
        <w:rPr>
          <w:lang w:val="en-GB" w:bidi="ar-EG"/>
        </w:rPr>
        <w:t>STK</w:t>
      </w:r>
      <w:r w:rsidRPr="00140BAC">
        <w:rPr>
          <w:rtl/>
        </w:rPr>
        <w:t>)</w:t>
      </w:r>
    </w:p>
    <w:p w14:paraId="5886A868" w14:textId="77777777" w:rsidR="00140BAC" w:rsidRPr="00140BAC" w:rsidRDefault="00140BAC" w:rsidP="00EA2A8E">
      <w:pPr>
        <w:pStyle w:val="Headingb"/>
        <w:rPr>
          <w:lang w:val="ar-SA" w:bidi="ar-EG"/>
        </w:rPr>
      </w:pPr>
      <w:r w:rsidRPr="00140BAC">
        <w:rPr>
          <w:rtl/>
        </w:rPr>
        <w:t>ملخص</w:t>
      </w:r>
    </w:p>
    <w:p w14:paraId="40F77ED0" w14:textId="77777777" w:rsidR="00140BAC" w:rsidRPr="00140BAC" w:rsidRDefault="00140BAC" w:rsidP="00140BAC">
      <w:pPr>
        <w:rPr>
          <w:lang w:val="ar-SA" w:bidi="ar-EG"/>
        </w:rPr>
      </w:pPr>
      <w:r w:rsidRPr="00140BAC">
        <w:rPr>
          <w:rtl/>
        </w:rPr>
        <w:t>تقدم هذه التوصية مبادئ توجيهية أمنية لتطبيقات الخدمات المالية الرقمية (</w:t>
      </w:r>
      <w:r w:rsidRPr="00140BAC">
        <w:rPr>
          <w:lang w:bidi="ar-EG"/>
        </w:rPr>
        <w:t>(</w:t>
      </w:r>
      <w:r w:rsidRPr="00140BAC">
        <w:rPr>
          <w:lang w:val="en-GB" w:bidi="ar-EG"/>
        </w:rPr>
        <w:t>DFS</w:t>
      </w:r>
      <w:r w:rsidRPr="00140BAC">
        <w:rPr>
          <w:rtl/>
        </w:rPr>
        <w:t xml:space="preserve"> استناداً إلى بيانات الخدمة التكميلية غير المهيكلة (</w:t>
      </w:r>
      <w:r w:rsidRPr="00140BAC">
        <w:rPr>
          <w:lang w:val="en-GB" w:bidi="ar-EG"/>
        </w:rPr>
        <w:t>USSD</w:t>
      </w:r>
      <w:r w:rsidRPr="00140BAC">
        <w:rPr>
          <w:rtl/>
        </w:rPr>
        <w:t>) ومجموعة أدوات وحدة تعرُّف هوية المشترك (</w:t>
      </w:r>
      <w:r w:rsidRPr="00140BAC">
        <w:rPr>
          <w:lang w:val="en-GB" w:bidi="ar-EG"/>
        </w:rPr>
        <w:t>STK</w:t>
      </w:r>
      <w:r w:rsidRPr="00140BAC">
        <w:rPr>
          <w:rtl/>
        </w:rPr>
        <w:t xml:space="preserve">) يمكن أن ينفذها مقدمو الخدمات المالية الرقمية ومشغلو الشبكات المتنقلة للتخفيف من المخاطر الأمنية المرتبطة بالبيانات </w:t>
      </w:r>
      <w:r w:rsidRPr="00140BAC">
        <w:rPr>
          <w:lang w:val="en-GB" w:bidi="ar-EG"/>
        </w:rPr>
        <w:t>USSD</w:t>
      </w:r>
      <w:r w:rsidRPr="00140BAC">
        <w:rPr>
          <w:rtl/>
        </w:rPr>
        <w:t xml:space="preserve"> ومجموعة الأدوات </w:t>
      </w:r>
      <w:r w:rsidRPr="00140BAC">
        <w:rPr>
          <w:lang w:val="en-GB" w:bidi="ar-EG"/>
        </w:rPr>
        <w:t>STK</w:t>
      </w:r>
      <w:r w:rsidRPr="00140BAC">
        <w:rPr>
          <w:rtl/>
        </w:rPr>
        <w:t xml:space="preserve"> بالنسبة إلى تطبيقات الخدمات المالية الرقمية. ويتناول مشروع التوصية هذا الجوانب التالية:</w:t>
      </w:r>
    </w:p>
    <w:p w14:paraId="71C8D404" w14:textId="1C28A01F" w:rsidR="00140BAC" w:rsidRPr="00140BAC" w:rsidRDefault="009D5C27" w:rsidP="00B3571E">
      <w:pPr>
        <w:pStyle w:val="enumlev1"/>
        <w:rPr>
          <w:lang w:val="ar-SA" w:bidi="ar-EG"/>
        </w:rPr>
      </w:pPr>
      <w:r>
        <w:sym w:font="Symbol" w:char="F0B7"/>
      </w:r>
      <w:r w:rsidR="00140BAC" w:rsidRPr="00140BAC">
        <w:rPr>
          <w:rtl/>
        </w:rPr>
        <w:tab/>
        <w:t>التهديدات الأمنية ومواطن الضعف في الخدمات المالية الرقمية القائمة على بيانات الخدمات التكميلية غير المهيكلة ومجموعة أدوات وحدة تعرّف هوية المشترك.</w:t>
      </w:r>
    </w:p>
    <w:p w14:paraId="407A9138" w14:textId="0C5241AE" w:rsidR="00140BAC" w:rsidRPr="00140BAC" w:rsidRDefault="009D5C27" w:rsidP="00B3571E">
      <w:pPr>
        <w:pStyle w:val="enumlev1"/>
        <w:rPr>
          <w:lang w:val="ar-SA" w:bidi="ar-EG"/>
        </w:rPr>
      </w:pPr>
      <w:r>
        <w:sym w:font="Symbol" w:char="F0B7"/>
      </w:r>
      <w:r w:rsidR="00140BAC" w:rsidRPr="00140BAC">
        <w:rPr>
          <w:rtl/>
        </w:rPr>
        <w:tab/>
        <w:t>تحديد المجالات التي يمكن فيها تنفيذ التدابير الأمنية من خلال توفير نظرة متبصرة في المخاطر ومواطن الضعف المرتبطة بتطبيقات الخدمات المالية الرقمية.</w:t>
      </w:r>
    </w:p>
    <w:p w14:paraId="3921DD3F" w14:textId="0B49B447" w:rsidR="00140BAC" w:rsidRPr="00140BAC" w:rsidRDefault="009D5C27" w:rsidP="00B3571E">
      <w:pPr>
        <w:pStyle w:val="enumlev1"/>
        <w:rPr>
          <w:lang w:val="ar-SA" w:bidi="ar-EG"/>
        </w:rPr>
      </w:pPr>
      <w:r>
        <w:sym w:font="Symbol" w:char="F0B7"/>
      </w:r>
      <w:r w:rsidR="00140BAC" w:rsidRPr="00140BAC">
        <w:rPr>
          <w:rtl/>
        </w:rPr>
        <w:tab/>
        <w:t>الممارسات الأمنية لمشغلي الشبكات المتنقلة وم</w:t>
      </w:r>
      <w:r w:rsidR="006D4B92">
        <w:rPr>
          <w:rFonts w:hint="cs"/>
          <w:rtl/>
        </w:rPr>
        <w:t>ُ</w:t>
      </w:r>
      <w:r w:rsidR="00140BAC" w:rsidRPr="00140BAC">
        <w:rPr>
          <w:rtl/>
        </w:rPr>
        <w:t>قد</w:t>
      </w:r>
      <w:r w:rsidR="006D4B92">
        <w:rPr>
          <w:rFonts w:hint="cs"/>
          <w:rtl/>
        </w:rPr>
        <w:t>ّ</w:t>
      </w:r>
      <w:r w:rsidR="00140BAC" w:rsidRPr="00140BAC">
        <w:rPr>
          <w:rtl/>
        </w:rPr>
        <w:t>مي الخدمات المالية الرقمية.</w:t>
      </w:r>
    </w:p>
    <w:p w14:paraId="633193CD" w14:textId="6742BE21" w:rsidR="00140BAC" w:rsidRPr="00140BAC" w:rsidRDefault="00140BAC" w:rsidP="006D4B92">
      <w:pPr>
        <w:pStyle w:val="Heading1"/>
        <w:rPr>
          <w:lang w:val="ar-SA" w:bidi="ar-EG"/>
        </w:rPr>
      </w:pPr>
      <w:r w:rsidRPr="00140BAC">
        <w:rPr>
          <w:lang w:val="ar-SA" w:bidi="ar-EG"/>
        </w:rPr>
        <w:lastRenderedPageBreak/>
        <w:t>3</w:t>
      </w:r>
      <w:r w:rsidRPr="00140BAC">
        <w:rPr>
          <w:lang w:val="ar-SA" w:bidi="ar-EG"/>
        </w:rPr>
        <w:tab/>
      </w:r>
      <w:r w:rsidRPr="00140BAC">
        <w:rPr>
          <w:rtl/>
        </w:rPr>
        <w:t xml:space="preserve">مشروع التوصية الجديدة ITU-T X.1648 (X.gecds) </w:t>
      </w:r>
      <w:r w:rsidRPr="00140BAC">
        <w:rPr>
          <w:lang w:val="en-GB" w:bidi="ar-EG"/>
        </w:rPr>
        <w:t>[SG17-</w:t>
      </w:r>
      <w:hyperlink r:id="rId15" w:history="1">
        <w:r w:rsidR="006D4B92" w:rsidRPr="006D4B92">
          <w:rPr>
            <w:rStyle w:val="Hyperlink"/>
            <w:lang w:val="en-GB" w:bidi="ar-EG"/>
          </w:rPr>
          <w:t>R77</w:t>
        </w:r>
      </w:hyperlink>
      <w:r w:rsidRPr="00140BAC">
        <w:rPr>
          <w:lang w:val="en-GB" w:bidi="ar-EG"/>
        </w:rPr>
        <w:t>]</w:t>
      </w:r>
    </w:p>
    <w:p w14:paraId="7FFFF81C" w14:textId="77777777" w:rsidR="00140BAC" w:rsidRPr="00140BAC" w:rsidRDefault="00140BAC" w:rsidP="00140BAC">
      <w:pPr>
        <w:rPr>
          <w:b/>
          <w:bCs/>
          <w:lang w:val="ar-SA" w:bidi="ar-EG"/>
        </w:rPr>
      </w:pPr>
      <w:r w:rsidRPr="00140BAC">
        <w:rPr>
          <w:b/>
          <w:bCs/>
          <w:rtl/>
        </w:rPr>
        <w:t>مبادئ توجيهية لأمن بيانات حوسبة الحافة</w:t>
      </w:r>
      <w:r w:rsidRPr="00140BAC">
        <w:rPr>
          <w:bCs/>
          <w:rtl/>
        </w:rPr>
        <w:t xml:space="preserve"> </w:t>
      </w:r>
    </w:p>
    <w:p w14:paraId="19DE45CE" w14:textId="77777777" w:rsidR="00140BAC" w:rsidRPr="00140BAC" w:rsidRDefault="00140BAC" w:rsidP="00B3571E">
      <w:pPr>
        <w:pStyle w:val="Headingb"/>
        <w:rPr>
          <w:lang w:val="ar-SA" w:bidi="ar-EG"/>
        </w:rPr>
      </w:pPr>
      <w:r w:rsidRPr="00140BAC">
        <w:rPr>
          <w:rtl/>
        </w:rPr>
        <w:t>ملخص</w:t>
      </w:r>
    </w:p>
    <w:p w14:paraId="7F28BE95" w14:textId="77777777" w:rsidR="00140BAC" w:rsidRPr="00140BAC" w:rsidRDefault="00140BAC" w:rsidP="00140BAC">
      <w:pPr>
        <w:rPr>
          <w:lang w:val="ar-SA" w:bidi="ar-EG"/>
        </w:rPr>
      </w:pPr>
      <w:r w:rsidRPr="00140BAC">
        <w:rPr>
          <w:rtl/>
        </w:rPr>
        <w:t>توصِّف هذه التوصية كيفية تأثير المعمارية المرجعية لحوسبة الحافة على أمن البيانات على حافة الشبكة وتحلل التهديدات والتحديات الأمنية المعرضة لها حوسبة الحافة. فضلاً عن ذلك، تقترح التوصية مبادئ توجيهية أمنية بشأن حوسبة الحافة لشتى الأدوار المتعلقة بتطبيقات حوسبة الحافة.</w:t>
      </w:r>
    </w:p>
    <w:p w14:paraId="592456A9" w14:textId="3C7EEA01" w:rsidR="00140BAC" w:rsidRPr="00140BAC" w:rsidRDefault="00140BAC" w:rsidP="006D4B92">
      <w:pPr>
        <w:rPr>
          <w:lang w:val="ar-SA" w:bidi="ar-EG"/>
        </w:rPr>
      </w:pPr>
      <w:r w:rsidRPr="00140BAC">
        <w:rPr>
          <w:rtl/>
        </w:rPr>
        <w:t xml:space="preserve">ويتضمن مشروع النص المحدد هذا مراجع معيارية تتطلب تسويغاً بموجب التوصية ITU-T A.5، ويمكن الاطلاع عليها في الوثيقة </w:t>
      </w:r>
      <w:r w:rsidR="006D4B92" w:rsidRPr="006D4B92">
        <w:rPr>
          <w:lang w:val="en-GB"/>
        </w:rPr>
        <w:t>SG17-</w:t>
      </w:r>
      <w:hyperlink r:id="rId16" w:history="1">
        <w:r w:rsidR="006D4B92" w:rsidRPr="006D4B92">
          <w:rPr>
            <w:rStyle w:val="Hyperlink"/>
            <w:lang w:val="en-GB"/>
          </w:rPr>
          <w:t>TD2377-R1</w:t>
        </w:r>
      </w:hyperlink>
      <w:r w:rsidRPr="00140BAC">
        <w:rPr>
          <w:rtl/>
        </w:rPr>
        <w:t>.</w:t>
      </w:r>
    </w:p>
    <w:p w14:paraId="621D6709" w14:textId="3F283B9F" w:rsidR="00140BAC" w:rsidRPr="00140BAC" w:rsidRDefault="00140BAC" w:rsidP="006D4B92">
      <w:pPr>
        <w:pStyle w:val="Heading1"/>
        <w:rPr>
          <w:lang w:val="ar-SA" w:bidi="ar-EG"/>
        </w:rPr>
      </w:pPr>
      <w:r w:rsidRPr="00140BAC">
        <w:rPr>
          <w:lang w:val="ar-SA" w:bidi="ar-EG"/>
        </w:rPr>
        <w:t>4</w:t>
      </w:r>
      <w:r w:rsidRPr="00140BAC">
        <w:rPr>
          <w:lang w:val="ar-SA" w:bidi="ar-EG"/>
        </w:rPr>
        <w:tab/>
      </w:r>
      <w:r w:rsidRPr="00140BAC">
        <w:rPr>
          <w:rtl/>
        </w:rPr>
        <w:t xml:space="preserve">مشروع التوصية الجديدة ITU-T X.1284 (X.afotak) </w:t>
      </w:r>
      <w:r w:rsidRPr="00140BAC">
        <w:rPr>
          <w:lang w:val="en-GB" w:bidi="ar-EG"/>
        </w:rPr>
        <w:t>[SG17-</w:t>
      </w:r>
      <w:hyperlink r:id="rId17" w:history="1">
        <w:r w:rsidR="006D4B92" w:rsidRPr="006D4B92">
          <w:rPr>
            <w:rStyle w:val="Hyperlink"/>
            <w:lang w:val="en-GB" w:bidi="ar-EG"/>
          </w:rPr>
          <w:t>R78</w:t>
        </w:r>
      </w:hyperlink>
      <w:r w:rsidRPr="00140BAC">
        <w:rPr>
          <w:lang w:val="en-GB" w:bidi="ar-EG"/>
        </w:rPr>
        <w:t>]</w:t>
      </w:r>
    </w:p>
    <w:p w14:paraId="1D06B5B7" w14:textId="77777777" w:rsidR="00140BAC" w:rsidRPr="00140BAC" w:rsidRDefault="00140BAC" w:rsidP="00140BAC">
      <w:pPr>
        <w:rPr>
          <w:b/>
          <w:bCs/>
          <w:lang w:val="ar-SA" w:bidi="ar-EG"/>
        </w:rPr>
      </w:pPr>
      <w:r w:rsidRPr="00140BAC">
        <w:rPr>
          <w:b/>
          <w:bCs/>
          <w:rtl/>
        </w:rPr>
        <w:t>إطار استيقان قائم على مفتاح استيقان لمرة واحدة باستعمال تكنولوجيا سجلات الحسابات الموزعة</w:t>
      </w:r>
    </w:p>
    <w:p w14:paraId="2575E11C" w14:textId="77777777" w:rsidR="00140BAC" w:rsidRPr="00140BAC" w:rsidRDefault="00140BAC" w:rsidP="00B3571E">
      <w:pPr>
        <w:pStyle w:val="Headingb"/>
        <w:rPr>
          <w:lang w:val="ar-SA" w:bidi="ar-EG"/>
        </w:rPr>
      </w:pPr>
      <w:r w:rsidRPr="00140BAC">
        <w:rPr>
          <w:rtl/>
        </w:rPr>
        <w:t xml:space="preserve"> ملخص</w:t>
      </w:r>
    </w:p>
    <w:p w14:paraId="3649A86B" w14:textId="77777777" w:rsidR="00140BAC" w:rsidRPr="00140BAC" w:rsidRDefault="00140BAC" w:rsidP="00140BAC">
      <w:pPr>
        <w:rPr>
          <w:lang w:val="ar-SA" w:bidi="ar-EG"/>
        </w:rPr>
      </w:pPr>
      <w:r w:rsidRPr="00140BAC">
        <w:rPr>
          <w:rtl/>
        </w:rPr>
        <w:t xml:space="preserve">تعرض هذه التوصية إطار استيقان قائماً على مفتاح استيقان لمرة واحدة </w:t>
      </w:r>
      <w:r w:rsidRPr="00140BAC">
        <w:rPr>
          <w:lang w:val="en-GB" w:bidi="ar-EG"/>
        </w:rPr>
        <w:t>(AFOTAK</w:t>
      </w:r>
      <w:r w:rsidRPr="00140BAC">
        <w:t>)</w:t>
      </w:r>
      <w:r w:rsidRPr="00140BAC">
        <w:rPr>
          <w:rtl/>
        </w:rPr>
        <w:t xml:space="preserve"> باستعمال تكنولوجيا سجلات الحسابات الموزعة (</w:t>
      </w:r>
      <w:r w:rsidRPr="00140BAC">
        <w:rPr>
          <w:lang w:val="en-GB" w:bidi="ar-EG"/>
        </w:rPr>
        <w:t>DLT</w:t>
      </w:r>
      <w:r w:rsidRPr="00140BAC">
        <w:rPr>
          <w:rtl/>
        </w:rPr>
        <w:t>). وهذه التوصية</w:t>
      </w:r>
      <w:r w:rsidRPr="00140BAC">
        <w:rPr>
          <w:lang w:val="en-GB" w:bidi="ar-EG"/>
        </w:rPr>
        <w:t>:</w:t>
      </w:r>
      <w:r w:rsidRPr="00140BAC">
        <w:rPr>
          <w:rtl/>
        </w:rPr>
        <w:t xml:space="preserve"> </w:t>
      </w:r>
    </w:p>
    <w:p w14:paraId="42CEE205" w14:textId="12E7D650" w:rsidR="00140BAC" w:rsidRPr="00140BAC" w:rsidRDefault="009D5C27" w:rsidP="00F459E1">
      <w:pPr>
        <w:pStyle w:val="enumlev1"/>
        <w:rPr>
          <w:lang w:val="ar-SA" w:bidi="ar-EG"/>
        </w:rPr>
      </w:pPr>
      <w:r>
        <w:sym w:font="Symbol" w:char="F0B7"/>
      </w:r>
      <w:r w:rsidR="00140BAC" w:rsidRPr="00140BAC">
        <w:rPr>
          <w:rtl/>
        </w:rPr>
        <w:tab/>
        <w:t>تحدد إطار الاستيقان القائم على مفتاح استيقان لمرة واحدة وإجراءات الاستيقان الخاصة به؛</w:t>
      </w:r>
    </w:p>
    <w:p w14:paraId="15C1A8CB" w14:textId="28048CA6" w:rsidR="00140BAC" w:rsidRPr="00140BAC" w:rsidRDefault="009D5C27" w:rsidP="00F459E1">
      <w:pPr>
        <w:pStyle w:val="enumlev1"/>
        <w:rPr>
          <w:lang w:val="ar-SA" w:bidi="ar-EG"/>
        </w:rPr>
      </w:pPr>
      <w:r>
        <w:sym w:font="Symbol" w:char="F0B7"/>
      </w:r>
      <w:r w:rsidR="00140BAC" w:rsidRPr="00140BAC">
        <w:rPr>
          <w:rtl/>
        </w:rPr>
        <w:tab/>
        <w:t xml:space="preserve">تحدد المتطلبات الأمنية لإطار الاستيقان القائم على مفتاح استيقان لمرة واحدة؛ </w:t>
      </w:r>
    </w:p>
    <w:p w14:paraId="41753875" w14:textId="48AAA525" w:rsidR="00140BAC" w:rsidRPr="00140BAC" w:rsidRDefault="009D5C27" w:rsidP="00F459E1">
      <w:pPr>
        <w:pStyle w:val="enumlev1"/>
        <w:rPr>
          <w:lang w:val="ar-SA" w:bidi="ar-EG"/>
        </w:rPr>
      </w:pPr>
      <w:r>
        <w:sym w:font="Symbol" w:char="F0B7"/>
      </w:r>
      <w:r w:rsidR="00140BAC" w:rsidRPr="00140BAC">
        <w:rPr>
          <w:rtl/>
        </w:rPr>
        <w:tab/>
        <w:t xml:space="preserve">تصف كيفية إنشاء مفتاح الاستيقان لمرة واحدة والتحقق منه؛ </w:t>
      </w:r>
    </w:p>
    <w:p w14:paraId="4903A9A2" w14:textId="4FFE406C" w:rsidR="00140BAC" w:rsidRPr="00140BAC" w:rsidRDefault="009D5C27" w:rsidP="00F459E1">
      <w:pPr>
        <w:pStyle w:val="enumlev1"/>
        <w:rPr>
          <w:lang w:val="ar-SA" w:bidi="ar-EG"/>
        </w:rPr>
      </w:pPr>
      <w:r>
        <w:sym w:font="Symbol" w:char="F0B7"/>
      </w:r>
      <w:r w:rsidR="00140BAC" w:rsidRPr="00140BAC">
        <w:rPr>
          <w:rtl/>
        </w:rPr>
        <w:tab/>
        <w:t xml:space="preserve">تحدد التهديدات الأمنية؛ </w:t>
      </w:r>
    </w:p>
    <w:p w14:paraId="2C8F907B" w14:textId="0A8130AB" w:rsidR="00140BAC" w:rsidRPr="00140BAC" w:rsidRDefault="009D5C27" w:rsidP="00F459E1">
      <w:pPr>
        <w:pStyle w:val="enumlev1"/>
        <w:rPr>
          <w:lang w:val="ar-SA" w:bidi="ar-EG"/>
        </w:rPr>
      </w:pPr>
      <w:r>
        <w:sym w:font="Symbol" w:char="F0B7"/>
      </w:r>
      <w:r w:rsidR="00140BAC" w:rsidRPr="00140BAC">
        <w:rPr>
          <w:rtl/>
        </w:rPr>
        <w:tab/>
        <w:t>تحدد الضوابط الأمنية.</w:t>
      </w:r>
    </w:p>
    <w:p w14:paraId="1AA6965A" w14:textId="4FFE067F" w:rsidR="00140BAC" w:rsidRPr="00140BAC" w:rsidRDefault="00140BAC" w:rsidP="006D4B92">
      <w:pPr>
        <w:pStyle w:val="Heading1"/>
        <w:rPr>
          <w:lang w:val="ar-SA" w:bidi="ar-EG"/>
        </w:rPr>
      </w:pPr>
      <w:r w:rsidRPr="00140BAC">
        <w:rPr>
          <w:lang w:val="ar-SA" w:bidi="ar-EG"/>
        </w:rPr>
        <w:t>5</w:t>
      </w:r>
      <w:r w:rsidRPr="00140BAC">
        <w:rPr>
          <w:lang w:val="ar-SA" w:bidi="ar-EG"/>
        </w:rPr>
        <w:tab/>
      </w:r>
      <w:r w:rsidRPr="00140BAC">
        <w:rPr>
          <w:rtl/>
        </w:rPr>
        <w:t xml:space="preserve">مشروع التوصية الجديدة ITU-T X.1385 (X.evtol-sec) </w:t>
      </w:r>
      <w:r w:rsidRPr="00140BAC">
        <w:rPr>
          <w:lang w:val="en-GB" w:bidi="ar-EG"/>
        </w:rPr>
        <w:t>[SG17-</w:t>
      </w:r>
      <w:hyperlink r:id="rId18" w:history="1">
        <w:r w:rsidR="006D4B92" w:rsidRPr="006D4B92">
          <w:rPr>
            <w:rStyle w:val="Hyperlink"/>
            <w:lang w:val="en-GB" w:bidi="ar-EG"/>
          </w:rPr>
          <w:t>R79</w:t>
        </w:r>
      </w:hyperlink>
      <w:r w:rsidRPr="00140BAC">
        <w:rPr>
          <w:lang w:val="en-GB" w:bidi="ar-EG"/>
        </w:rPr>
        <w:t>]</w:t>
      </w:r>
    </w:p>
    <w:p w14:paraId="03E2C21B" w14:textId="1692C0A0" w:rsidR="00140BAC" w:rsidRPr="00140BAC" w:rsidRDefault="00140BAC" w:rsidP="009D5C27">
      <w:pPr>
        <w:pStyle w:val="Headingb"/>
        <w:rPr>
          <w:lang w:val="ar-SA" w:bidi="ar-EG"/>
        </w:rPr>
      </w:pPr>
      <w:r w:rsidRPr="00140BAC">
        <w:rPr>
          <w:rtl/>
        </w:rPr>
        <w:t xml:space="preserve">المتطلبات والمبادئ التوجيهية الأمنية للاتصالات في بيئة التنقل الجوي في المناطق الحضرية </w:t>
      </w:r>
      <w:r w:rsidRPr="00140BAC">
        <w:rPr>
          <w:lang w:val="en-GB" w:bidi="ar-EG"/>
        </w:rPr>
        <w:t>UAM</w:t>
      </w:r>
      <w:r w:rsidRPr="00140BAC">
        <w:rPr>
          <w:lang w:bidi="ar-EG"/>
        </w:rPr>
        <w:t>)</w:t>
      </w:r>
      <w:r w:rsidRPr="00140BAC">
        <w:rPr>
          <w:rtl/>
        </w:rPr>
        <w:t>)</w:t>
      </w:r>
    </w:p>
    <w:p w14:paraId="2D3D3D42" w14:textId="77777777" w:rsidR="00140BAC" w:rsidRPr="00140BAC" w:rsidRDefault="00140BAC" w:rsidP="00B3571E">
      <w:pPr>
        <w:pStyle w:val="Headingb"/>
        <w:rPr>
          <w:lang w:val="ar-SA" w:bidi="ar-EG"/>
        </w:rPr>
      </w:pPr>
      <w:r w:rsidRPr="00140BAC">
        <w:rPr>
          <w:rtl/>
        </w:rPr>
        <w:t>ملخص</w:t>
      </w:r>
    </w:p>
    <w:p w14:paraId="2163D057" w14:textId="77777777" w:rsidR="00140BAC" w:rsidRPr="00140BAC" w:rsidRDefault="00140BAC" w:rsidP="00140BAC">
      <w:pPr>
        <w:rPr>
          <w:lang w:val="ar-SA" w:bidi="ar-EG"/>
        </w:rPr>
      </w:pPr>
      <w:r w:rsidRPr="00140BAC">
        <w:rPr>
          <w:rtl/>
        </w:rPr>
        <w:t xml:space="preserve">التنقل الجوي في المناطق الحضرية </w:t>
      </w:r>
      <w:r w:rsidRPr="00140BAC">
        <w:rPr>
          <w:lang w:val="en-GB" w:bidi="ar-EG"/>
        </w:rPr>
        <w:t>UAM)</w:t>
      </w:r>
      <w:r w:rsidRPr="00140BAC">
        <w:rPr>
          <w:rtl/>
        </w:rPr>
        <w:t>) أو التنقل الجوي المتقدم (</w:t>
      </w:r>
      <w:r w:rsidRPr="00140BAC">
        <w:rPr>
          <w:lang w:val="en-GB" w:bidi="ar-EG"/>
        </w:rPr>
        <w:t>AAM</w:t>
      </w:r>
      <w:r w:rsidRPr="00140BAC">
        <w:rPr>
          <w:rtl/>
        </w:rPr>
        <w:t>) هو نظام نقل جوي لخدمات نقل الركاب أو البضائع عند الطلب، وعادة ما يكون الطيران داخل المناطق الحضرية أو منها وإليها. ومن المتوقع أن يحل هذا النوع الجديد من أنظمة النقل العديد من المشاكل بما في ذلك الازدحام الشديد لحركة المرور، والتلوث البيئي، والكثافة السكانية في المدن الكبيرة. ويتطلب توفير خدمة التنقل الجوي بطيران آمن ودقيق في المناطق الحضرية استخدام أنظمة اتصالات متنوعة. وبالتالي، فإن أنظمة الاتصالات هذه تزيد من احتمال أن تكون بعض قنوات الاتصال أهدافاً للمهاجمين من أجل النفاذ إلى الأنظمة الداخلية للمركبة الجوية الموصولة وقد تتسبب في خسائر فادحة.</w:t>
      </w:r>
    </w:p>
    <w:p w14:paraId="0D3C5866" w14:textId="77777777" w:rsidR="00140BAC" w:rsidRPr="00140BAC" w:rsidRDefault="00140BAC" w:rsidP="00140BAC">
      <w:pPr>
        <w:rPr>
          <w:spacing w:val="-2"/>
          <w:lang w:val="ar-SA" w:bidi="ar-EG"/>
        </w:rPr>
      </w:pPr>
      <w:r w:rsidRPr="00140BAC">
        <w:rPr>
          <w:spacing w:val="-2"/>
          <w:rtl/>
        </w:rPr>
        <w:t xml:space="preserve">وتقدم هذه التوصية التهديدات الأمنية والمتطلبات الأمنية والمبادئ التوجيهية لتنفيذ الاتصالات في بيئة التنقل الجوي في المناطق الحضرية. ويمكن لمصنعي الأنظمة </w:t>
      </w:r>
      <w:r w:rsidRPr="00140BAC">
        <w:rPr>
          <w:spacing w:val="-2"/>
          <w:lang w:val="en-GB" w:bidi="ar-EG"/>
        </w:rPr>
        <w:t>UAM/AAM</w:t>
      </w:r>
      <w:r w:rsidRPr="00140BAC">
        <w:rPr>
          <w:spacing w:val="-2"/>
          <w:rtl/>
        </w:rPr>
        <w:t xml:space="preserve"> والصناعات ذات الصلة استعمال هذه التوصية كمتطلبات ومبادئ توجيهية أمنية.</w:t>
      </w:r>
    </w:p>
    <w:p w14:paraId="5F17FCC5" w14:textId="77777777" w:rsidR="00140BAC" w:rsidRPr="00140BAC" w:rsidRDefault="00140BAC" w:rsidP="00140BAC">
      <w:pPr>
        <w:rPr>
          <w:b/>
          <w:rtl/>
        </w:rPr>
      </w:pPr>
      <w:r w:rsidRPr="00140BAC">
        <w:rPr>
          <w:rtl/>
        </w:rPr>
        <w:br w:type="page"/>
      </w:r>
    </w:p>
    <w:p w14:paraId="364908DA" w14:textId="7A3324DD" w:rsidR="00140BAC" w:rsidRPr="00C87E0E" w:rsidRDefault="00140BAC" w:rsidP="00C87E0E">
      <w:pPr>
        <w:pStyle w:val="AnnexNo"/>
        <w:rPr>
          <w:b/>
          <w:bCs/>
          <w:lang w:val="ar-SA" w:bidi="ar-EG"/>
        </w:rPr>
      </w:pPr>
      <w:r w:rsidRPr="00C87E0E">
        <w:rPr>
          <w:b/>
          <w:bCs/>
          <w:rtl/>
        </w:rPr>
        <w:lastRenderedPageBreak/>
        <w:t>الملحق 2</w:t>
      </w:r>
    </w:p>
    <w:p w14:paraId="2AE573A1" w14:textId="77777777" w:rsidR="00140BAC" w:rsidRPr="00140BAC" w:rsidRDefault="00140BAC" w:rsidP="00C87E0E">
      <w:pPr>
        <w:pStyle w:val="Annextitle"/>
        <w:rPr>
          <w:lang w:val="ar-SA" w:bidi="ar-EG"/>
        </w:rPr>
      </w:pPr>
      <w:r w:rsidRPr="00140BAC">
        <w:rPr>
          <w:rtl/>
        </w:rPr>
        <w:t>الموضوع: ردود الدول الأعضاء على الرسالة المعممة 003 الصادرة عن مكتب تقييس الاتصالات: مشاورة بشأن مشاريع التوصيات الجديدة المحددة ITU-T X.1355 (X.ra-iot) وITU-T X.1456 (X.sgdfs-us) وITU-T X.1648 (X.gecds) وITU-T X.1284 (X.afotak) وITU-T X.1385 (X.evtol-sec)</w:t>
      </w:r>
    </w:p>
    <w:tbl>
      <w:tblPr>
        <w:bidiVisual/>
        <w:tblW w:w="5000" w:type="pct"/>
        <w:tblLayout w:type="fixed"/>
        <w:tblLook w:val="04A0" w:firstRow="1" w:lastRow="0" w:firstColumn="1" w:lastColumn="0" w:noHBand="0" w:noVBand="1"/>
      </w:tblPr>
      <w:tblGrid>
        <w:gridCol w:w="1537"/>
        <w:gridCol w:w="3211"/>
        <w:gridCol w:w="1540"/>
        <w:gridCol w:w="3351"/>
      </w:tblGrid>
      <w:tr w:rsidR="00140BAC" w:rsidRPr="00140BAC" w14:paraId="613E06F0" w14:textId="77777777" w:rsidTr="009D5C27">
        <w:tc>
          <w:tcPr>
            <w:tcW w:w="1558" w:type="dxa"/>
            <w:shd w:val="clear" w:color="auto" w:fill="auto"/>
          </w:tcPr>
          <w:p w14:paraId="3F91B890" w14:textId="77777777" w:rsidR="00140BAC" w:rsidRPr="00EC1FBF" w:rsidRDefault="00140BAC" w:rsidP="00EC1FBF">
            <w:pPr>
              <w:pStyle w:val="Tabletexte"/>
              <w:jc w:val="right"/>
              <w:rPr>
                <w:b/>
                <w:bCs/>
                <w:sz w:val="22"/>
                <w:szCs w:val="22"/>
                <w:lang w:val="ar-SA" w:bidi="ar-EG"/>
              </w:rPr>
            </w:pPr>
            <w:r w:rsidRPr="00EC1FBF">
              <w:rPr>
                <w:b/>
                <w:bCs/>
                <w:sz w:val="22"/>
                <w:szCs w:val="22"/>
                <w:rtl/>
              </w:rPr>
              <w:t>إلى:</w:t>
            </w:r>
          </w:p>
        </w:tc>
        <w:tc>
          <w:tcPr>
            <w:tcW w:w="3260" w:type="dxa"/>
            <w:tcBorders>
              <w:right w:val="single" w:sz="8" w:space="0" w:color="auto"/>
            </w:tcBorders>
            <w:shd w:val="clear" w:color="auto" w:fill="auto"/>
          </w:tcPr>
          <w:p w14:paraId="54623451" w14:textId="77777777" w:rsidR="00140BAC" w:rsidRPr="00EC1FBF" w:rsidRDefault="00140BAC" w:rsidP="00EC1FBF">
            <w:pPr>
              <w:pStyle w:val="Tabletexte"/>
              <w:rPr>
                <w:sz w:val="22"/>
                <w:szCs w:val="22"/>
                <w:lang w:val="ar-SA" w:bidi="ar-EG"/>
              </w:rPr>
            </w:pPr>
            <w:r w:rsidRPr="00EC1FBF">
              <w:rPr>
                <w:sz w:val="22"/>
                <w:szCs w:val="22"/>
                <w:rtl/>
              </w:rPr>
              <w:t>مدير مكتب تقييس الاتصالات</w:t>
            </w:r>
          </w:p>
          <w:p w14:paraId="567DF69E" w14:textId="77777777" w:rsidR="00140BAC" w:rsidRPr="00EC1FBF" w:rsidRDefault="00140BAC" w:rsidP="00EC1FBF">
            <w:pPr>
              <w:pStyle w:val="Tabletexte"/>
              <w:rPr>
                <w:sz w:val="22"/>
                <w:szCs w:val="22"/>
                <w:lang w:val="ar-SA" w:bidi="ar-EG"/>
              </w:rPr>
            </w:pPr>
            <w:r w:rsidRPr="00EC1FBF">
              <w:rPr>
                <w:sz w:val="22"/>
                <w:szCs w:val="22"/>
                <w:rtl/>
              </w:rPr>
              <w:t>الاتحاد الدولي للاتصالات</w:t>
            </w:r>
          </w:p>
          <w:p w14:paraId="396AFA85" w14:textId="77777777" w:rsidR="00140BAC" w:rsidRPr="00EC1FBF" w:rsidRDefault="00140BAC" w:rsidP="00EC1FBF">
            <w:pPr>
              <w:pStyle w:val="Tabletexte"/>
              <w:rPr>
                <w:sz w:val="22"/>
                <w:szCs w:val="22"/>
                <w:lang w:val="ar-SA" w:bidi="ar-EG"/>
              </w:rPr>
            </w:pPr>
            <w:r w:rsidRPr="00EC1FBF">
              <w:rPr>
                <w:sz w:val="22"/>
                <w:szCs w:val="22"/>
                <w:rtl/>
              </w:rPr>
              <w:t>Place des Nations</w:t>
            </w:r>
          </w:p>
          <w:p w14:paraId="5819821A" w14:textId="77777777" w:rsidR="00140BAC" w:rsidRPr="00EC1FBF" w:rsidRDefault="00140BAC" w:rsidP="00EC1FBF">
            <w:pPr>
              <w:pStyle w:val="Tabletexte"/>
              <w:rPr>
                <w:sz w:val="22"/>
                <w:szCs w:val="22"/>
                <w:lang w:val="ar-SA" w:bidi="ar-EG"/>
              </w:rPr>
            </w:pPr>
            <w:r w:rsidRPr="00EC1FBF">
              <w:rPr>
                <w:sz w:val="22"/>
                <w:szCs w:val="22"/>
                <w:rtl/>
              </w:rPr>
              <w:t>CH 1211 Geneva 20, Switzerland</w:t>
            </w:r>
          </w:p>
        </w:tc>
        <w:tc>
          <w:tcPr>
            <w:tcW w:w="1561" w:type="dxa"/>
            <w:tcBorders>
              <w:left w:val="single" w:sz="8" w:space="0" w:color="auto"/>
            </w:tcBorders>
            <w:shd w:val="clear" w:color="auto" w:fill="auto"/>
          </w:tcPr>
          <w:p w14:paraId="65A10BB7" w14:textId="77777777" w:rsidR="00140BAC" w:rsidRPr="00EC1FBF" w:rsidRDefault="00140BAC" w:rsidP="00EC1FBF">
            <w:pPr>
              <w:pStyle w:val="Tabletexte"/>
              <w:jc w:val="right"/>
              <w:rPr>
                <w:b/>
                <w:bCs/>
                <w:sz w:val="22"/>
                <w:szCs w:val="22"/>
                <w:lang w:val="ar-SA" w:bidi="ar-EG"/>
              </w:rPr>
            </w:pPr>
            <w:r w:rsidRPr="00EC1FBF">
              <w:rPr>
                <w:b/>
                <w:bCs/>
                <w:sz w:val="22"/>
                <w:szCs w:val="22"/>
                <w:rtl/>
              </w:rPr>
              <w:t>من:</w:t>
            </w:r>
          </w:p>
        </w:tc>
        <w:tc>
          <w:tcPr>
            <w:tcW w:w="3402" w:type="dxa"/>
            <w:shd w:val="clear" w:color="auto" w:fill="auto"/>
          </w:tcPr>
          <w:p w14:paraId="6E4B5760" w14:textId="77777777" w:rsidR="00140BAC" w:rsidRPr="00EC1FBF" w:rsidRDefault="00140BAC" w:rsidP="00EC1FBF">
            <w:pPr>
              <w:pStyle w:val="Tabletexte"/>
              <w:rPr>
                <w:sz w:val="22"/>
                <w:szCs w:val="22"/>
                <w:highlight w:val="green"/>
                <w:lang w:val="ar-SA" w:bidi="ar-EG"/>
              </w:rPr>
            </w:pPr>
            <w:r w:rsidRPr="00EC1FBF">
              <w:rPr>
                <w:sz w:val="22"/>
                <w:szCs w:val="22"/>
                <w:highlight w:val="green"/>
                <w:rtl/>
              </w:rPr>
              <w:t>[الاسم]</w:t>
            </w:r>
          </w:p>
          <w:p w14:paraId="5B63ED4B" w14:textId="77777777" w:rsidR="00140BAC" w:rsidRPr="00EC1FBF" w:rsidRDefault="00140BAC" w:rsidP="00EC1FBF">
            <w:pPr>
              <w:pStyle w:val="Tabletexte"/>
              <w:rPr>
                <w:sz w:val="22"/>
                <w:szCs w:val="22"/>
                <w:highlight w:val="green"/>
                <w:lang w:val="ar-SA" w:bidi="ar-EG"/>
              </w:rPr>
            </w:pPr>
            <w:r w:rsidRPr="00EC1FBF">
              <w:rPr>
                <w:sz w:val="22"/>
                <w:szCs w:val="22"/>
                <w:highlight w:val="green"/>
                <w:rtl/>
              </w:rPr>
              <w:t>[الدور/المنصب الرسمي]</w:t>
            </w:r>
          </w:p>
          <w:p w14:paraId="239333FC" w14:textId="77777777" w:rsidR="00140BAC" w:rsidRPr="00EC1FBF" w:rsidRDefault="00140BAC" w:rsidP="00EC1FBF">
            <w:pPr>
              <w:pStyle w:val="Tabletexte"/>
              <w:rPr>
                <w:sz w:val="22"/>
                <w:szCs w:val="22"/>
                <w:highlight w:val="green"/>
                <w:lang w:val="ar-SA" w:bidi="ar-EG"/>
              </w:rPr>
            </w:pPr>
            <w:r w:rsidRPr="00EC1FBF">
              <w:rPr>
                <w:sz w:val="22"/>
                <w:szCs w:val="22"/>
                <w:highlight w:val="green"/>
                <w:rtl/>
              </w:rPr>
              <w:t>[العنوان]</w:t>
            </w:r>
          </w:p>
        </w:tc>
      </w:tr>
      <w:tr w:rsidR="009D5C27" w:rsidRPr="00140BAC" w14:paraId="41A16824" w14:textId="77777777" w:rsidTr="009D5C27">
        <w:trPr>
          <w:trHeight w:val="226"/>
        </w:trPr>
        <w:tc>
          <w:tcPr>
            <w:tcW w:w="1558" w:type="dxa"/>
            <w:shd w:val="clear" w:color="auto" w:fill="auto"/>
          </w:tcPr>
          <w:p w14:paraId="5B40A693" w14:textId="1BC060FB" w:rsidR="009D5C27" w:rsidRPr="00EC1FBF" w:rsidRDefault="009D5C27" w:rsidP="009D5C27">
            <w:pPr>
              <w:pStyle w:val="Tabletexte"/>
              <w:jc w:val="right"/>
              <w:rPr>
                <w:b/>
                <w:bCs/>
                <w:sz w:val="22"/>
                <w:szCs w:val="22"/>
                <w:lang w:val="ar-SA" w:bidi="ar-EG"/>
              </w:rPr>
            </w:pPr>
            <w:r w:rsidRPr="00EC1FBF">
              <w:rPr>
                <w:b/>
                <w:bCs/>
                <w:sz w:val="22"/>
                <w:szCs w:val="22"/>
                <w:rtl/>
              </w:rPr>
              <w:t>الفاكس:</w:t>
            </w:r>
          </w:p>
        </w:tc>
        <w:tc>
          <w:tcPr>
            <w:tcW w:w="3260" w:type="dxa"/>
            <w:tcBorders>
              <w:right w:val="single" w:sz="8" w:space="0" w:color="auto"/>
            </w:tcBorders>
            <w:shd w:val="clear" w:color="auto" w:fill="auto"/>
          </w:tcPr>
          <w:p w14:paraId="5DA93881" w14:textId="7187FEC0" w:rsidR="009D5C27" w:rsidRPr="00EC1FBF" w:rsidRDefault="009D5C27" w:rsidP="009D5C27">
            <w:pPr>
              <w:pStyle w:val="Tabletexte"/>
              <w:rPr>
                <w:sz w:val="22"/>
                <w:szCs w:val="22"/>
                <w:lang w:val="ar-SA" w:bidi="ar-EG"/>
              </w:rPr>
            </w:pPr>
            <w:r w:rsidRPr="00EC1FBF">
              <w:rPr>
                <w:sz w:val="22"/>
                <w:szCs w:val="22"/>
                <w:lang w:val="en-GB"/>
              </w:rPr>
              <w:t>+41-22-730-5853</w:t>
            </w:r>
          </w:p>
        </w:tc>
        <w:tc>
          <w:tcPr>
            <w:tcW w:w="1561" w:type="dxa"/>
            <w:tcBorders>
              <w:left w:val="single" w:sz="8" w:space="0" w:color="auto"/>
            </w:tcBorders>
            <w:shd w:val="clear" w:color="auto" w:fill="auto"/>
          </w:tcPr>
          <w:p w14:paraId="01090937" w14:textId="4704F1A5" w:rsidR="009D5C27" w:rsidRPr="00EC1FBF" w:rsidRDefault="009D5C27" w:rsidP="009D5C27">
            <w:pPr>
              <w:pStyle w:val="Tabletexte"/>
              <w:jc w:val="right"/>
              <w:rPr>
                <w:b/>
                <w:bCs/>
                <w:sz w:val="22"/>
                <w:szCs w:val="22"/>
                <w:lang w:val="ar-SA" w:bidi="ar-EG"/>
              </w:rPr>
            </w:pPr>
            <w:r w:rsidRPr="00EC1FBF">
              <w:rPr>
                <w:b/>
                <w:bCs/>
                <w:sz w:val="22"/>
                <w:szCs w:val="22"/>
                <w:rtl/>
              </w:rPr>
              <w:t>الفاكس</w:t>
            </w:r>
            <w:r>
              <w:rPr>
                <w:rFonts w:hint="cs"/>
                <w:b/>
                <w:bCs/>
                <w:sz w:val="22"/>
                <w:szCs w:val="22"/>
                <w:rtl/>
              </w:rPr>
              <w:t>:</w:t>
            </w:r>
          </w:p>
        </w:tc>
        <w:tc>
          <w:tcPr>
            <w:tcW w:w="3402" w:type="dxa"/>
            <w:shd w:val="clear" w:color="auto" w:fill="auto"/>
          </w:tcPr>
          <w:p w14:paraId="52B33FBF" w14:textId="77777777" w:rsidR="009D5C27" w:rsidRPr="00EC1FBF" w:rsidRDefault="009D5C27" w:rsidP="00EC1FBF">
            <w:pPr>
              <w:pStyle w:val="Tabletexte"/>
              <w:rPr>
                <w:sz w:val="22"/>
                <w:szCs w:val="22"/>
                <w:lang w:val="en-GB" w:bidi="ar-EG"/>
              </w:rPr>
            </w:pPr>
          </w:p>
        </w:tc>
      </w:tr>
      <w:tr w:rsidR="009D5C27" w:rsidRPr="00140BAC" w14:paraId="25AB3807" w14:textId="77777777" w:rsidTr="009D5C27">
        <w:trPr>
          <w:trHeight w:val="123"/>
        </w:trPr>
        <w:tc>
          <w:tcPr>
            <w:tcW w:w="1558" w:type="dxa"/>
            <w:shd w:val="clear" w:color="auto" w:fill="auto"/>
          </w:tcPr>
          <w:p w14:paraId="0394B58F" w14:textId="5B0D80A6" w:rsidR="009D5C27" w:rsidRPr="00EC1FBF" w:rsidRDefault="009D5C27" w:rsidP="00EC1FBF">
            <w:pPr>
              <w:pStyle w:val="Tabletexte"/>
              <w:jc w:val="right"/>
              <w:rPr>
                <w:b/>
                <w:bCs/>
                <w:sz w:val="22"/>
                <w:szCs w:val="22"/>
                <w:rtl/>
              </w:rPr>
            </w:pPr>
            <w:r w:rsidRPr="00EC1FBF">
              <w:rPr>
                <w:b/>
                <w:bCs/>
                <w:sz w:val="22"/>
                <w:szCs w:val="22"/>
                <w:rtl/>
              </w:rPr>
              <w:t>البريد الإلكتروني</w:t>
            </w:r>
            <w:r>
              <w:rPr>
                <w:rFonts w:hint="cs"/>
                <w:b/>
                <w:bCs/>
                <w:sz w:val="22"/>
                <w:szCs w:val="22"/>
                <w:rtl/>
              </w:rPr>
              <w:t>:</w:t>
            </w:r>
          </w:p>
        </w:tc>
        <w:tc>
          <w:tcPr>
            <w:tcW w:w="3260" w:type="dxa"/>
            <w:tcBorders>
              <w:right w:val="single" w:sz="8" w:space="0" w:color="auto"/>
            </w:tcBorders>
            <w:shd w:val="clear" w:color="auto" w:fill="auto"/>
          </w:tcPr>
          <w:p w14:paraId="7B05F168" w14:textId="548E48B4" w:rsidR="009D5C27" w:rsidRPr="009D5C27" w:rsidRDefault="009D5C27" w:rsidP="009D5C27">
            <w:pPr>
              <w:pStyle w:val="Tabletexte"/>
              <w:ind w:left="794" w:hanging="794"/>
              <w:rPr>
                <w:sz w:val="22"/>
                <w:szCs w:val="22"/>
              </w:rPr>
            </w:pPr>
            <w:hyperlink r:id="rId19" w:history="1">
              <w:r w:rsidRPr="00EC1FBF">
                <w:rPr>
                  <w:rStyle w:val="Hyperlink"/>
                  <w:sz w:val="22"/>
                  <w:szCs w:val="22"/>
                  <w:lang w:val="en-GB" w:bidi="ar-EG"/>
                </w:rPr>
                <w:t>tsbdir@itu.int</w:t>
              </w:r>
            </w:hyperlink>
          </w:p>
        </w:tc>
        <w:tc>
          <w:tcPr>
            <w:tcW w:w="1561" w:type="dxa"/>
            <w:tcBorders>
              <w:left w:val="single" w:sz="8" w:space="0" w:color="auto"/>
            </w:tcBorders>
            <w:shd w:val="clear" w:color="auto" w:fill="auto"/>
          </w:tcPr>
          <w:p w14:paraId="2E0B2768" w14:textId="3AC1D527" w:rsidR="009D5C27" w:rsidRPr="00EC1FBF" w:rsidRDefault="009D5C27" w:rsidP="00EC1FBF">
            <w:pPr>
              <w:pStyle w:val="Tabletexte"/>
              <w:jc w:val="right"/>
              <w:rPr>
                <w:b/>
                <w:bCs/>
                <w:sz w:val="22"/>
                <w:szCs w:val="22"/>
                <w:rtl/>
              </w:rPr>
            </w:pPr>
            <w:r w:rsidRPr="00EC1FBF">
              <w:rPr>
                <w:b/>
                <w:bCs/>
                <w:sz w:val="22"/>
                <w:szCs w:val="22"/>
                <w:rtl/>
              </w:rPr>
              <w:t>البريد الإلكتروني</w:t>
            </w:r>
            <w:r>
              <w:rPr>
                <w:rFonts w:hint="cs"/>
                <w:b/>
                <w:bCs/>
                <w:sz w:val="22"/>
                <w:szCs w:val="22"/>
                <w:rtl/>
              </w:rPr>
              <w:t>:</w:t>
            </w:r>
          </w:p>
        </w:tc>
        <w:tc>
          <w:tcPr>
            <w:tcW w:w="3402" w:type="dxa"/>
            <w:shd w:val="clear" w:color="auto" w:fill="auto"/>
          </w:tcPr>
          <w:p w14:paraId="7CF387BC" w14:textId="77777777" w:rsidR="009D5C27" w:rsidRPr="00EC1FBF" w:rsidRDefault="009D5C27" w:rsidP="00EC1FBF">
            <w:pPr>
              <w:pStyle w:val="Tabletexte"/>
              <w:rPr>
                <w:sz w:val="22"/>
                <w:szCs w:val="22"/>
                <w:lang w:val="en-GB" w:bidi="ar-EG"/>
              </w:rPr>
            </w:pPr>
          </w:p>
        </w:tc>
      </w:tr>
      <w:tr w:rsidR="00140BAC" w:rsidRPr="00140BAC" w14:paraId="76893447" w14:textId="77777777" w:rsidTr="009D5C27">
        <w:tc>
          <w:tcPr>
            <w:tcW w:w="1558" w:type="dxa"/>
            <w:shd w:val="clear" w:color="auto" w:fill="auto"/>
          </w:tcPr>
          <w:p w14:paraId="682505A4" w14:textId="77777777" w:rsidR="00140BAC" w:rsidRPr="00EC1FBF" w:rsidRDefault="00140BAC" w:rsidP="00EC1FBF">
            <w:pPr>
              <w:pStyle w:val="Tabletexte"/>
              <w:jc w:val="right"/>
              <w:rPr>
                <w:b/>
                <w:bCs/>
                <w:sz w:val="22"/>
                <w:szCs w:val="22"/>
                <w:lang w:val="en-GB" w:bidi="ar-EG"/>
              </w:rPr>
            </w:pPr>
          </w:p>
        </w:tc>
        <w:tc>
          <w:tcPr>
            <w:tcW w:w="3260" w:type="dxa"/>
            <w:tcBorders>
              <w:right w:val="single" w:sz="8" w:space="0" w:color="auto"/>
            </w:tcBorders>
            <w:shd w:val="clear" w:color="auto" w:fill="auto"/>
          </w:tcPr>
          <w:p w14:paraId="6F56593D" w14:textId="77777777" w:rsidR="00140BAC" w:rsidRPr="00EC1FBF" w:rsidRDefault="00140BAC" w:rsidP="00EC1FBF">
            <w:pPr>
              <w:pStyle w:val="Tabletexte"/>
              <w:rPr>
                <w:sz w:val="22"/>
                <w:szCs w:val="22"/>
                <w:lang w:val="en-GB" w:bidi="ar-EG"/>
              </w:rPr>
            </w:pPr>
          </w:p>
        </w:tc>
        <w:tc>
          <w:tcPr>
            <w:tcW w:w="1561" w:type="dxa"/>
            <w:tcBorders>
              <w:left w:val="single" w:sz="8" w:space="0" w:color="auto"/>
            </w:tcBorders>
            <w:shd w:val="clear" w:color="auto" w:fill="auto"/>
          </w:tcPr>
          <w:p w14:paraId="5EAA723E" w14:textId="77777777" w:rsidR="00140BAC" w:rsidRPr="00EC1FBF" w:rsidRDefault="00140BAC" w:rsidP="00EC1FBF">
            <w:pPr>
              <w:pStyle w:val="Tabletexte"/>
              <w:jc w:val="right"/>
              <w:rPr>
                <w:b/>
                <w:bCs/>
                <w:sz w:val="22"/>
                <w:szCs w:val="22"/>
                <w:lang w:val="ar-SA" w:bidi="ar-EG"/>
              </w:rPr>
            </w:pPr>
            <w:r w:rsidRPr="00EC1FBF">
              <w:rPr>
                <w:b/>
                <w:bCs/>
                <w:sz w:val="22"/>
                <w:szCs w:val="22"/>
                <w:rtl/>
              </w:rPr>
              <w:t>التاريخ:</w:t>
            </w:r>
          </w:p>
        </w:tc>
        <w:tc>
          <w:tcPr>
            <w:tcW w:w="3402" w:type="dxa"/>
            <w:shd w:val="clear" w:color="auto" w:fill="auto"/>
          </w:tcPr>
          <w:p w14:paraId="4BEDA2BE" w14:textId="77777777" w:rsidR="00140BAC" w:rsidRPr="00EC1FBF" w:rsidRDefault="00140BAC" w:rsidP="00EC1FBF">
            <w:pPr>
              <w:pStyle w:val="Tabletexte"/>
              <w:rPr>
                <w:sz w:val="22"/>
                <w:szCs w:val="22"/>
                <w:highlight w:val="green"/>
                <w:lang w:val="ar-SA" w:bidi="ar-EG"/>
              </w:rPr>
            </w:pPr>
            <w:r w:rsidRPr="00EC1FBF">
              <w:rPr>
                <w:sz w:val="22"/>
                <w:szCs w:val="22"/>
                <w:highlight w:val="green"/>
                <w:rtl/>
              </w:rPr>
              <w:t>[المكان،] [التاريخ]</w:t>
            </w:r>
          </w:p>
        </w:tc>
      </w:tr>
    </w:tbl>
    <w:p w14:paraId="08A77F28" w14:textId="77777777" w:rsidR="00140BAC" w:rsidRPr="00140BAC" w:rsidRDefault="00140BAC" w:rsidP="00B40487">
      <w:pPr>
        <w:spacing w:before="240"/>
        <w:rPr>
          <w:lang w:val="en-GB" w:bidi="ar-EG"/>
        </w:rPr>
      </w:pPr>
      <w:r w:rsidRPr="00140BAC">
        <w:rPr>
          <w:rtl/>
        </w:rPr>
        <w:t>حضرات السادة والسيدات،</w:t>
      </w:r>
    </w:p>
    <w:p w14:paraId="1CC5E2A5" w14:textId="77777777" w:rsidR="00140BAC" w:rsidRPr="00140BAC" w:rsidRDefault="00140BAC" w:rsidP="00140BAC">
      <w:pPr>
        <w:rPr>
          <w:lang w:val="ar-SA" w:bidi="ar-EG"/>
        </w:rPr>
      </w:pPr>
      <w:r w:rsidRPr="00140BAC">
        <w:rPr>
          <w:rtl/>
        </w:rPr>
        <w:t>تحية طيبة وبعد،</w:t>
      </w:r>
    </w:p>
    <w:p w14:paraId="6E94A7DC" w14:textId="77777777" w:rsidR="00140BAC" w:rsidRPr="00140BAC" w:rsidRDefault="00140BAC" w:rsidP="009B7A4A">
      <w:pPr>
        <w:spacing w:after="240"/>
        <w:rPr>
          <w:lang w:val="ar-SA" w:bidi="ar-EG"/>
        </w:rPr>
      </w:pPr>
      <w:r w:rsidRPr="00140BAC">
        <w:rPr>
          <w:rtl/>
        </w:rPr>
        <w:t>فيما يخص مشاورة الدول الأعضاء بشأن مشاريع النصوص المحددة المذكورة في الرسالة المعممة 003 الصادرة عن مكتب تقييس الاتصالات، أود أن أطلعكم على رأي هذه الإدارة، المبين في الجدول أدناه.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456"/>
      </w:tblGrid>
      <w:tr w:rsidR="00140BAC" w:rsidRPr="009B7A4A" w14:paraId="3E27005C" w14:textId="77777777" w:rsidTr="004304E8">
        <w:trPr>
          <w:cantSplit/>
          <w:tblHeader/>
        </w:trPr>
        <w:tc>
          <w:tcPr>
            <w:tcW w:w="2263" w:type="dxa"/>
            <w:shd w:val="clear" w:color="auto" w:fill="auto"/>
            <w:vAlign w:val="center"/>
          </w:tcPr>
          <w:p w14:paraId="57F88D8B" w14:textId="77777777" w:rsidR="00140BAC" w:rsidRPr="00897FC7" w:rsidRDefault="00140BAC" w:rsidP="00257CF5">
            <w:pPr>
              <w:jc w:val="center"/>
              <w:rPr>
                <w:b/>
                <w:bCs/>
              </w:rPr>
            </w:pPr>
          </w:p>
        </w:tc>
        <w:tc>
          <w:tcPr>
            <w:tcW w:w="7456" w:type="dxa"/>
            <w:shd w:val="clear" w:color="auto" w:fill="auto"/>
            <w:vAlign w:val="center"/>
          </w:tcPr>
          <w:p w14:paraId="755AF99D" w14:textId="77777777" w:rsidR="00140BAC" w:rsidRPr="00257CF5" w:rsidRDefault="00140BAC" w:rsidP="00257CF5">
            <w:pPr>
              <w:jc w:val="center"/>
              <w:rPr>
                <w:b/>
                <w:bCs/>
                <w:lang w:val="ar-SA"/>
              </w:rPr>
            </w:pPr>
            <w:r w:rsidRPr="00257CF5">
              <w:rPr>
                <w:b/>
                <w:bCs/>
                <w:rtl/>
              </w:rPr>
              <w:t>يُرجى اختيار أحد المربعين فيما يتعلق بكل نص</w:t>
            </w:r>
          </w:p>
        </w:tc>
      </w:tr>
      <w:tr w:rsidR="00140BAC" w:rsidRPr="009B7A4A" w14:paraId="6EF007B8" w14:textId="77777777" w:rsidTr="004304E8">
        <w:trPr>
          <w:cantSplit/>
          <w:trHeight w:val="748"/>
        </w:trPr>
        <w:tc>
          <w:tcPr>
            <w:tcW w:w="2263" w:type="dxa"/>
            <w:vMerge w:val="restart"/>
            <w:shd w:val="clear" w:color="auto" w:fill="auto"/>
            <w:vAlign w:val="center"/>
          </w:tcPr>
          <w:p w14:paraId="79459ADE" w14:textId="77777777" w:rsidR="00140BAC" w:rsidRPr="00897FC7" w:rsidRDefault="00140BAC" w:rsidP="00257CF5">
            <w:pPr>
              <w:jc w:val="center"/>
              <w:rPr>
                <w:b/>
                <w:bCs/>
                <w:lang w:val="ar-SA"/>
              </w:rPr>
            </w:pPr>
            <w:r w:rsidRPr="00897FC7">
              <w:rPr>
                <w:b/>
                <w:bCs/>
                <w:rtl/>
              </w:rPr>
              <w:t>مشروع التوصية الجديدة ITU-T X.1355 (X.ra-iot)</w:t>
            </w:r>
          </w:p>
        </w:tc>
        <w:tc>
          <w:tcPr>
            <w:tcW w:w="7456" w:type="dxa"/>
            <w:shd w:val="clear" w:color="auto" w:fill="auto"/>
            <w:vAlign w:val="center"/>
          </w:tcPr>
          <w:p w14:paraId="7E53217E" w14:textId="3DD9A718" w:rsidR="00140BAC" w:rsidRPr="009B7A4A" w:rsidRDefault="009D5C27" w:rsidP="00897FC7">
            <w:pPr>
              <w:pStyle w:val="enumlev1"/>
              <w:rPr>
                <w:lang w:val="ar-SA"/>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sidR="00140BAC" w:rsidRPr="009B7A4A">
              <w:rPr>
                <w:rtl/>
              </w:rPr>
              <w:tab/>
            </w:r>
            <w:r w:rsidR="00140BAC" w:rsidRPr="002C1967">
              <w:rPr>
                <w:b/>
                <w:bCs/>
                <w:rtl/>
              </w:rPr>
              <w:t>تفوض</w:t>
            </w:r>
            <w:r w:rsidR="00140BAC" w:rsidRPr="009B7A4A">
              <w:rPr>
                <w:rtl/>
              </w:rPr>
              <w:t xml:space="preserve"> لجنةَ الدراسات 17 </w:t>
            </w:r>
            <w:r w:rsidR="00140BAC" w:rsidRPr="009D5C27">
              <w:rPr>
                <w:b/>
                <w:bCs/>
                <w:rtl/>
              </w:rPr>
              <w:t>سلطة النظر</w:t>
            </w:r>
            <w:r w:rsidR="00140BAC" w:rsidRPr="009B7A4A">
              <w:rPr>
                <w:rtl/>
              </w:rPr>
              <w:t xml:space="preserve"> في هذا النص بغرض الموافقة عليه (يُرجى في هذه الحالة تحديد أحد الخيارين </w:t>
            </w:r>
            <w:r w:rsidRPr="007E06C0">
              <w:rPr>
                <w:rFonts w:asciiTheme="minorHAnsi" w:hAnsiTheme="minorHAnsi" w:cstheme="minorHAnsi"/>
                <w:sz w:val="20"/>
              </w:rPr>
              <w:t>⃝</w:t>
            </w:r>
            <w:r w:rsidR="00140BAC" w:rsidRPr="009B7A4A">
              <w:rPr>
                <w:rtl/>
              </w:rPr>
              <w:t>):</w:t>
            </w:r>
          </w:p>
          <w:p w14:paraId="5638DFE0" w14:textId="7D3B4A6E" w:rsidR="00140BAC" w:rsidRPr="009B7A4A" w:rsidRDefault="009D5C27" w:rsidP="00897FC7">
            <w:pPr>
              <w:pStyle w:val="enumlev2"/>
              <w:rPr>
                <w:lang w:val="ar-SA"/>
              </w:rPr>
            </w:pPr>
            <w:r w:rsidRPr="007E06C0">
              <w:rPr>
                <w:rFonts w:asciiTheme="minorHAnsi" w:hAnsiTheme="minorHAnsi" w:cstheme="minorHAnsi"/>
                <w:sz w:val="20"/>
              </w:rPr>
              <w:t>⃝</w:t>
            </w:r>
            <w:r w:rsidR="00897FC7">
              <w:rPr>
                <w:lang w:val="en-GB"/>
              </w:rPr>
              <w:tab/>
            </w:r>
            <w:r w:rsidR="00140BAC" w:rsidRPr="009B7A4A">
              <w:rPr>
                <w:rtl/>
              </w:rPr>
              <w:t>لا تعليقات ولا تغييرات مقترحة</w:t>
            </w:r>
          </w:p>
          <w:p w14:paraId="5EF16D03" w14:textId="4AD7ECBC" w:rsidR="00140BAC" w:rsidRPr="009B7A4A" w:rsidRDefault="009D5C27" w:rsidP="00897FC7">
            <w:pPr>
              <w:pStyle w:val="enumlev2"/>
              <w:rPr>
                <w:lang w:val="ar-SA"/>
              </w:rPr>
            </w:pPr>
            <w:r w:rsidRPr="007E06C0">
              <w:rPr>
                <w:rFonts w:asciiTheme="minorHAnsi" w:hAnsiTheme="minorHAnsi" w:cstheme="minorHAnsi"/>
                <w:sz w:val="20"/>
              </w:rPr>
              <w:t>⃝</w:t>
            </w:r>
            <w:r w:rsidR="00140BAC" w:rsidRPr="009B7A4A">
              <w:rPr>
                <w:rtl/>
              </w:rPr>
              <w:tab/>
              <w:t>التعليقات والتغييرات المقترحة مرفقة بالطي</w:t>
            </w:r>
          </w:p>
        </w:tc>
      </w:tr>
      <w:tr w:rsidR="00140BAC" w:rsidRPr="009B7A4A" w14:paraId="671CD491" w14:textId="77777777" w:rsidTr="004304E8">
        <w:trPr>
          <w:cantSplit/>
          <w:trHeight w:val="747"/>
        </w:trPr>
        <w:tc>
          <w:tcPr>
            <w:tcW w:w="2263" w:type="dxa"/>
            <w:vMerge/>
            <w:shd w:val="clear" w:color="auto" w:fill="auto"/>
            <w:vAlign w:val="center"/>
          </w:tcPr>
          <w:p w14:paraId="096512CF" w14:textId="77777777" w:rsidR="00140BAC" w:rsidRPr="00897FC7" w:rsidRDefault="00140BAC" w:rsidP="00257CF5">
            <w:pPr>
              <w:jc w:val="center"/>
              <w:rPr>
                <w:b/>
                <w:bCs/>
                <w:lang w:val="en-GB"/>
              </w:rPr>
            </w:pPr>
          </w:p>
        </w:tc>
        <w:tc>
          <w:tcPr>
            <w:tcW w:w="7456" w:type="dxa"/>
            <w:shd w:val="clear" w:color="auto" w:fill="auto"/>
            <w:vAlign w:val="center"/>
          </w:tcPr>
          <w:p w14:paraId="058F5782" w14:textId="15E454BB" w:rsidR="00140BAC" w:rsidRPr="009D5C27" w:rsidRDefault="009D5C27" w:rsidP="00897FC7">
            <w:pPr>
              <w:pStyle w:val="enumlev1"/>
              <w:rPr>
                <w:spacing w:val="-4"/>
                <w:lang w:val="ar-SA"/>
              </w:rPr>
            </w:pPr>
            <w:r w:rsidRPr="007E06C0">
              <w:rPr>
                <w:rFonts w:asciiTheme="minorHAnsi" w:hAnsiTheme="minorHAnsi" w:cstheme="minorHAnsi"/>
              </w:rPr>
              <w:fldChar w:fldCharType="begin">
                <w:ffData>
                  <w:name w:val="Check1"/>
                  <w:enabled/>
                  <w:calcOnExit w:val="0"/>
                  <w:checkBox>
                    <w:sizeAuto/>
                    <w:default w:val="0"/>
                  </w:checkBox>
                </w:ffData>
              </w:fldChar>
            </w:r>
            <w:r w:rsidRPr="007E06C0">
              <w:rPr>
                <w:rFonts w:asciiTheme="minorHAnsi" w:hAnsiTheme="minorHAnsi" w:cstheme="minorHAnsi"/>
              </w:rPr>
              <w:instrText xml:space="preserve"> FORMCHECKBOX </w:instrText>
            </w:r>
            <w:r w:rsidRPr="007E06C0">
              <w:rPr>
                <w:rFonts w:asciiTheme="minorHAnsi" w:hAnsiTheme="minorHAnsi" w:cstheme="minorHAnsi"/>
              </w:rPr>
            </w:r>
            <w:r w:rsidRPr="007E06C0">
              <w:rPr>
                <w:rFonts w:asciiTheme="minorHAnsi" w:hAnsiTheme="minorHAnsi" w:cstheme="minorHAnsi"/>
              </w:rPr>
              <w:fldChar w:fldCharType="separate"/>
            </w:r>
            <w:r w:rsidRPr="007E06C0">
              <w:rPr>
                <w:rFonts w:asciiTheme="minorHAnsi" w:hAnsiTheme="minorHAnsi" w:cstheme="minorHAnsi"/>
              </w:rPr>
              <w:fldChar w:fldCharType="end"/>
            </w:r>
            <w:r w:rsidR="00140BAC" w:rsidRPr="009D5C27">
              <w:rPr>
                <w:spacing w:val="-4"/>
                <w:rtl/>
              </w:rPr>
              <w:tab/>
            </w:r>
            <w:r w:rsidR="00140BAC" w:rsidRPr="009D5C27">
              <w:rPr>
                <w:b/>
                <w:bCs/>
                <w:spacing w:val="-4"/>
                <w:rtl/>
              </w:rPr>
              <w:t>لا تفوض</w:t>
            </w:r>
            <w:r w:rsidR="00140BAC" w:rsidRPr="009D5C27">
              <w:rPr>
                <w:spacing w:val="-4"/>
                <w:rtl/>
              </w:rPr>
              <w:t xml:space="preserve"> لجنةَ الدراسات 17 </w:t>
            </w:r>
            <w:r w:rsidR="00140BAC" w:rsidRPr="009D5C27">
              <w:rPr>
                <w:b/>
                <w:bCs/>
                <w:spacing w:val="-4"/>
                <w:rtl/>
              </w:rPr>
              <w:t>سلطة النظر</w:t>
            </w:r>
            <w:r w:rsidR="00140BAC" w:rsidRPr="009D5C27">
              <w:rPr>
                <w:spacing w:val="-4"/>
                <w:rtl/>
              </w:rPr>
              <w:t xml:space="preserve"> في هذا النص بغرض الموافقة عليه (ترفق بالطي أسباب هذا الرأي ولمحة عن التغييرات المحتملة التي يمكن أن تيسر تقدم العمل)</w:t>
            </w:r>
          </w:p>
        </w:tc>
      </w:tr>
      <w:tr w:rsidR="00140BAC" w:rsidRPr="009B7A4A" w14:paraId="4566C614" w14:textId="77777777" w:rsidTr="004304E8">
        <w:trPr>
          <w:cantSplit/>
          <w:trHeight w:val="747"/>
        </w:trPr>
        <w:tc>
          <w:tcPr>
            <w:tcW w:w="2263" w:type="dxa"/>
            <w:vMerge w:val="restart"/>
            <w:shd w:val="clear" w:color="auto" w:fill="auto"/>
            <w:vAlign w:val="center"/>
          </w:tcPr>
          <w:p w14:paraId="58139D4F" w14:textId="77777777" w:rsidR="00140BAC" w:rsidRPr="00897FC7" w:rsidRDefault="00140BAC" w:rsidP="00257CF5">
            <w:pPr>
              <w:jc w:val="center"/>
              <w:rPr>
                <w:b/>
                <w:bCs/>
                <w:lang w:val="ar-SA"/>
              </w:rPr>
            </w:pPr>
            <w:r w:rsidRPr="00897FC7">
              <w:rPr>
                <w:b/>
                <w:bCs/>
                <w:rtl/>
              </w:rPr>
              <w:t>مشروع التوصية الجديدة ITU-T X.1456 (X.sgdfs-us)</w:t>
            </w:r>
          </w:p>
        </w:tc>
        <w:tc>
          <w:tcPr>
            <w:tcW w:w="7456" w:type="dxa"/>
            <w:shd w:val="clear" w:color="auto" w:fill="auto"/>
            <w:vAlign w:val="center"/>
          </w:tcPr>
          <w:p w14:paraId="0386C95A" w14:textId="76C5D442" w:rsidR="00140BAC" w:rsidRPr="009B7A4A" w:rsidRDefault="009D5C27" w:rsidP="00897FC7">
            <w:pPr>
              <w:pStyle w:val="enumlev1"/>
              <w:rPr>
                <w:lang w:val="ar-SA"/>
              </w:rPr>
            </w:pPr>
            <w:r w:rsidRPr="007E06C0">
              <w:rPr>
                <w:rFonts w:asciiTheme="minorHAnsi" w:hAnsiTheme="minorHAnsi" w:cstheme="minorHAnsi"/>
              </w:rPr>
              <w:fldChar w:fldCharType="begin">
                <w:ffData>
                  <w:name w:val="Check1"/>
                  <w:enabled/>
                  <w:calcOnExit w:val="0"/>
                  <w:checkBox>
                    <w:sizeAuto/>
                    <w:default w:val="0"/>
                  </w:checkBox>
                </w:ffData>
              </w:fldChar>
            </w:r>
            <w:r w:rsidRPr="007E06C0">
              <w:rPr>
                <w:rFonts w:asciiTheme="minorHAnsi" w:hAnsiTheme="minorHAnsi" w:cstheme="minorHAnsi"/>
              </w:rPr>
              <w:instrText xml:space="preserve"> FORMCHECKBOX </w:instrText>
            </w:r>
            <w:r w:rsidRPr="007E06C0">
              <w:rPr>
                <w:rFonts w:asciiTheme="minorHAnsi" w:hAnsiTheme="minorHAnsi" w:cstheme="minorHAnsi"/>
              </w:rPr>
            </w:r>
            <w:r w:rsidRPr="007E06C0">
              <w:rPr>
                <w:rFonts w:asciiTheme="minorHAnsi" w:hAnsiTheme="minorHAnsi" w:cstheme="minorHAnsi"/>
              </w:rPr>
              <w:fldChar w:fldCharType="separate"/>
            </w:r>
            <w:r w:rsidRPr="007E06C0">
              <w:rPr>
                <w:rFonts w:asciiTheme="minorHAnsi" w:hAnsiTheme="minorHAnsi" w:cstheme="minorHAnsi"/>
              </w:rPr>
              <w:fldChar w:fldCharType="end"/>
            </w:r>
            <w:r w:rsidR="00140BAC" w:rsidRPr="009B7A4A">
              <w:rPr>
                <w:rtl/>
              </w:rPr>
              <w:tab/>
            </w:r>
            <w:r w:rsidR="00140BAC" w:rsidRPr="002C1967">
              <w:rPr>
                <w:b/>
                <w:bCs/>
                <w:rtl/>
              </w:rPr>
              <w:t>تفوض</w:t>
            </w:r>
            <w:r w:rsidR="00140BAC" w:rsidRPr="009B7A4A">
              <w:rPr>
                <w:rtl/>
              </w:rPr>
              <w:t xml:space="preserve"> لجنةَ الدراسات 17 </w:t>
            </w:r>
            <w:r w:rsidR="00140BAC" w:rsidRPr="009D5C27">
              <w:rPr>
                <w:b/>
                <w:bCs/>
                <w:rtl/>
              </w:rPr>
              <w:t>سلطة النظر</w:t>
            </w:r>
            <w:r w:rsidR="00140BAC" w:rsidRPr="009B7A4A">
              <w:rPr>
                <w:rtl/>
              </w:rPr>
              <w:t xml:space="preserve"> في هذا النص بغرض الموافقة عليه (يُرجى في هذه الحالة تحديد أحد الخيارين </w:t>
            </w:r>
            <w:r w:rsidRPr="007E06C0">
              <w:rPr>
                <w:rFonts w:asciiTheme="minorHAnsi" w:hAnsiTheme="minorHAnsi" w:cstheme="minorHAnsi"/>
                <w:sz w:val="20"/>
              </w:rPr>
              <w:t>⃝</w:t>
            </w:r>
            <w:r w:rsidR="00140BAC" w:rsidRPr="009B7A4A">
              <w:rPr>
                <w:rtl/>
              </w:rPr>
              <w:t>):</w:t>
            </w:r>
          </w:p>
          <w:p w14:paraId="64E73984" w14:textId="351663C4" w:rsidR="00140BAC" w:rsidRPr="009B7A4A" w:rsidRDefault="009D5C27" w:rsidP="00897FC7">
            <w:pPr>
              <w:pStyle w:val="enumlev2"/>
              <w:rPr>
                <w:lang w:val="ar-SA"/>
              </w:rPr>
            </w:pPr>
            <w:r w:rsidRPr="007E06C0">
              <w:rPr>
                <w:rFonts w:asciiTheme="minorHAnsi" w:hAnsiTheme="minorHAnsi" w:cstheme="minorHAnsi"/>
                <w:sz w:val="20"/>
              </w:rPr>
              <w:t>⃝</w:t>
            </w:r>
            <w:r w:rsidR="00140BAC" w:rsidRPr="009B7A4A">
              <w:rPr>
                <w:rtl/>
              </w:rPr>
              <w:tab/>
              <w:t>لا تعليقات ولا تغييرات مقترحة</w:t>
            </w:r>
          </w:p>
          <w:p w14:paraId="15966329" w14:textId="56242B85" w:rsidR="00140BAC" w:rsidRPr="009B7A4A" w:rsidRDefault="009D5C27" w:rsidP="00897FC7">
            <w:pPr>
              <w:pStyle w:val="enumlev2"/>
              <w:rPr>
                <w:lang w:val="ar-SA"/>
              </w:rPr>
            </w:pPr>
            <w:r w:rsidRPr="007E06C0">
              <w:rPr>
                <w:rFonts w:asciiTheme="minorHAnsi" w:hAnsiTheme="minorHAnsi" w:cstheme="minorHAnsi"/>
                <w:sz w:val="20"/>
              </w:rPr>
              <w:t>⃝</w:t>
            </w:r>
            <w:r w:rsidR="00140BAC" w:rsidRPr="009B7A4A">
              <w:rPr>
                <w:rtl/>
              </w:rPr>
              <w:tab/>
              <w:t>التعليقات والتغييرات المقترحة مرفقة بالطي</w:t>
            </w:r>
          </w:p>
        </w:tc>
      </w:tr>
      <w:tr w:rsidR="00140BAC" w:rsidRPr="009B7A4A" w14:paraId="4987A750" w14:textId="77777777" w:rsidTr="004304E8">
        <w:trPr>
          <w:cantSplit/>
          <w:trHeight w:val="747"/>
        </w:trPr>
        <w:tc>
          <w:tcPr>
            <w:tcW w:w="2263" w:type="dxa"/>
            <w:vMerge/>
            <w:shd w:val="clear" w:color="auto" w:fill="auto"/>
            <w:vAlign w:val="center"/>
          </w:tcPr>
          <w:p w14:paraId="12C9D139" w14:textId="77777777" w:rsidR="00140BAC" w:rsidRPr="00897FC7" w:rsidRDefault="00140BAC" w:rsidP="00257CF5">
            <w:pPr>
              <w:jc w:val="center"/>
              <w:rPr>
                <w:b/>
                <w:bCs/>
              </w:rPr>
            </w:pPr>
          </w:p>
        </w:tc>
        <w:tc>
          <w:tcPr>
            <w:tcW w:w="7456" w:type="dxa"/>
            <w:shd w:val="clear" w:color="auto" w:fill="auto"/>
            <w:vAlign w:val="center"/>
          </w:tcPr>
          <w:p w14:paraId="636C3705" w14:textId="6A54EE12" w:rsidR="00140BAC" w:rsidRPr="009D5C27" w:rsidRDefault="009D5C27" w:rsidP="00897FC7">
            <w:pPr>
              <w:pStyle w:val="enumlev1"/>
              <w:rPr>
                <w:spacing w:val="-4"/>
                <w:lang w:val="ar-SA"/>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sidR="00140BAC" w:rsidRPr="009D5C27">
              <w:rPr>
                <w:spacing w:val="-4"/>
                <w:rtl/>
              </w:rPr>
              <w:tab/>
            </w:r>
            <w:r w:rsidR="00140BAC" w:rsidRPr="009D5C27">
              <w:rPr>
                <w:b/>
                <w:bCs/>
                <w:spacing w:val="-4"/>
                <w:rtl/>
              </w:rPr>
              <w:t>لا تفوض</w:t>
            </w:r>
            <w:r w:rsidR="00140BAC" w:rsidRPr="009D5C27">
              <w:rPr>
                <w:spacing w:val="-4"/>
                <w:rtl/>
              </w:rPr>
              <w:t xml:space="preserve"> لجنةَ الدراسات 17 </w:t>
            </w:r>
            <w:r w:rsidR="00140BAC" w:rsidRPr="009D5C27">
              <w:rPr>
                <w:b/>
                <w:bCs/>
                <w:spacing w:val="-4"/>
                <w:rtl/>
              </w:rPr>
              <w:t>سلطة النظر</w:t>
            </w:r>
            <w:r w:rsidR="00140BAC" w:rsidRPr="009D5C27">
              <w:rPr>
                <w:spacing w:val="-4"/>
                <w:rtl/>
              </w:rPr>
              <w:t xml:space="preserve"> في هذا النص بغرض الموافقة عليه (ترفق بالطي أسباب هذا الرأي ولمحة عن التغييرات المحتملة التي يمكن أن تيسر تقدم العمل)</w:t>
            </w:r>
          </w:p>
        </w:tc>
      </w:tr>
      <w:tr w:rsidR="00140BAC" w:rsidRPr="009B7A4A" w14:paraId="7B3FDC05" w14:textId="77777777" w:rsidTr="004304E8">
        <w:trPr>
          <w:cantSplit/>
          <w:trHeight w:val="747"/>
        </w:trPr>
        <w:tc>
          <w:tcPr>
            <w:tcW w:w="2263" w:type="dxa"/>
            <w:vMerge w:val="restart"/>
            <w:shd w:val="clear" w:color="auto" w:fill="auto"/>
            <w:vAlign w:val="center"/>
          </w:tcPr>
          <w:p w14:paraId="742A8280" w14:textId="77777777" w:rsidR="00140BAC" w:rsidRPr="00897FC7" w:rsidRDefault="00140BAC" w:rsidP="00257CF5">
            <w:pPr>
              <w:jc w:val="center"/>
              <w:rPr>
                <w:b/>
                <w:bCs/>
                <w:lang w:val="ar-SA"/>
              </w:rPr>
            </w:pPr>
            <w:r w:rsidRPr="00897FC7">
              <w:rPr>
                <w:b/>
                <w:bCs/>
                <w:rtl/>
              </w:rPr>
              <w:t>مشروع التوصية الجديدة ITU-T X.1648 (X.gecds)</w:t>
            </w:r>
          </w:p>
        </w:tc>
        <w:tc>
          <w:tcPr>
            <w:tcW w:w="7456" w:type="dxa"/>
            <w:shd w:val="clear" w:color="auto" w:fill="auto"/>
            <w:vAlign w:val="center"/>
          </w:tcPr>
          <w:p w14:paraId="1DDD4B8F" w14:textId="7A11784A" w:rsidR="00140BAC" w:rsidRPr="009B7A4A" w:rsidRDefault="009D5C27" w:rsidP="00897FC7">
            <w:pPr>
              <w:pStyle w:val="enumlev1"/>
              <w:rPr>
                <w:lang w:val="ar-SA"/>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sidR="00140BAC" w:rsidRPr="009B7A4A">
              <w:rPr>
                <w:rtl/>
              </w:rPr>
              <w:tab/>
            </w:r>
            <w:r w:rsidR="00140BAC" w:rsidRPr="002C1967">
              <w:rPr>
                <w:b/>
                <w:bCs/>
                <w:rtl/>
              </w:rPr>
              <w:t>تفوض</w:t>
            </w:r>
            <w:r w:rsidR="00140BAC" w:rsidRPr="009B7A4A">
              <w:rPr>
                <w:rtl/>
              </w:rPr>
              <w:t xml:space="preserve"> لجنةَ الدراسات 17 </w:t>
            </w:r>
            <w:r w:rsidR="00140BAC" w:rsidRPr="009D5C27">
              <w:rPr>
                <w:b/>
                <w:bCs/>
                <w:rtl/>
              </w:rPr>
              <w:t>سلطة النظر</w:t>
            </w:r>
            <w:r w:rsidR="00140BAC" w:rsidRPr="009B7A4A">
              <w:rPr>
                <w:rtl/>
              </w:rPr>
              <w:t xml:space="preserve"> في هذا النص بغرض الموافقة عليه (يُرجى في هذه الحالة تحديد أحد الخيارين </w:t>
            </w:r>
            <w:r w:rsidRPr="007E06C0">
              <w:rPr>
                <w:rFonts w:asciiTheme="minorHAnsi" w:hAnsiTheme="minorHAnsi" w:cstheme="minorHAnsi"/>
                <w:sz w:val="20"/>
              </w:rPr>
              <w:t>⃝</w:t>
            </w:r>
            <w:r w:rsidR="00140BAC" w:rsidRPr="009B7A4A">
              <w:rPr>
                <w:rtl/>
              </w:rPr>
              <w:t>):</w:t>
            </w:r>
          </w:p>
          <w:p w14:paraId="4DA86585" w14:textId="41A2F6F5" w:rsidR="00140BAC" w:rsidRPr="009B7A4A" w:rsidRDefault="009D5C27" w:rsidP="00897FC7">
            <w:pPr>
              <w:pStyle w:val="enumlev2"/>
              <w:rPr>
                <w:lang w:val="ar-SA"/>
              </w:rPr>
            </w:pPr>
            <w:r w:rsidRPr="007E06C0">
              <w:rPr>
                <w:rFonts w:asciiTheme="minorHAnsi" w:hAnsiTheme="minorHAnsi" w:cstheme="minorHAnsi"/>
                <w:sz w:val="20"/>
              </w:rPr>
              <w:t>⃝</w:t>
            </w:r>
            <w:r w:rsidR="00140BAC" w:rsidRPr="009B7A4A">
              <w:rPr>
                <w:rtl/>
              </w:rPr>
              <w:tab/>
              <w:t>لا تعليقات ولا تغييرات مقترحة</w:t>
            </w:r>
          </w:p>
          <w:p w14:paraId="504B7E7A" w14:textId="3DD2836E" w:rsidR="00140BAC" w:rsidRPr="009B7A4A" w:rsidRDefault="009D5C27" w:rsidP="00897FC7">
            <w:pPr>
              <w:pStyle w:val="enumlev2"/>
              <w:rPr>
                <w:lang w:val="ar-SA"/>
              </w:rPr>
            </w:pPr>
            <w:r w:rsidRPr="007E06C0">
              <w:rPr>
                <w:rFonts w:asciiTheme="minorHAnsi" w:hAnsiTheme="minorHAnsi" w:cstheme="minorHAnsi"/>
                <w:sz w:val="20"/>
              </w:rPr>
              <w:t>⃝</w:t>
            </w:r>
            <w:r w:rsidR="00140BAC" w:rsidRPr="009B7A4A">
              <w:rPr>
                <w:rtl/>
              </w:rPr>
              <w:tab/>
              <w:t>التعليقات والتغييرات المقترحة مرفقة بالطي</w:t>
            </w:r>
          </w:p>
        </w:tc>
      </w:tr>
      <w:tr w:rsidR="00140BAC" w:rsidRPr="009B7A4A" w14:paraId="5B4D0B8D" w14:textId="77777777" w:rsidTr="004304E8">
        <w:trPr>
          <w:cantSplit/>
          <w:trHeight w:val="747"/>
        </w:trPr>
        <w:tc>
          <w:tcPr>
            <w:tcW w:w="2263" w:type="dxa"/>
            <w:vMerge/>
            <w:shd w:val="clear" w:color="auto" w:fill="auto"/>
            <w:vAlign w:val="center"/>
          </w:tcPr>
          <w:p w14:paraId="5BE89384" w14:textId="77777777" w:rsidR="00140BAC" w:rsidRPr="00897FC7" w:rsidRDefault="00140BAC" w:rsidP="00257CF5">
            <w:pPr>
              <w:jc w:val="center"/>
              <w:rPr>
                <w:b/>
                <w:bCs/>
                <w:lang w:val="en-GB"/>
              </w:rPr>
            </w:pPr>
          </w:p>
        </w:tc>
        <w:tc>
          <w:tcPr>
            <w:tcW w:w="7456" w:type="dxa"/>
            <w:shd w:val="clear" w:color="auto" w:fill="auto"/>
            <w:vAlign w:val="center"/>
          </w:tcPr>
          <w:p w14:paraId="047017C8" w14:textId="3783D2C3" w:rsidR="00140BAC" w:rsidRPr="009D5C27" w:rsidRDefault="009D5C27" w:rsidP="00897FC7">
            <w:pPr>
              <w:pStyle w:val="enumlev1"/>
              <w:rPr>
                <w:spacing w:val="-4"/>
                <w:lang w:val="ar-SA"/>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sidR="00140BAC" w:rsidRPr="009D5C27">
              <w:rPr>
                <w:spacing w:val="-4"/>
                <w:rtl/>
              </w:rPr>
              <w:tab/>
            </w:r>
            <w:r w:rsidR="00140BAC" w:rsidRPr="009D5C27">
              <w:rPr>
                <w:b/>
                <w:bCs/>
                <w:spacing w:val="-4"/>
                <w:rtl/>
              </w:rPr>
              <w:t>لا تفوض</w:t>
            </w:r>
            <w:r w:rsidR="00140BAC" w:rsidRPr="009D5C27">
              <w:rPr>
                <w:spacing w:val="-4"/>
                <w:rtl/>
              </w:rPr>
              <w:t xml:space="preserve"> لجنةَ الدراسات 17 </w:t>
            </w:r>
            <w:r w:rsidR="00140BAC" w:rsidRPr="009D5C27">
              <w:rPr>
                <w:b/>
                <w:bCs/>
                <w:spacing w:val="-4"/>
                <w:rtl/>
              </w:rPr>
              <w:t>سلطة النظر</w:t>
            </w:r>
            <w:r w:rsidR="00140BAC" w:rsidRPr="009D5C27">
              <w:rPr>
                <w:spacing w:val="-4"/>
                <w:rtl/>
              </w:rPr>
              <w:t xml:space="preserve"> في هذا النص بغرض الموافقة عليه (ترفق بالطي أسباب هذا الرأي ولمحة عن التغييرات المحتملة التي يمكن أن تيسر تقدم العمل)</w:t>
            </w:r>
          </w:p>
        </w:tc>
      </w:tr>
      <w:tr w:rsidR="00140BAC" w:rsidRPr="009B7A4A" w14:paraId="1F95F2F7" w14:textId="77777777" w:rsidTr="004304E8">
        <w:trPr>
          <w:cantSplit/>
          <w:trHeight w:val="357"/>
        </w:trPr>
        <w:tc>
          <w:tcPr>
            <w:tcW w:w="2263" w:type="dxa"/>
            <w:vMerge w:val="restart"/>
            <w:shd w:val="clear" w:color="auto" w:fill="auto"/>
            <w:vAlign w:val="center"/>
          </w:tcPr>
          <w:p w14:paraId="35C10D65" w14:textId="77777777" w:rsidR="00140BAC" w:rsidRPr="00897FC7" w:rsidRDefault="00140BAC" w:rsidP="00257CF5">
            <w:pPr>
              <w:jc w:val="center"/>
              <w:rPr>
                <w:b/>
                <w:bCs/>
                <w:lang w:val="ar-SA"/>
              </w:rPr>
            </w:pPr>
            <w:r w:rsidRPr="00897FC7">
              <w:rPr>
                <w:b/>
                <w:bCs/>
                <w:rtl/>
              </w:rPr>
              <w:lastRenderedPageBreak/>
              <w:t>مشروع التوصية الجديدة ITU-T X.1284 (X.afotak)</w:t>
            </w:r>
          </w:p>
        </w:tc>
        <w:tc>
          <w:tcPr>
            <w:tcW w:w="7456" w:type="dxa"/>
            <w:shd w:val="clear" w:color="auto" w:fill="auto"/>
            <w:vAlign w:val="center"/>
          </w:tcPr>
          <w:p w14:paraId="4A2BA81E" w14:textId="3A401414" w:rsidR="00140BAC" w:rsidRPr="009B7A4A" w:rsidRDefault="009D5C27" w:rsidP="00897FC7">
            <w:pPr>
              <w:pStyle w:val="enumlev1"/>
              <w:rPr>
                <w:lang w:val="ar-SA"/>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sidR="00140BAC" w:rsidRPr="009B7A4A">
              <w:rPr>
                <w:rtl/>
              </w:rPr>
              <w:tab/>
            </w:r>
            <w:r w:rsidR="00140BAC" w:rsidRPr="002C1967">
              <w:rPr>
                <w:b/>
                <w:bCs/>
                <w:rtl/>
              </w:rPr>
              <w:t>تفوض</w:t>
            </w:r>
            <w:r w:rsidR="00140BAC" w:rsidRPr="009B7A4A">
              <w:rPr>
                <w:rtl/>
              </w:rPr>
              <w:t xml:space="preserve"> لجنةَ الدراسات 17 </w:t>
            </w:r>
            <w:r w:rsidR="00140BAC" w:rsidRPr="009D5C27">
              <w:rPr>
                <w:b/>
                <w:bCs/>
                <w:rtl/>
              </w:rPr>
              <w:t>سلطة النظر</w:t>
            </w:r>
            <w:r w:rsidR="00140BAC" w:rsidRPr="009B7A4A">
              <w:rPr>
                <w:rtl/>
              </w:rPr>
              <w:t xml:space="preserve"> في هذا النص بغرض الموافقة عليه (يُرجى في هذه الحالة تحديد أحد الخيارين </w:t>
            </w:r>
            <w:r w:rsidRPr="007E06C0">
              <w:rPr>
                <w:rFonts w:asciiTheme="minorHAnsi" w:hAnsiTheme="minorHAnsi" w:cstheme="minorHAnsi"/>
                <w:sz w:val="20"/>
              </w:rPr>
              <w:t>⃝</w:t>
            </w:r>
            <w:r w:rsidR="00140BAC" w:rsidRPr="009B7A4A">
              <w:rPr>
                <w:rtl/>
              </w:rPr>
              <w:t>):</w:t>
            </w:r>
          </w:p>
          <w:p w14:paraId="07DD6B3B" w14:textId="6B0E39FD" w:rsidR="00140BAC" w:rsidRPr="009B7A4A" w:rsidRDefault="009D5C27" w:rsidP="00897FC7">
            <w:pPr>
              <w:pStyle w:val="enumlev2"/>
              <w:rPr>
                <w:lang w:val="ar-SA"/>
              </w:rPr>
            </w:pPr>
            <w:r w:rsidRPr="007E06C0">
              <w:rPr>
                <w:rFonts w:asciiTheme="minorHAnsi" w:hAnsiTheme="minorHAnsi" w:cstheme="minorHAnsi"/>
                <w:sz w:val="20"/>
              </w:rPr>
              <w:t>⃝</w:t>
            </w:r>
            <w:r w:rsidR="00140BAC" w:rsidRPr="009B7A4A">
              <w:rPr>
                <w:rtl/>
              </w:rPr>
              <w:tab/>
              <w:t>لا تعليقات ولا تغييرات مقترحة</w:t>
            </w:r>
          </w:p>
          <w:p w14:paraId="5467723A" w14:textId="26244FAB" w:rsidR="00140BAC" w:rsidRPr="009B7A4A" w:rsidRDefault="009D5C27" w:rsidP="00897FC7">
            <w:pPr>
              <w:pStyle w:val="enumlev2"/>
              <w:rPr>
                <w:lang w:val="ar-SA"/>
              </w:rPr>
            </w:pPr>
            <w:r w:rsidRPr="007E06C0">
              <w:rPr>
                <w:rFonts w:asciiTheme="minorHAnsi" w:hAnsiTheme="minorHAnsi" w:cstheme="minorHAnsi"/>
                <w:sz w:val="20"/>
              </w:rPr>
              <w:t>⃝</w:t>
            </w:r>
            <w:r w:rsidR="00140BAC" w:rsidRPr="009B7A4A">
              <w:rPr>
                <w:rtl/>
              </w:rPr>
              <w:tab/>
              <w:t>التعليقات والتغييرات المقترحة مرفقة بالطي</w:t>
            </w:r>
          </w:p>
        </w:tc>
      </w:tr>
      <w:tr w:rsidR="00140BAC" w:rsidRPr="009B7A4A" w14:paraId="0DBBE6E2" w14:textId="77777777" w:rsidTr="004304E8">
        <w:trPr>
          <w:cantSplit/>
          <w:trHeight w:val="380"/>
        </w:trPr>
        <w:tc>
          <w:tcPr>
            <w:tcW w:w="2263" w:type="dxa"/>
            <w:vMerge/>
            <w:shd w:val="clear" w:color="auto" w:fill="auto"/>
          </w:tcPr>
          <w:p w14:paraId="5696A3AE" w14:textId="77777777" w:rsidR="00140BAC" w:rsidRPr="00897FC7" w:rsidRDefault="00140BAC" w:rsidP="00257CF5">
            <w:pPr>
              <w:jc w:val="center"/>
              <w:rPr>
                <w:b/>
                <w:bCs/>
                <w:lang w:val="en-GB"/>
              </w:rPr>
            </w:pPr>
          </w:p>
        </w:tc>
        <w:tc>
          <w:tcPr>
            <w:tcW w:w="7456" w:type="dxa"/>
            <w:shd w:val="clear" w:color="auto" w:fill="auto"/>
            <w:vAlign w:val="center"/>
          </w:tcPr>
          <w:p w14:paraId="6C121BA8" w14:textId="2D97A84F" w:rsidR="00140BAC" w:rsidRPr="009D5C27" w:rsidRDefault="009D5C27" w:rsidP="00897FC7">
            <w:pPr>
              <w:pStyle w:val="enumlev1"/>
              <w:rPr>
                <w:spacing w:val="-4"/>
                <w:lang w:val="ar-SA"/>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sidR="00140BAC" w:rsidRPr="009D5C27">
              <w:rPr>
                <w:spacing w:val="-4"/>
                <w:rtl/>
              </w:rPr>
              <w:tab/>
            </w:r>
            <w:r w:rsidR="00140BAC" w:rsidRPr="009D5C27">
              <w:rPr>
                <w:b/>
                <w:bCs/>
                <w:spacing w:val="-4"/>
                <w:rtl/>
              </w:rPr>
              <w:t>لا تفوض</w:t>
            </w:r>
            <w:r w:rsidR="00140BAC" w:rsidRPr="009D5C27">
              <w:rPr>
                <w:spacing w:val="-4"/>
                <w:rtl/>
              </w:rPr>
              <w:t xml:space="preserve"> لجنةَ الدراسات 17 </w:t>
            </w:r>
            <w:r w:rsidR="00140BAC" w:rsidRPr="009D5C27">
              <w:rPr>
                <w:b/>
                <w:bCs/>
                <w:spacing w:val="-4"/>
                <w:rtl/>
              </w:rPr>
              <w:t>سلطة النظر</w:t>
            </w:r>
            <w:r w:rsidR="00140BAC" w:rsidRPr="009D5C27">
              <w:rPr>
                <w:spacing w:val="-4"/>
                <w:rtl/>
              </w:rPr>
              <w:t xml:space="preserve"> في هذا النص بغرض الموافقة عليه (ترفق بالطي أسباب هذا الرأي ولمحة عن التغييرات المحتملة التي يمكن أن تيسر تقدم العمل)</w:t>
            </w:r>
          </w:p>
        </w:tc>
      </w:tr>
      <w:tr w:rsidR="00140BAC" w:rsidRPr="009B7A4A" w14:paraId="1E5E9C60" w14:textId="77777777" w:rsidTr="004304E8">
        <w:trPr>
          <w:cantSplit/>
          <w:trHeight w:val="368"/>
        </w:trPr>
        <w:tc>
          <w:tcPr>
            <w:tcW w:w="2263" w:type="dxa"/>
            <w:vMerge w:val="restart"/>
            <w:shd w:val="clear" w:color="auto" w:fill="auto"/>
            <w:vAlign w:val="center"/>
          </w:tcPr>
          <w:p w14:paraId="7C952079" w14:textId="77777777" w:rsidR="00140BAC" w:rsidRPr="00897FC7" w:rsidRDefault="00140BAC" w:rsidP="00257CF5">
            <w:pPr>
              <w:jc w:val="center"/>
              <w:rPr>
                <w:b/>
                <w:bCs/>
                <w:lang w:val="ar-SA"/>
              </w:rPr>
            </w:pPr>
            <w:r w:rsidRPr="00897FC7">
              <w:rPr>
                <w:b/>
                <w:bCs/>
                <w:rtl/>
              </w:rPr>
              <w:t>مشروع التوصية الجديدة ITU-T X.1385 (X.evtol-sec)</w:t>
            </w:r>
          </w:p>
        </w:tc>
        <w:tc>
          <w:tcPr>
            <w:tcW w:w="7456" w:type="dxa"/>
            <w:shd w:val="clear" w:color="auto" w:fill="auto"/>
            <w:vAlign w:val="center"/>
          </w:tcPr>
          <w:p w14:paraId="000BC0E4" w14:textId="0B324E2E" w:rsidR="00140BAC" w:rsidRPr="009B7A4A" w:rsidRDefault="009D5C27" w:rsidP="00897FC7">
            <w:pPr>
              <w:pStyle w:val="enumlev1"/>
              <w:rPr>
                <w:lang w:val="ar-SA"/>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sidR="00140BAC" w:rsidRPr="009B7A4A">
              <w:rPr>
                <w:rtl/>
              </w:rPr>
              <w:tab/>
            </w:r>
            <w:r w:rsidR="00140BAC" w:rsidRPr="002C1967">
              <w:rPr>
                <w:b/>
                <w:bCs/>
                <w:rtl/>
              </w:rPr>
              <w:t>تفوض</w:t>
            </w:r>
            <w:r w:rsidR="00140BAC" w:rsidRPr="009B7A4A">
              <w:rPr>
                <w:rtl/>
              </w:rPr>
              <w:t xml:space="preserve"> لجنةَ الدراسات 17 </w:t>
            </w:r>
            <w:r w:rsidR="00140BAC" w:rsidRPr="009D5C27">
              <w:rPr>
                <w:b/>
                <w:bCs/>
                <w:rtl/>
              </w:rPr>
              <w:t>سلطة النظر</w:t>
            </w:r>
            <w:r w:rsidR="00140BAC" w:rsidRPr="009B7A4A">
              <w:rPr>
                <w:rtl/>
              </w:rPr>
              <w:t xml:space="preserve"> في هذا النص بغرض الموافقة عليه (يُرجى في هذه الحالة تحديد أحد الخيارين </w:t>
            </w:r>
            <w:r w:rsidRPr="007E06C0">
              <w:rPr>
                <w:rFonts w:asciiTheme="minorHAnsi" w:hAnsiTheme="minorHAnsi" w:cstheme="minorHAnsi"/>
                <w:sz w:val="20"/>
              </w:rPr>
              <w:t>⃝</w:t>
            </w:r>
            <w:r w:rsidR="00140BAC" w:rsidRPr="009B7A4A">
              <w:rPr>
                <w:rtl/>
              </w:rPr>
              <w:t>):</w:t>
            </w:r>
          </w:p>
          <w:p w14:paraId="5DF392EA" w14:textId="375B7252" w:rsidR="00140BAC" w:rsidRPr="009B7A4A" w:rsidRDefault="009D5C27" w:rsidP="00897FC7">
            <w:pPr>
              <w:pStyle w:val="enumlev2"/>
              <w:rPr>
                <w:lang w:val="ar-SA"/>
              </w:rPr>
            </w:pPr>
            <w:r w:rsidRPr="007E06C0">
              <w:rPr>
                <w:rFonts w:asciiTheme="minorHAnsi" w:hAnsiTheme="minorHAnsi" w:cstheme="minorHAnsi"/>
                <w:sz w:val="20"/>
              </w:rPr>
              <w:t>⃝</w:t>
            </w:r>
            <w:r w:rsidR="00140BAC" w:rsidRPr="009B7A4A">
              <w:rPr>
                <w:rtl/>
              </w:rPr>
              <w:tab/>
              <w:t>لا تعليقات ولا تغييرات مقترحة</w:t>
            </w:r>
          </w:p>
          <w:p w14:paraId="6457FBAA" w14:textId="63B136DE" w:rsidR="00140BAC" w:rsidRPr="009B7A4A" w:rsidRDefault="009D5C27" w:rsidP="00897FC7">
            <w:pPr>
              <w:pStyle w:val="enumlev2"/>
              <w:rPr>
                <w:lang w:val="ar-SA"/>
              </w:rPr>
            </w:pPr>
            <w:r w:rsidRPr="007E06C0">
              <w:rPr>
                <w:rFonts w:asciiTheme="minorHAnsi" w:hAnsiTheme="minorHAnsi" w:cstheme="minorHAnsi"/>
                <w:sz w:val="20"/>
              </w:rPr>
              <w:t>⃝</w:t>
            </w:r>
            <w:r w:rsidR="00140BAC" w:rsidRPr="009B7A4A">
              <w:rPr>
                <w:rtl/>
              </w:rPr>
              <w:tab/>
              <w:t>التعليقات والتغييرات المقترحة مرفقة بالطي</w:t>
            </w:r>
          </w:p>
        </w:tc>
      </w:tr>
      <w:tr w:rsidR="00140BAC" w:rsidRPr="009B7A4A" w14:paraId="02B41658" w14:textId="77777777" w:rsidTr="004304E8">
        <w:trPr>
          <w:cantSplit/>
          <w:trHeight w:val="380"/>
        </w:trPr>
        <w:tc>
          <w:tcPr>
            <w:tcW w:w="2263" w:type="dxa"/>
            <w:vMerge/>
            <w:shd w:val="clear" w:color="auto" w:fill="auto"/>
          </w:tcPr>
          <w:p w14:paraId="2EA1CCC4" w14:textId="77777777" w:rsidR="00140BAC" w:rsidRPr="00897FC7" w:rsidRDefault="00140BAC" w:rsidP="00257CF5">
            <w:pPr>
              <w:jc w:val="center"/>
              <w:rPr>
                <w:b/>
                <w:bCs/>
              </w:rPr>
            </w:pPr>
          </w:p>
        </w:tc>
        <w:tc>
          <w:tcPr>
            <w:tcW w:w="7456" w:type="dxa"/>
            <w:shd w:val="clear" w:color="auto" w:fill="auto"/>
            <w:vAlign w:val="center"/>
          </w:tcPr>
          <w:p w14:paraId="10395665" w14:textId="1CEF9AE8" w:rsidR="00140BAC" w:rsidRPr="009D5C27" w:rsidRDefault="009D5C27" w:rsidP="00897FC7">
            <w:pPr>
              <w:pStyle w:val="enumlev1"/>
              <w:rPr>
                <w:spacing w:val="-4"/>
                <w:lang w:val="ar-SA"/>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sidR="00140BAC" w:rsidRPr="009D5C27">
              <w:rPr>
                <w:spacing w:val="-4"/>
                <w:rtl/>
              </w:rPr>
              <w:tab/>
            </w:r>
            <w:r w:rsidR="00140BAC" w:rsidRPr="009D5C27">
              <w:rPr>
                <w:b/>
                <w:bCs/>
                <w:spacing w:val="-4"/>
                <w:rtl/>
              </w:rPr>
              <w:t>لا تفوض</w:t>
            </w:r>
            <w:r w:rsidR="00140BAC" w:rsidRPr="009D5C27">
              <w:rPr>
                <w:spacing w:val="-4"/>
                <w:rtl/>
              </w:rPr>
              <w:t xml:space="preserve"> لجنةَ الدراسات 17 </w:t>
            </w:r>
            <w:r w:rsidR="00140BAC" w:rsidRPr="009D5C27">
              <w:rPr>
                <w:b/>
                <w:bCs/>
                <w:spacing w:val="-4"/>
                <w:rtl/>
              </w:rPr>
              <w:t>سلطة النظر</w:t>
            </w:r>
            <w:r w:rsidR="00140BAC" w:rsidRPr="009D5C27">
              <w:rPr>
                <w:spacing w:val="-4"/>
                <w:rtl/>
              </w:rPr>
              <w:t xml:space="preserve"> في هذا النص بغرض الموافقة عليه (ترفق بالطي أسباب هذا الرأي ولمحة عن التغييرات المحتملة التي يمكن أن تيسر تقدم العمل)</w:t>
            </w:r>
          </w:p>
        </w:tc>
      </w:tr>
    </w:tbl>
    <w:p w14:paraId="492B2078" w14:textId="77777777" w:rsidR="00140BAC" w:rsidRPr="00140BAC" w:rsidRDefault="00140BAC" w:rsidP="009D5C27">
      <w:pPr>
        <w:spacing w:before="240"/>
        <w:rPr>
          <w:lang w:val="ar-SA" w:bidi="ar-EG"/>
        </w:rPr>
      </w:pPr>
      <w:r w:rsidRPr="00140BAC">
        <w:rPr>
          <w:rtl/>
        </w:rPr>
        <w:t>وتفضلوا بقبول فائق التقدير والاحترام.</w:t>
      </w:r>
    </w:p>
    <w:p w14:paraId="16896553" w14:textId="77777777" w:rsidR="00140BAC" w:rsidRPr="00140BAC" w:rsidRDefault="00140BAC" w:rsidP="00140BAC">
      <w:pPr>
        <w:rPr>
          <w:lang w:val="ar-SA" w:bidi="ar-EG"/>
        </w:rPr>
      </w:pPr>
      <w:r w:rsidRPr="00EA6E80">
        <w:rPr>
          <w:highlight w:val="green"/>
          <w:rtl/>
        </w:rPr>
        <w:t>[الاسم]</w:t>
      </w:r>
    </w:p>
    <w:p w14:paraId="3000F0CD" w14:textId="77777777" w:rsidR="00140BAC" w:rsidRPr="00140BAC" w:rsidRDefault="00140BAC" w:rsidP="00140BAC">
      <w:pPr>
        <w:rPr>
          <w:lang w:val="ar-SA" w:bidi="ar-EG"/>
        </w:rPr>
      </w:pPr>
      <w:r w:rsidRPr="00EA6E80">
        <w:rPr>
          <w:highlight w:val="green"/>
          <w:rtl/>
        </w:rPr>
        <w:t>[الدور/المنصب الرسمي]</w:t>
      </w:r>
    </w:p>
    <w:p w14:paraId="16F740B8" w14:textId="2F22C589" w:rsidR="00AF6B5C" w:rsidRDefault="00140BAC" w:rsidP="00140BAC">
      <w:pPr>
        <w:rPr>
          <w:rtl/>
          <w:lang w:bidi="ar-EG"/>
        </w:rPr>
      </w:pPr>
      <w:r w:rsidRPr="00140BAC">
        <w:rPr>
          <w:rtl/>
        </w:rPr>
        <w:t xml:space="preserve">إدارة </w:t>
      </w:r>
      <w:r w:rsidRPr="00EA6E80">
        <w:rPr>
          <w:highlight w:val="green"/>
          <w:rtl/>
        </w:rPr>
        <w:t>[الدولة العضو]</w:t>
      </w:r>
    </w:p>
    <w:p w14:paraId="267A91DC" w14:textId="0A70C68A" w:rsidR="00596808" w:rsidRDefault="00EA6E80" w:rsidP="00EA6E80">
      <w:pPr>
        <w:spacing w:before="600"/>
        <w:jc w:val="center"/>
        <w:rPr>
          <w:rtl/>
          <w:lang w:bidi="ar-EG"/>
        </w:rPr>
      </w:pPr>
      <w:r w:rsidRPr="00EA6E80">
        <w:rPr>
          <w:rFonts w:hint="cs"/>
          <w:rtl/>
          <w:lang w:bidi="ar-EG"/>
        </w:rPr>
        <w:t>ــــــــــــــــــــــــــــــــــــــــــــــــــــــــــــــــــــــــــــــــــــــــــــــــ</w:t>
      </w:r>
    </w:p>
    <w:sectPr w:rsidR="00596808" w:rsidSect="006C3242">
      <w:head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35E92" w14:textId="77777777" w:rsidR="00C91E55" w:rsidRDefault="00C91E55" w:rsidP="006C3242">
      <w:pPr>
        <w:spacing w:before="0" w:line="240" w:lineRule="auto"/>
      </w:pPr>
      <w:r>
        <w:separator/>
      </w:r>
    </w:p>
  </w:endnote>
  <w:endnote w:type="continuationSeparator" w:id="0">
    <w:p w14:paraId="6D2ACC53" w14:textId="77777777" w:rsidR="00C91E55" w:rsidRDefault="00C91E5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D1C9"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270C7" w14:textId="77777777" w:rsidR="00C91E55" w:rsidRDefault="00C91E55" w:rsidP="006C3242">
      <w:pPr>
        <w:spacing w:before="0" w:line="240" w:lineRule="auto"/>
      </w:pPr>
      <w:r>
        <w:separator/>
      </w:r>
    </w:p>
  </w:footnote>
  <w:footnote w:type="continuationSeparator" w:id="0">
    <w:p w14:paraId="638CA904" w14:textId="77777777" w:rsidR="00C91E55" w:rsidRDefault="00C91E5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2103" w14:textId="2BD0FB69"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402C4A">
      <w:rPr>
        <w:sz w:val="20"/>
        <w:szCs w:val="20"/>
        <w:lang w:bidi="ar-EG"/>
      </w:rPr>
      <w:t>TSB Circular 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C4"/>
    <w:rsid w:val="00002A63"/>
    <w:rsid w:val="0006468A"/>
    <w:rsid w:val="00083926"/>
    <w:rsid w:val="00090574"/>
    <w:rsid w:val="000C1C0E"/>
    <w:rsid w:val="000C548A"/>
    <w:rsid w:val="000E327F"/>
    <w:rsid w:val="000F3073"/>
    <w:rsid w:val="00140BAC"/>
    <w:rsid w:val="00146FE2"/>
    <w:rsid w:val="001C0169"/>
    <w:rsid w:val="001D1D50"/>
    <w:rsid w:val="001D6745"/>
    <w:rsid w:val="001E446E"/>
    <w:rsid w:val="00207B0A"/>
    <w:rsid w:val="002154EE"/>
    <w:rsid w:val="002276D2"/>
    <w:rsid w:val="0023283D"/>
    <w:rsid w:val="0024690B"/>
    <w:rsid w:val="00257CF5"/>
    <w:rsid w:val="0026373E"/>
    <w:rsid w:val="00271C43"/>
    <w:rsid w:val="00282D65"/>
    <w:rsid w:val="00290728"/>
    <w:rsid w:val="002978F4"/>
    <w:rsid w:val="002B028D"/>
    <w:rsid w:val="002C1967"/>
    <w:rsid w:val="002E196B"/>
    <w:rsid w:val="002E6541"/>
    <w:rsid w:val="002F192B"/>
    <w:rsid w:val="00334924"/>
    <w:rsid w:val="003409BC"/>
    <w:rsid w:val="00357185"/>
    <w:rsid w:val="00383829"/>
    <w:rsid w:val="003A3046"/>
    <w:rsid w:val="003C7EDF"/>
    <w:rsid w:val="003F4B29"/>
    <w:rsid w:val="00400EC6"/>
    <w:rsid w:val="00402C4A"/>
    <w:rsid w:val="00404ED9"/>
    <w:rsid w:val="00415BD9"/>
    <w:rsid w:val="0042686F"/>
    <w:rsid w:val="004317D8"/>
    <w:rsid w:val="00433E61"/>
    <w:rsid w:val="00434183"/>
    <w:rsid w:val="00443869"/>
    <w:rsid w:val="00447F32"/>
    <w:rsid w:val="004E11DC"/>
    <w:rsid w:val="00525DDD"/>
    <w:rsid w:val="005409AC"/>
    <w:rsid w:val="0055516A"/>
    <w:rsid w:val="005731DD"/>
    <w:rsid w:val="0058491B"/>
    <w:rsid w:val="00584FEB"/>
    <w:rsid w:val="00592EA5"/>
    <w:rsid w:val="00595B52"/>
    <w:rsid w:val="00596808"/>
    <w:rsid w:val="005A3170"/>
    <w:rsid w:val="00623C24"/>
    <w:rsid w:val="006635B2"/>
    <w:rsid w:val="00677396"/>
    <w:rsid w:val="0069200F"/>
    <w:rsid w:val="006A65CB"/>
    <w:rsid w:val="006C1530"/>
    <w:rsid w:val="006C3242"/>
    <w:rsid w:val="006C7CC0"/>
    <w:rsid w:val="006D4B92"/>
    <w:rsid w:val="006E1BAD"/>
    <w:rsid w:val="006E6264"/>
    <w:rsid w:val="006F63F7"/>
    <w:rsid w:val="007025C7"/>
    <w:rsid w:val="00706D7A"/>
    <w:rsid w:val="00722F0D"/>
    <w:rsid w:val="0074420E"/>
    <w:rsid w:val="00783E26"/>
    <w:rsid w:val="007868E5"/>
    <w:rsid w:val="007C3BC7"/>
    <w:rsid w:val="007C3BCD"/>
    <w:rsid w:val="007D20A1"/>
    <w:rsid w:val="007D4ACF"/>
    <w:rsid w:val="007F0787"/>
    <w:rsid w:val="00807031"/>
    <w:rsid w:val="00807BBB"/>
    <w:rsid w:val="00810B7B"/>
    <w:rsid w:val="0082358A"/>
    <w:rsid w:val="008235CD"/>
    <w:rsid w:val="008247DE"/>
    <w:rsid w:val="00840B10"/>
    <w:rsid w:val="008513CB"/>
    <w:rsid w:val="00861435"/>
    <w:rsid w:val="00873469"/>
    <w:rsid w:val="00877F4B"/>
    <w:rsid w:val="00891703"/>
    <w:rsid w:val="00897FC7"/>
    <w:rsid w:val="008A7F84"/>
    <w:rsid w:val="00911F1E"/>
    <w:rsid w:val="00914477"/>
    <w:rsid w:val="0091702E"/>
    <w:rsid w:val="00923B0C"/>
    <w:rsid w:val="00926F44"/>
    <w:rsid w:val="0094021C"/>
    <w:rsid w:val="0094432F"/>
    <w:rsid w:val="00952F86"/>
    <w:rsid w:val="00982B28"/>
    <w:rsid w:val="009B7A4A"/>
    <w:rsid w:val="009C5BA2"/>
    <w:rsid w:val="009D313F"/>
    <w:rsid w:val="009D5C27"/>
    <w:rsid w:val="00A06CDC"/>
    <w:rsid w:val="00A47A5A"/>
    <w:rsid w:val="00A6683B"/>
    <w:rsid w:val="00A77C90"/>
    <w:rsid w:val="00A9156F"/>
    <w:rsid w:val="00A92D80"/>
    <w:rsid w:val="00A97F94"/>
    <w:rsid w:val="00AA7EA2"/>
    <w:rsid w:val="00AF6B5C"/>
    <w:rsid w:val="00B03099"/>
    <w:rsid w:val="00B05BC8"/>
    <w:rsid w:val="00B3571E"/>
    <w:rsid w:val="00B40487"/>
    <w:rsid w:val="00B54D0D"/>
    <w:rsid w:val="00B64B47"/>
    <w:rsid w:val="00B832C4"/>
    <w:rsid w:val="00B916A7"/>
    <w:rsid w:val="00BB0F08"/>
    <w:rsid w:val="00BC476F"/>
    <w:rsid w:val="00BC7D32"/>
    <w:rsid w:val="00BF0DBD"/>
    <w:rsid w:val="00C002DE"/>
    <w:rsid w:val="00C17470"/>
    <w:rsid w:val="00C53BF8"/>
    <w:rsid w:val="00C66157"/>
    <w:rsid w:val="00C674FE"/>
    <w:rsid w:val="00C67501"/>
    <w:rsid w:val="00C75633"/>
    <w:rsid w:val="00C87E0E"/>
    <w:rsid w:val="00C91E55"/>
    <w:rsid w:val="00CE1C08"/>
    <w:rsid w:val="00CE2EE1"/>
    <w:rsid w:val="00CE3349"/>
    <w:rsid w:val="00CE36E5"/>
    <w:rsid w:val="00CF1E57"/>
    <w:rsid w:val="00CF27F5"/>
    <w:rsid w:val="00CF3FFD"/>
    <w:rsid w:val="00D10CCF"/>
    <w:rsid w:val="00D22846"/>
    <w:rsid w:val="00D517B2"/>
    <w:rsid w:val="00D76170"/>
    <w:rsid w:val="00D77D0F"/>
    <w:rsid w:val="00DA1CF0"/>
    <w:rsid w:val="00DA53B3"/>
    <w:rsid w:val="00DB3FB8"/>
    <w:rsid w:val="00DC1E02"/>
    <w:rsid w:val="00DC24B4"/>
    <w:rsid w:val="00DC5FB0"/>
    <w:rsid w:val="00DD1EBB"/>
    <w:rsid w:val="00DF16DC"/>
    <w:rsid w:val="00E2499B"/>
    <w:rsid w:val="00E45211"/>
    <w:rsid w:val="00E473C5"/>
    <w:rsid w:val="00E67FA4"/>
    <w:rsid w:val="00E84438"/>
    <w:rsid w:val="00E92863"/>
    <w:rsid w:val="00EA273D"/>
    <w:rsid w:val="00EA2A8E"/>
    <w:rsid w:val="00EA6E80"/>
    <w:rsid w:val="00EB796D"/>
    <w:rsid w:val="00EC1FBF"/>
    <w:rsid w:val="00F0518F"/>
    <w:rsid w:val="00F058DC"/>
    <w:rsid w:val="00F24FC4"/>
    <w:rsid w:val="00F2676C"/>
    <w:rsid w:val="00F459E1"/>
    <w:rsid w:val="00F52941"/>
    <w:rsid w:val="00F84366"/>
    <w:rsid w:val="00F85089"/>
    <w:rsid w:val="00F94994"/>
    <w:rsid w:val="00F974C5"/>
    <w:rsid w:val="00FA6F46"/>
    <w:rsid w:val="00FB5DC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2C846"/>
  <w15:chartTrackingRefBased/>
  <w15:docId w15:val="{767CFE73-C093-4F0B-AC79-3DAB8526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17-R-0075/en" TargetMode="External"/><Relationship Id="rId18" Type="http://schemas.openxmlformats.org/officeDocument/2006/relationships/hyperlink" Target="https://www.itu.int/md/T22-SG17-R-0079/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2-SG17-R-0078/en" TargetMode="External"/><Relationship Id="rId2" Type="http://schemas.openxmlformats.org/officeDocument/2006/relationships/numbering" Target="numbering.xml"/><Relationship Id="rId16" Type="http://schemas.openxmlformats.org/officeDocument/2006/relationships/hyperlink" Target="https://www.itu.int/md/meetingdoc.asp?lang=en&amp;parent=T22-SG17-240902-TD-PLEN-23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hyperlink" Target="https://www.itu.int/md/T22-SG17-R-0077/en" TargetMode="External"/><Relationship Id="rId23" Type="http://schemas.openxmlformats.org/officeDocument/2006/relationships/theme" Target="theme/theme1.xml"/><Relationship Id="rId10" Type="http://schemas.openxmlformats.org/officeDocument/2006/relationships/hyperlink" Target="https://www.itu.int/md/T25-SG17-COL-0001/en" TargetMode="External"/><Relationship Id="rId19"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T22-SG17-R-0076/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2%20Sconed%20Contract%20Work%20(4-11-2024%20---%2025-12-2024)\11%20November\18\2402667A%20Final\Final%20or%20Montage\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81</TotalTime>
  <Pages>6</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dc:creator>
  <cp:keywords/>
  <dc:description/>
  <cp:lastModifiedBy>Braud, Olivia</cp:lastModifiedBy>
  <cp:revision>8</cp:revision>
  <cp:lastPrinted>2024-12-02T10:45:00Z</cp:lastPrinted>
  <dcterms:created xsi:type="dcterms:W3CDTF">2024-11-21T13:11:00Z</dcterms:created>
  <dcterms:modified xsi:type="dcterms:W3CDTF">2024-12-02T10:45:00Z</dcterms:modified>
</cp:coreProperties>
</file>